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outlineLvl w:val="9"/>
        <w:rPr>
          <w:rFonts w:hint="eastAsia" w:ascii="Times New Roman" w:hAnsi="方正小标宋简体" w:eastAsia="方正小标宋简体" w:cs="方正小标宋简体"/>
          <w:color w:val="000000"/>
          <w:kern w:val="0"/>
          <w:sz w:val="44"/>
          <w:szCs w:val="44"/>
          <w:shd w:val="clear" w:color="auto" w:fill="FFFFFF"/>
          <w:lang w:bidi="ar"/>
        </w:rPr>
      </w:pPr>
    </w:p>
    <w:p>
      <w:pPr>
        <w:keepNext w:val="0"/>
        <w:keepLines w:val="0"/>
        <w:pageBreakBefore w:val="0"/>
        <w:widowControl w:val="0"/>
        <w:kinsoku/>
        <w:wordWrap/>
        <w:overflowPunct/>
        <w:topLinePunct w:val="0"/>
        <w:autoSpaceDE/>
        <w:autoSpaceDN/>
        <w:bidi w:val="0"/>
        <w:spacing w:line="560" w:lineRule="exact"/>
        <w:jc w:val="center"/>
        <w:outlineLvl w:val="9"/>
        <w:rPr>
          <w:rFonts w:ascii="Times New Roman" w:hAnsi="方正小标宋简体" w:eastAsia="方正小标宋简体" w:cs="方正小标宋简体"/>
          <w:color w:val="000000"/>
          <w:kern w:val="0"/>
          <w:sz w:val="44"/>
          <w:szCs w:val="44"/>
          <w:shd w:val="clear" w:color="auto" w:fill="FFFFFF"/>
          <w:lang w:bidi="ar"/>
        </w:rPr>
      </w:pPr>
    </w:p>
    <w:p>
      <w:pPr>
        <w:keepNext w:val="0"/>
        <w:keepLines w:val="0"/>
        <w:pageBreakBefore w:val="0"/>
        <w:widowControl w:val="0"/>
        <w:kinsoku/>
        <w:wordWrap/>
        <w:overflowPunct/>
        <w:topLinePunct w:val="0"/>
        <w:autoSpaceDE/>
        <w:autoSpaceDN/>
        <w:bidi w:val="0"/>
        <w:spacing w:line="560" w:lineRule="exact"/>
        <w:jc w:val="center"/>
        <w:outlineLvl w:val="9"/>
        <w:rPr>
          <w:rFonts w:ascii="仿宋_GB2312" w:hAnsi="宋体" w:eastAsia="仿宋_GB2312"/>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仿宋_GB2312" w:hAnsi="宋体" w:eastAsia="仿宋_GB2312"/>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仿宋_GB2312" w:hAnsi="宋体" w:eastAsia="仿宋_GB2312"/>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仿宋_GB2312" w:hAnsi="宋体" w:eastAsia="仿宋_GB2312"/>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仿宋_GB2312" w:hAnsi="宋体"/>
          <w:bCs/>
        </w:rPr>
      </w:pPr>
      <w:r>
        <w:rPr>
          <w:rFonts w:hint="eastAsia" w:ascii="仿宋_GB2312" w:hAnsi="宋体" w:eastAsia="仿宋_GB2312"/>
          <w:bCs/>
          <w:sz w:val="32"/>
          <w:szCs w:val="32"/>
        </w:rPr>
        <w:t>瑶政办</w:t>
      </w:r>
      <w:r>
        <w:rPr>
          <w:rFonts w:hint="eastAsia" w:ascii="仿宋_GB2312" w:hAnsi="宋体" w:eastAsia="仿宋_GB2312"/>
          <w:kern w:val="0"/>
          <w:sz w:val="32"/>
          <w:szCs w:val="32"/>
        </w:rPr>
        <w:t>〔2017〕35</w:t>
      </w:r>
      <w:r>
        <w:rPr>
          <w:rFonts w:hint="eastAsia" w:ascii="仿宋_GB2312" w:hAnsi="宋体" w:eastAsia="仿宋_GB2312"/>
          <w:bCs/>
          <w:sz w:val="32"/>
          <w:szCs w:val="32"/>
        </w:rPr>
        <w:t>号</w:t>
      </w:r>
    </w:p>
    <w:p>
      <w:pPr>
        <w:keepNext w:val="0"/>
        <w:keepLines w:val="0"/>
        <w:pageBreakBefore w:val="0"/>
        <w:widowControl w:val="0"/>
        <w:kinsoku/>
        <w:wordWrap/>
        <w:overflowPunct/>
        <w:topLinePunct w:val="0"/>
        <w:autoSpaceDE/>
        <w:autoSpaceDN/>
        <w:bidi w:val="0"/>
        <w:spacing w:line="560" w:lineRule="exact"/>
        <w:jc w:val="center"/>
        <w:outlineLvl w:val="9"/>
        <w:rPr>
          <w:rFonts w:ascii="宋体" w:hAnsi="宋体"/>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宋体" w:hAnsi="宋体"/>
          <w:bCs/>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Times New Roman" w:hAnsi="方正小标宋简体" w:eastAsia="方正小标宋简体" w:cs="方正小标宋简体"/>
          <w:color w:val="000000"/>
          <w:kern w:val="0"/>
          <w:sz w:val="44"/>
          <w:szCs w:val="44"/>
          <w:shd w:val="clear" w:color="auto" w:fill="FFFFFF"/>
          <w:lang w:bidi="ar"/>
        </w:rPr>
      </w:pPr>
      <w:r>
        <w:rPr>
          <w:rFonts w:hint="eastAsia" w:ascii="方正小标宋简体" w:eastAsia="方正小标宋简体"/>
          <w:spacing w:val="-6"/>
          <w:sz w:val="44"/>
          <w:szCs w:val="44"/>
        </w:rPr>
        <w:t>关于印发《</w:t>
      </w:r>
      <w:r>
        <w:rPr>
          <w:rFonts w:hint="eastAsia" w:ascii="Times New Roman" w:hAnsi="方正小标宋简体" w:eastAsia="方正小标宋简体" w:cs="方正小标宋简体"/>
          <w:color w:val="000000"/>
          <w:kern w:val="0"/>
          <w:sz w:val="44"/>
          <w:szCs w:val="44"/>
          <w:shd w:val="clear" w:color="auto" w:fill="FFFFFF"/>
          <w:lang w:bidi="ar"/>
        </w:rPr>
        <w:t>瑶海区</w:t>
      </w:r>
      <w:r>
        <w:rPr>
          <w:rFonts w:ascii="Times New Roman" w:hAnsi="方正小标宋简体" w:eastAsia="方正小标宋简体" w:cs="方正小标宋简体"/>
          <w:color w:val="000000"/>
          <w:kern w:val="0"/>
          <w:sz w:val="44"/>
          <w:szCs w:val="44"/>
          <w:shd w:val="clear" w:color="auto" w:fill="FFFFFF"/>
          <w:lang w:bidi="ar"/>
        </w:rPr>
        <w:t>构建</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六项机制</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强化</w:t>
      </w:r>
    </w:p>
    <w:p>
      <w:pPr>
        <w:keepNext w:val="0"/>
        <w:keepLines w:val="0"/>
        <w:pageBreakBefore w:val="0"/>
        <w:widowControl w:val="0"/>
        <w:kinsoku/>
        <w:wordWrap/>
        <w:overflowPunct/>
        <w:topLinePunct w:val="0"/>
        <w:autoSpaceDE/>
        <w:autoSpaceDN/>
        <w:bidi w:val="0"/>
        <w:spacing w:line="560" w:lineRule="exact"/>
        <w:jc w:val="center"/>
        <w:outlineLvl w:val="9"/>
        <w:rPr>
          <w:rFonts w:ascii="方正小标宋简体" w:eastAsia="方正小标宋简体"/>
          <w:sz w:val="44"/>
          <w:szCs w:val="44"/>
        </w:rPr>
      </w:pPr>
      <w:r>
        <w:rPr>
          <w:rFonts w:hint="eastAsia" w:ascii="Times New Roman" w:hAnsi="方正小标宋简体" w:eastAsia="方正小标宋简体" w:cs="方正小标宋简体"/>
          <w:color w:val="000000"/>
          <w:kern w:val="0"/>
          <w:sz w:val="44"/>
          <w:szCs w:val="44"/>
          <w:shd w:val="clear" w:color="auto" w:fill="FFFFFF"/>
          <w:lang w:bidi="ar"/>
        </w:rPr>
        <w:t>安全生产风险管控工作实施方案</w:t>
      </w:r>
      <w:r>
        <w:rPr>
          <w:rFonts w:hint="eastAsia" w:ascii="方正小标宋简体" w:eastAsia="方正小标宋简体"/>
          <w:spacing w:val="-6"/>
          <w:sz w:val="44"/>
          <w:szCs w:val="44"/>
        </w:rPr>
        <w:t>》的通知</w:t>
      </w:r>
    </w:p>
    <w:p>
      <w:pPr>
        <w:keepNext w:val="0"/>
        <w:keepLines w:val="0"/>
        <w:pageBreakBefore w:val="0"/>
        <w:widowControl w:val="0"/>
        <w:kinsoku/>
        <w:wordWrap/>
        <w:overflowPunct/>
        <w:topLinePunct w:val="0"/>
        <w:autoSpaceDE/>
        <w:autoSpaceDN/>
        <w:bidi w:val="0"/>
        <w:spacing w:line="560" w:lineRule="exact"/>
        <w:jc w:val="center"/>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outlineLvl w:val="9"/>
        <w:rPr>
          <w:rFonts w:ascii="仿宋" w:hAnsi="仿宋" w:eastAsia="仿宋"/>
          <w:sz w:val="32"/>
          <w:szCs w:val="32"/>
        </w:rPr>
      </w:pPr>
      <w:r>
        <w:rPr>
          <w:rFonts w:hint="eastAsia" w:ascii="仿宋" w:hAnsi="仿宋" w:eastAsia="仿宋"/>
          <w:sz w:val="32"/>
          <w:szCs w:val="32"/>
        </w:rPr>
        <w:t>各街道办事处、大兴镇人民政府、龙岗开发区管委会，区政府各部门、直属单位：</w:t>
      </w:r>
    </w:p>
    <w:p>
      <w:pPr>
        <w:keepNext w:val="0"/>
        <w:keepLines w:val="0"/>
        <w:pageBreakBefore w:val="0"/>
        <w:widowControl w:val="0"/>
        <w:kinsoku/>
        <w:wordWrap/>
        <w:overflowPunct/>
        <w:topLinePunct w:val="0"/>
        <w:autoSpaceDE/>
        <w:autoSpaceDN/>
        <w:bidi w:val="0"/>
        <w:spacing w:line="560" w:lineRule="exact"/>
        <w:outlineLvl w:val="9"/>
        <w:rPr>
          <w:rFonts w:ascii="仿宋" w:hAnsi="仿宋" w:eastAsia="仿宋"/>
          <w:sz w:val="32"/>
          <w:szCs w:val="32"/>
        </w:rPr>
      </w:pPr>
      <w:r>
        <w:rPr>
          <w:rFonts w:hint="eastAsia" w:ascii="仿宋" w:hAnsi="仿宋" w:eastAsia="仿宋"/>
          <w:sz w:val="32"/>
          <w:szCs w:val="32"/>
        </w:rPr>
        <w:t xml:space="preserve">   《瑶海区构建“六项机制”强化安全生产风险管控工作实施方案》已经区政府主要领导同意，现印发给你们，请结合实际，认真抓好各项工作任务落实，推动全区安全生产形势持续稳定好转。</w:t>
      </w:r>
    </w:p>
    <w:p>
      <w:pPr>
        <w:keepNext w:val="0"/>
        <w:keepLines w:val="0"/>
        <w:pageBreakBefore w:val="0"/>
        <w:widowControl w:val="0"/>
        <w:kinsoku/>
        <w:wordWrap/>
        <w:overflowPunct/>
        <w:topLinePunct w:val="0"/>
        <w:autoSpaceDE/>
        <w:autoSpaceDN/>
        <w:bidi w:val="0"/>
        <w:spacing w:line="560" w:lineRule="exact"/>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560" w:lineRule="exact"/>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560" w:lineRule="exact"/>
        <w:ind w:left="1470" w:leftChars="700"/>
        <w:outlineLvl w:val="9"/>
        <w:rPr>
          <w:rFonts w:ascii="仿宋" w:hAnsi="仿宋" w:eastAsia="仿宋"/>
          <w:sz w:val="32"/>
          <w:szCs w:val="32"/>
        </w:rPr>
      </w:pPr>
      <w:r>
        <w:rPr>
          <w:rFonts w:hint="eastAsia" w:ascii="仿宋" w:hAnsi="仿宋" w:eastAsia="仿宋"/>
          <w:sz w:val="32"/>
          <w:szCs w:val="32"/>
        </w:rPr>
        <w:t xml:space="preserve">           合肥市瑶海区人民政府办公室</w:t>
      </w:r>
    </w:p>
    <w:p>
      <w:pPr>
        <w:keepNext w:val="0"/>
        <w:keepLines w:val="0"/>
        <w:pageBreakBefore w:val="0"/>
        <w:widowControl w:val="0"/>
        <w:kinsoku/>
        <w:wordWrap/>
        <w:overflowPunct/>
        <w:topLinePunct w:val="0"/>
        <w:autoSpaceDE/>
        <w:autoSpaceDN/>
        <w:bidi w:val="0"/>
        <w:spacing w:line="560" w:lineRule="exact"/>
        <w:ind w:left="1470" w:leftChars="700"/>
        <w:outlineLvl w:val="9"/>
        <w:rPr>
          <w:rFonts w:ascii="方正小标宋简体" w:eastAsia="方正小标宋简体"/>
          <w:sz w:val="44"/>
          <w:szCs w:val="44"/>
        </w:rPr>
      </w:pPr>
      <w:r>
        <w:rPr>
          <w:rFonts w:hint="eastAsia" w:ascii="仿宋" w:hAnsi="仿宋" w:eastAsia="仿宋"/>
          <w:sz w:val="32"/>
          <w:szCs w:val="32"/>
        </w:rPr>
        <w:t xml:space="preserve">                2017年8月8日</w:t>
      </w:r>
    </w:p>
    <w:p>
      <w:pPr>
        <w:keepNext w:val="0"/>
        <w:keepLines w:val="0"/>
        <w:pageBreakBefore w:val="0"/>
        <w:widowControl w:val="0"/>
        <w:kinsoku/>
        <w:wordWrap/>
        <w:overflowPunct/>
        <w:topLinePunct w:val="0"/>
        <w:autoSpaceDE/>
        <w:autoSpaceDN/>
        <w:bidi w:val="0"/>
        <w:spacing w:line="560" w:lineRule="exact"/>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outlineLvl w:val="9"/>
        <w:rPr>
          <w:rFonts w:ascii="宋体" w:hAnsi="宋体" w:eastAsia="方正小标宋简体" w:cs="方正小标宋简体"/>
          <w:color w:val="000000"/>
          <w:sz w:val="44"/>
          <w:szCs w:val="44"/>
          <w:shd w:val="clear" w:color="auto" w:fill="FFFFFF"/>
        </w:rPr>
      </w:pPr>
      <w:r>
        <w:rPr>
          <w:rFonts w:hint="eastAsia" w:ascii="Times New Roman" w:hAnsi="方正小标宋简体" w:eastAsia="方正小标宋简体" w:cs="方正小标宋简体"/>
          <w:color w:val="000000"/>
          <w:kern w:val="0"/>
          <w:sz w:val="44"/>
          <w:szCs w:val="44"/>
          <w:shd w:val="clear" w:color="auto" w:fill="FFFFFF"/>
          <w:lang w:bidi="ar"/>
        </w:rPr>
        <w:t>瑶海区</w:t>
      </w:r>
      <w:r>
        <w:rPr>
          <w:rFonts w:ascii="Times New Roman" w:hAnsi="方正小标宋简体" w:eastAsia="方正小标宋简体" w:cs="方正小标宋简体"/>
          <w:color w:val="000000"/>
          <w:kern w:val="0"/>
          <w:sz w:val="44"/>
          <w:szCs w:val="44"/>
          <w:shd w:val="clear" w:color="auto" w:fill="FFFFFF"/>
          <w:lang w:bidi="ar"/>
        </w:rPr>
        <w:t>构建</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六项机制</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强化安全生产</w:t>
      </w:r>
    </w:p>
    <w:p>
      <w:pPr>
        <w:keepNext w:val="0"/>
        <w:keepLines w:val="0"/>
        <w:pageBreakBefore w:val="0"/>
        <w:widowControl w:val="0"/>
        <w:kinsoku/>
        <w:wordWrap/>
        <w:overflowPunct/>
        <w:topLinePunct w:val="0"/>
        <w:autoSpaceDE/>
        <w:autoSpaceDN/>
        <w:bidi w:val="0"/>
        <w:spacing w:line="560" w:lineRule="exact"/>
        <w:jc w:val="center"/>
        <w:outlineLvl w:val="9"/>
        <w:rPr>
          <w:rFonts w:ascii="宋体" w:hAnsi="宋体" w:eastAsia="方正小标宋简体" w:cs="宋体"/>
          <w:color w:val="000000"/>
          <w:sz w:val="44"/>
          <w:szCs w:val="44"/>
          <w:shd w:val="clear" w:color="auto" w:fill="FFFFFF"/>
        </w:rPr>
      </w:pPr>
      <w:r>
        <w:rPr>
          <w:rFonts w:hint="eastAsia" w:ascii="Times New Roman" w:hAnsi="方正小标宋简体" w:eastAsia="方正小标宋简体" w:cs="方正小标宋简体"/>
          <w:color w:val="000000"/>
          <w:kern w:val="0"/>
          <w:sz w:val="44"/>
          <w:szCs w:val="44"/>
          <w:shd w:val="clear" w:color="auto" w:fill="FFFFFF"/>
          <w:lang w:bidi="ar"/>
        </w:rPr>
        <w:t>风险管控工作实施方案</w:t>
      </w:r>
    </w:p>
    <w:p>
      <w:pPr>
        <w:keepNext w:val="0"/>
        <w:keepLines w:val="0"/>
        <w:pageBreakBefore w:val="0"/>
        <w:widowControl w:val="0"/>
        <w:kinsoku/>
        <w:wordWrap/>
        <w:overflowPunct/>
        <w:topLinePunct w:val="0"/>
        <w:autoSpaceDE/>
        <w:autoSpaceDN/>
        <w:bidi w:val="0"/>
        <w:spacing w:line="560" w:lineRule="exact"/>
        <w:outlineLvl w:val="9"/>
        <w:rPr>
          <w:rFonts w:ascii="宋体" w:hAnsi="宋体" w:eastAsia="黑体" w:cs="宋体"/>
          <w:b/>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为指导和规范全区深入开展各类安全生产风险管控工作（以下简称“安全风险管控”），着力构建安全风险分级管控和隐患排查治理双重预防机制，构建安全生产风险查找、研判、预警、防范、处置和责任等“六项机制”，有效防范并遏制较大以上事故，严控一般事故发生，根据</w:t>
      </w:r>
      <w:r>
        <w:rPr>
          <w:rFonts w:hint="eastAsia" w:ascii="仿宋" w:hAnsi="仿宋" w:eastAsia="仿宋" w:cs="仿宋"/>
          <w:sz w:val="32"/>
          <w:szCs w:val="32"/>
        </w:rPr>
        <w:t>《合肥市人民政府办公厅关于构建“六项机制”强化安全生产风险管控工作实施方案的通知》（合政办〔2017〕40号）及合肥市安</w:t>
      </w:r>
      <w:r>
        <w:rPr>
          <w:rFonts w:hint="eastAsia" w:ascii="仿宋" w:hAnsi="仿宋" w:eastAsia="仿宋" w:cs="仿宋"/>
          <w:kern w:val="0"/>
          <w:sz w:val="32"/>
          <w:szCs w:val="32"/>
          <w:shd w:val="clear" w:color="auto" w:fill="FFFFFF"/>
          <w:lang w:bidi="ar"/>
        </w:rPr>
        <w:t>委办转发《构建“六项机制”强化安全生产风险管控工作实施细则》（合安办〔2017〕34号），制定本实施方案。</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黑体" w:hAnsi="宋体" w:eastAsia="黑体" w:cs="黑体"/>
          <w:bCs/>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bidi="ar"/>
        </w:rPr>
        <w:t>一、</w:t>
      </w:r>
      <w:r>
        <w:rPr>
          <w:rFonts w:hint="eastAsia" w:ascii="黑体" w:hAnsi="宋体" w:eastAsia="黑体" w:cs="黑体"/>
          <w:color w:val="000000"/>
          <w:kern w:val="0"/>
          <w:sz w:val="32"/>
          <w:szCs w:val="32"/>
          <w:shd w:val="clear" w:color="auto" w:fill="FFFFFF"/>
          <w:lang w:bidi="ar"/>
        </w:rPr>
        <w:t>指导思想</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安全风险管控按照“管行业必须管安全、管业务必须管安全、管生产经营必须管安全”和“分级、属地管理”的要求，坚持分级管控、分类实施、属地管理的原则,坚持源头防范、系统治理、专项整理相结合，强化安全生产风险管控，增强安全防范治理能力，消除风险隐患，把风险管控挺在隐患前面，把隐患排查治理挺在事故前面，切实解决“认不清”“想不到”“管不到”等问题，全面提升安全生产工作水平。</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黑体" w:hAnsi="宋体" w:eastAsia="黑体" w:cs="黑体"/>
          <w:bCs/>
          <w:color w:val="000000"/>
          <w:sz w:val="32"/>
          <w:szCs w:val="32"/>
          <w:shd w:val="clear" w:color="auto" w:fill="FFFFFF"/>
        </w:rPr>
      </w:pPr>
      <w:r>
        <w:rPr>
          <w:rFonts w:hint="eastAsia" w:ascii="黑体" w:hAnsi="宋体" w:eastAsia="黑体" w:cs="黑体"/>
          <w:bCs/>
          <w:color w:val="000000"/>
          <w:kern w:val="0"/>
          <w:sz w:val="32"/>
          <w:szCs w:val="32"/>
          <w:shd w:val="clear" w:color="auto" w:fill="FFFFFF"/>
          <w:lang w:bidi="ar"/>
        </w:rPr>
        <w:t>二、工作目标</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逐级完成区、镇街开发区、行业主管部门和生产经营单位风险点清单编制，科学核定风险级别，制定有效防范措施，全面实现安全风险管控闭环管理，把风险管控挺在隐患前面，把隐患消灭在事故前面，有效防范和遏制较大以上生产安全事故的发生，持续实现安全生产形势稳定可控。</w:t>
      </w:r>
    </w:p>
    <w:p>
      <w:pPr>
        <w:keepNext w:val="0"/>
        <w:keepLines w:val="0"/>
        <w:pageBreakBefore w:val="0"/>
        <w:widowControl w:val="0"/>
        <w:tabs>
          <w:tab w:val="left" w:pos="6540"/>
        </w:tabs>
        <w:kinsoku/>
        <w:wordWrap/>
        <w:overflowPunct/>
        <w:topLinePunct w:val="0"/>
        <w:autoSpaceDE/>
        <w:autoSpaceDN/>
        <w:bidi w:val="0"/>
        <w:spacing w:line="560" w:lineRule="exact"/>
        <w:ind w:firstLine="640" w:firstLineChars="200"/>
        <w:outlineLvl w:val="9"/>
        <w:rPr>
          <w:rFonts w:ascii="黑体" w:hAnsi="宋体" w:eastAsia="黑体" w:cs="仿宋_GB2312"/>
          <w:color w:val="000000"/>
          <w:sz w:val="32"/>
          <w:szCs w:val="32"/>
          <w:shd w:val="clear" w:color="auto" w:fill="FFFFFF"/>
        </w:rPr>
      </w:pPr>
      <w:r>
        <w:rPr>
          <w:rFonts w:hint="eastAsia" w:ascii="黑体" w:hAnsi="宋体" w:eastAsia="黑体" w:cs="仿宋_GB2312"/>
          <w:color w:val="000000"/>
          <w:kern w:val="0"/>
          <w:sz w:val="32"/>
          <w:szCs w:val="32"/>
          <w:shd w:val="clear" w:color="auto" w:fill="FFFFFF"/>
          <w:lang w:bidi="ar"/>
        </w:rPr>
        <w:t>三、工作内容</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安全风险管控是指对涉及安全生产领域各类可能导致生产安全事故及人员伤亡、财产损失及其他不良社会影响的单位、场所、部位、建设项目、设备设施和活动（范围见附件</w:t>
      </w:r>
      <w:r>
        <w:rPr>
          <w:rFonts w:hint="eastAsia" w:ascii="仿宋" w:hAnsi="仿宋" w:eastAsia="仿宋" w:cs="仿宋"/>
          <w:kern w:val="0"/>
          <w:sz w:val="32"/>
          <w:szCs w:val="32"/>
          <w:shd w:val="clear" w:color="auto" w:fill="FFFFFF"/>
          <w:lang w:val="en-US" w:eastAsia="zh-CN" w:bidi="ar"/>
        </w:rPr>
        <w:t>2</w:t>
      </w:r>
      <w:r>
        <w:rPr>
          <w:rFonts w:hint="eastAsia" w:ascii="仿宋" w:hAnsi="仿宋" w:eastAsia="仿宋" w:cs="仿宋"/>
          <w:kern w:val="0"/>
          <w:sz w:val="32"/>
          <w:szCs w:val="32"/>
          <w:shd w:val="clear" w:color="auto" w:fill="FFFFFF"/>
          <w:lang w:bidi="ar"/>
        </w:rPr>
        <w:t>）进行风险排查、评估和管控等工作。各镇街开发区、各行业主管部门落实属地安全管理责任和行业安全监管职责，负责组织并统筹推进本地区和本行业领域安全风险管控“六项机制”建设。</w:t>
      </w:r>
      <w:r>
        <w:rPr>
          <w:rFonts w:hint="eastAsia" w:ascii="仿宋" w:hAnsi="仿宋" w:eastAsia="仿宋" w:cs="仿宋"/>
          <w:kern w:val="0"/>
          <w:sz w:val="32"/>
          <w:szCs w:val="32"/>
          <w:shd w:val="clear" w:color="auto" w:fill="FFFFFF"/>
          <w:lang w:bidi="ar"/>
        </w:rPr>
        <w:tab/>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sz w:val="32"/>
          <w:szCs w:val="32"/>
          <w:shd w:val="clear" w:color="auto" w:fill="FFFFFF"/>
        </w:rPr>
      </w:pPr>
      <w:r>
        <w:rPr>
          <w:rFonts w:hint="eastAsia" w:ascii="楷体" w:hAnsi="楷体" w:eastAsia="楷体" w:cs="楷体"/>
          <w:b/>
          <w:color w:val="000000"/>
          <w:kern w:val="0"/>
          <w:sz w:val="32"/>
          <w:szCs w:val="32"/>
          <w:shd w:val="clear" w:color="auto" w:fill="FFFFFF"/>
          <w:lang w:bidi="ar"/>
        </w:rPr>
        <w:t>（一）建立风险查找机制，全面排查安全风险。</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1.准确把握查找对象。</w:t>
      </w:r>
      <w:r>
        <w:rPr>
          <w:rFonts w:hint="eastAsia" w:ascii="仿宋" w:hAnsi="仿宋" w:eastAsia="仿宋" w:cs="仿宋"/>
          <w:kern w:val="0"/>
          <w:sz w:val="32"/>
          <w:szCs w:val="32"/>
          <w:shd w:val="clear" w:color="auto" w:fill="FFFFFF"/>
          <w:lang w:bidi="ar"/>
        </w:rPr>
        <w:t>风险点又称危险因素、危险源，是指本身具有危险性，或在一定条件下具有危险性，存在着导致人身伤害、健康损害或财产损失风险的场所、部位、状态和活动。</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2.科学建立查找依据。</w:t>
      </w:r>
      <w:r>
        <w:rPr>
          <w:rFonts w:hint="eastAsia" w:ascii="仿宋" w:hAnsi="仿宋" w:eastAsia="仿宋" w:cs="仿宋"/>
          <w:kern w:val="0"/>
          <w:sz w:val="32"/>
          <w:szCs w:val="32"/>
          <w:shd w:val="clear" w:color="auto" w:fill="FFFFFF"/>
          <w:lang w:bidi="ar"/>
        </w:rPr>
        <w:t>各镇街开发区及各行业主管部门要分行业、领域和场所（各行业领域和场所分类见附件</w:t>
      </w:r>
      <w:r>
        <w:rPr>
          <w:rFonts w:hint="eastAsia" w:ascii="仿宋" w:hAnsi="仿宋" w:eastAsia="仿宋" w:cs="仿宋"/>
          <w:kern w:val="0"/>
          <w:sz w:val="32"/>
          <w:szCs w:val="32"/>
          <w:shd w:val="clear" w:color="auto" w:fill="FFFFFF"/>
          <w:lang w:val="en-US" w:eastAsia="zh-CN" w:bidi="ar"/>
        </w:rPr>
        <w:t>2</w:t>
      </w:r>
      <w:r>
        <w:rPr>
          <w:rFonts w:hint="eastAsia" w:ascii="仿宋" w:hAnsi="仿宋" w:eastAsia="仿宋" w:cs="仿宋"/>
          <w:kern w:val="0"/>
          <w:sz w:val="32"/>
          <w:szCs w:val="32"/>
          <w:shd w:val="clear" w:color="auto" w:fill="FFFFFF"/>
          <w:lang w:bidi="ar"/>
        </w:rPr>
        <w:t>）科学制定《安全生产风险点查找指导手册》（参考格式见附件</w:t>
      </w:r>
      <w:r>
        <w:rPr>
          <w:rFonts w:hint="eastAsia" w:ascii="仿宋" w:hAnsi="仿宋" w:eastAsia="仿宋" w:cs="仿宋"/>
          <w:kern w:val="0"/>
          <w:sz w:val="32"/>
          <w:szCs w:val="32"/>
          <w:shd w:val="clear" w:color="auto" w:fill="FFFFFF"/>
          <w:lang w:val="en-US" w:eastAsia="zh-CN" w:bidi="ar"/>
        </w:rPr>
        <w:t>3</w:t>
      </w:r>
      <w:r>
        <w:rPr>
          <w:rFonts w:hint="eastAsia" w:ascii="仿宋" w:hAnsi="仿宋" w:eastAsia="仿宋" w:cs="仿宋"/>
          <w:kern w:val="0"/>
          <w:sz w:val="32"/>
          <w:szCs w:val="32"/>
          <w:shd w:val="clear" w:color="auto" w:fill="FFFFFF"/>
          <w:lang w:bidi="ar"/>
        </w:rPr>
        <w:t>），作为基层单位具体组织开展安全风险点查找的依据，并负责组织协调指导辖区、行业领域风险点的查找工作。</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3.合理划分网格单元。</w:t>
      </w:r>
      <w:r>
        <w:rPr>
          <w:rFonts w:hint="eastAsia" w:ascii="仿宋" w:hAnsi="仿宋" w:eastAsia="仿宋" w:cs="仿宋"/>
          <w:kern w:val="0"/>
          <w:sz w:val="32"/>
          <w:szCs w:val="32"/>
          <w:shd w:val="clear" w:color="auto" w:fill="FFFFFF"/>
          <w:lang w:bidi="ar"/>
        </w:rPr>
        <w:t>各镇街开发区、各行业主管部门要根据各自实际，以网格化、全覆盖的方式，合理划分风险点查找的最小单元（地理区域、单位、设备设施、作业或活动场所、某项活动等），明确每个单元的范围和风险点查找工作的责任单位、责任人，落实查找责任。</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4.动态查找风险点。</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（1）考虑外部动态变化。</w:t>
      </w:r>
      <w:r>
        <w:rPr>
          <w:rFonts w:hint="eastAsia" w:ascii="仿宋" w:hAnsi="仿宋" w:eastAsia="仿宋" w:cs="仿宋"/>
          <w:kern w:val="0"/>
          <w:sz w:val="32"/>
          <w:szCs w:val="32"/>
          <w:shd w:val="clear" w:color="auto" w:fill="FFFFFF"/>
          <w:lang w:bidi="ar"/>
        </w:rPr>
        <w:t>风险点查找的范围应覆盖所有区域，所有设施和场所，覆盖所有人员的活动；在实施查找时，应充分考虑外部情况变化对风险点的影响，认真分析平时条件、特殊时段、特殊自然条件下不同风险点的出现；以及同一风险点在不同外部条件下，出现不同的风险，充分识别各种潜在风险。</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（2）考虑内部动态变化。</w:t>
      </w:r>
      <w:r>
        <w:rPr>
          <w:rFonts w:hint="eastAsia" w:ascii="仿宋" w:hAnsi="仿宋" w:eastAsia="仿宋" w:cs="仿宋"/>
          <w:kern w:val="0"/>
          <w:sz w:val="32"/>
          <w:szCs w:val="32"/>
          <w:shd w:val="clear" w:color="auto" w:fill="FFFFFF"/>
          <w:lang w:bidi="ar"/>
        </w:rPr>
        <w:t>各镇街开发区、各行业主管部门应根据自身发展变化特点，合理制定工作周期，反复开展风险点查找工作。原则上各层级、各单位应结合隐患排查治理活动，每年至少组织开展1次全面的风险点查找工作，并对风险点清单进行同步更新。当环境、设施、组织、人员、活动等发生变更时，要随时对相关风险点开展重新查找工作。在策划、筹备可能涉及群体性安全的活动或进行重大的设施、环境变更前，应提前开展风险点查找工作。</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（3）社会联动查找风险。</w:t>
      </w:r>
      <w:r>
        <w:rPr>
          <w:rFonts w:hint="eastAsia" w:ascii="仿宋" w:hAnsi="仿宋" w:eastAsia="仿宋" w:cs="仿宋"/>
          <w:kern w:val="0"/>
          <w:sz w:val="32"/>
          <w:szCs w:val="32"/>
          <w:shd w:val="clear" w:color="auto" w:fill="FFFFFF"/>
          <w:lang w:bidi="ar"/>
        </w:rPr>
        <w:t>各镇街开发区、各行业主管部门查找风险点工作要依据《安全风险点查找指导手册》，在专业人员的指导下，层层组织发动基层群众和单位员工，自下而上全面开展；同时鼓励社会公众广泛参与，并通过网络、移动通信等多种方式，建立稳定畅通的信息沟通渠道，及时接收社会公众提供的风险点信息。</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（4）规范填报查找结果。</w:t>
      </w:r>
      <w:r>
        <w:rPr>
          <w:rFonts w:hint="eastAsia" w:ascii="仿宋" w:hAnsi="仿宋" w:eastAsia="仿宋" w:cs="仿宋"/>
          <w:kern w:val="0"/>
          <w:sz w:val="32"/>
          <w:szCs w:val="32"/>
          <w:shd w:val="clear" w:color="auto" w:fill="FFFFFF"/>
          <w:lang w:bidi="ar"/>
        </w:rPr>
        <w:t>各层级对下级提交的风险点信息，经筛选、确认、分类汇总，填报风险点清单。清单要全面动态反映各地区、行业、单位内风险点的部位、状态等，清楚描述每个风险点的产生条件、表现特征，初步判定风险类型和等级，以及在风险一旦失控的情况下可能导致的后果等。</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（5）规范精准确认信息。</w:t>
      </w:r>
      <w:r>
        <w:rPr>
          <w:rFonts w:hint="eastAsia" w:ascii="仿宋" w:hAnsi="仿宋" w:eastAsia="仿宋" w:cs="仿宋"/>
          <w:kern w:val="0"/>
          <w:sz w:val="32"/>
          <w:szCs w:val="32"/>
          <w:shd w:val="clear" w:color="auto" w:fill="FFFFFF"/>
          <w:lang w:bidi="ar"/>
        </w:rPr>
        <w:t>各镇街开发区、各行业主管部门认真筛选、确认各社区、企业提交的风险点信息，并督促其根据风险点变化情况，做好动态实时更新；将确认后的风险点清单上报区安委办。根据风险点的变化情况，做好动态实时更新，为后续开展风险研判，进而有效管控各类风险提供基础。</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（二）建立风险研判机制，科学应对安全风险。</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要建立完善安全风险评估与论证机制。对风险点查找阶段发现的风险应进行分类、分级，实时调整风险等级，逐级核定风险级别，并及时公告风险信息，提高风险研判的科学性、准确性和高效性，以便对各风险点采取针对性的管理措施。</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1.合理进行风险分类。</w:t>
      </w:r>
      <w:r>
        <w:rPr>
          <w:rFonts w:hint="eastAsia" w:ascii="仿宋" w:hAnsi="仿宋" w:eastAsia="仿宋" w:cs="仿宋"/>
          <w:kern w:val="0"/>
          <w:sz w:val="32"/>
          <w:szCs w:val="32"/>
          <w:shd w:val="clear" w:color="auto" w:fill="FFFFFF"/>
          <w:lang w:bidi="ar"/>
        </w:rPr>
        <w:t>对于查找阶段提交的风险清单，按照《生产过程危险和有害因素分类与代码》（GB/T 13861-2009）、《企业职工伤亡事故分类标准》（GB 6441-1986）分类标准，分行业、领域和场所（见附件</w:t>
      </w:r>
      <w:r>
        <w:rPr>
          <w:rFonts w:hint="eastAsia" w:ascii="仿宋" w:hAnsi="仿宋" w:eastAsia="仿宋" w:cs="仿宋"/>
          <w:kern w:val="0"/>
          <w:sz w:val="32"/>
          <w:szCs w:val="32"/>
          <w:shd w:val="clear" w:color="auto" w:fill="FFFFFF"/>
          <w:lang w:val="en-US" w:eastAsia="zh-CN" w:bidi="ar"/>
        </w:rPr>
        <w:t>2</w:t>
      </w:r>
      <w:r>
        <w:rPr>
          <w:rFonts w:hint="eastAsia" w:ascii="仿宋" w:hAnsi="仿宋" w:eastAsia="仿宋" w:cs="仿宋"/>
          <w:kern w:val="0"/>
          <w:sz w:val="32"/>
          <w:szCs w:val="32"/>
          <w:shd w:val="clear" w:color="auto" w:fill="FFFFFF"/>
          <w:lang w:bidi="ar"/>
        </w:rPr>
        <w:t>）对风险进行分类。</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2.科学实施风险分级。</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（1）对于风险点查找阶段发现的风险，综合考虑事故发生的可能性以及事故发生后果的严重性，将风险点按其风险大小由高到低分为红色、橙色、黄色、蓝色四个等级（见附件</w:t>
      </w:r>
      <w:r>
        <w:rPr>
          <w:rFonts w:hint="eastAsia" w:ascii="仿宋" w:hAnsi="仿宋" w:eastAsia="仿宋" w:cs="仿宋"/>
          <w:kern w:val="0"/>
          <w:sz w:val="32"/>
          <w:szCs w:val="32"/>
          <w:shd w:val="clear" w:color="auto" w:fill="FFFFFF"/>
          <w:lang w:val="en-US" w:eastAsia="zh-CN" w:bidi="ar"/>
        </w:rPr>
        <w:t>5</w:t>
      </w:r>
      <w:r>
        <w:rPr>
          <w:rFonts w:hint="eastAsia" w:ascii="仿宋" w:hAnsi="仿宋" w:eastAsia="仿宋" w:cs="仿宋"/>
          <w:kern w:val="0"/>
          <w:sz w:val="32"/>
          <w:szCs w:val="32"/>
          <w:shd w:val="clear" w:color="auto" w:fill="FFFFFF"/>
          <w:lang w:bidi="ar"/>
        </w:rPr>
        <w:t>）。每个风险点分级结果录入风险点管理信息系统，并对红色、橙色等级风险点专门建档。</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（2）生产经营单位的风险分级工作由本单位组织实施，各属地、各行业管理部门负责督促落实；其他场所的风险分级工作由所在镇街开发区、行业主管部门负责组织实施，也可委托第三方服务机构协助实施。</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（3）各镇街开发区、各行业主管部门及生产经营单位及时核定风险级别，形成清单报区安委办（联系电话：64371709，联系人：徐王先</w:t>
      </w:r>
      <w:r>
        <w:rPr>
          <w:rFonts w:hint="eastAsia" w:ascii="仿宋" w:hAnsi="仿宋" w:eastAsia="仿宋" w:cs="仿宋"/>
          <w:kern w:val="0"/>
          <w:sz w:val="32"/>
          <w:szCs w:val="32"/>
          <w:shd w:val="clear" w:color="auto" w:fill="FFFFFF"/>
          <w:lang w:val="en-US" w:eastAsia="zh-CN" w:bidi="ar"/>
        </w:rPr>
        <w:t>,邮箱：412250569@qq.com</w:t>
      </w:r>
      <w:r>
        <w:rPr>
          <w:rFonts w:hint="eastAsia" w:ascii="仿宋" w:hAnsi="仿宋" w:eastAsia="仿宋" w:cs="仿宋"/>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3.实时调整风险等级。</w:t>
      </w:r>
      <w:r>
        <w:rPr>
          <w:rFonts w:hint="eastAsia" w:ascii="仿宋" w:hAnsi="仿宋" w:eastAsia="仿宋" w:cs="仿宋"/>
          <w:kern w:val="0"/>
          <w:sz w:val="32"/>
          <w:szCs w:val="32"/>
          <w:shd w:val="clear" w:color="auto" w:fill="FFFFFF"/>
          <w:lang w:bidi="ar"/>
        </w:rPr>
        <w:t>各镇街开发区、各行业主管部门针对风险点的动态变化，须及时调整风险等级，实施动态评估分级。</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（1）风险点自身发生变化；</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（2）风险点周边环境发生变化；</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（3）组织管理形式发生变化；</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（4）同类型风险点或相关行业发生较大影响的事故灾害；</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（5）国家、地方和行业相关法律、法规、标准和规范发生变化；</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（6）其他情况。</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4.及时公告风险信息。</w:t>
      </w:r>
      <w:r>
        <w:rPr>
          <w:rFonts w:hint="eastAsia" w:ascii="仿宋" w:hAnsi="仿宋" w:eastAsia="仿宋" w:cs="仿宋"/>
          <w:kern w:val="0"/>
          <w:sz w:val="32"/>
          <w:szCs w:val="32"/>
          <w:shd w:val="clear" w:color="auto" w:fill="FFFFFF"/>
          <w:lang w:bidi="ar"/>
        </w:rPr>
        <w:t>各镇街开发区、各行业主管部门应在风险点管理信息系统上，结合风险分类、分级结果，形成安全风险点空间分布图，并及时公告。</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（三）建立风险预警机制，增强风险防控的主动性。</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对于风险研判阶段确定的红色、橙色、黄色、蓝色四个等级的风险点，加强预测预警，强化监测监控，做到早预警、早干预，及时督促整治，进一步增强安全生产工作的主动性和预见性。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1.科学进行风险预警分级。</w:t>
      </w:r>
      <w:r>
        <w:rPr>
          <w:rFonts w:hint="eastAsia" w:ascii="仿宋" w:hAnsi="仿宋" w:eastAsia="仿宋" w:cs="仿宋"/>
          <w:kern w:val="0"/>
          <w:sz w:val="32"/>
          <w:szCs w:val="32"/>
          <w:shd w:val="clear" w:color="auto" w:fill="FFFFFF"/>
          <w:lang w:bidi="ar"/>
        </w:rPr>
        <w:t>风险预警由高到低分为四级：Ⅰ级预警（特别严重）、Ⅱ级预警（严重）、Ⅲ级预警（较重）、Ⅳ级预警（一般），预警级别依次用红色、橙色、黄色、蓝色四种颜色表示 (见附件</w:t>
      </w:r>
      <w:r>
        <w:rPr>
          <w:rFonts w:hint="eastAsia" w:ascii="仿宋" w:hAnsi="仿宋" w:eastAsia="仿宋" w:cs="仿宋"/>
          <w:kern w:val="0"/>
          <w:sz w:val="32"/>
          <w:szCs w:val="32"/>
          <w:shd w:val="clear" w:color="auto" w:fill="FFFFFF"/>
          <w:lang w:val="en-US" w:eastAsia="zh-CN" w:bidi="ar"/>
        </w:rPr>
        <w:t>6</w:t>
      </w:r>
      <w:r>
        <w:rPr>
          <w:rFonts w:hint="eastAsia" w:ascii="仿宋" w:hAnsi="仿宋" w:eastAsia="仿宋" w:cs="仿宋"/>
          <w:kern w:val="0"/>
          <w:sz w:val="32"/>
          <w:szCs w:val="32"/>
          <w:shd w:val="clear" w:color="auto" w:fill="FFFFFF"/>
          <w:lang w:bidi="ar"/>
        </w:rPr>
        <w:t>) 。</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2.及时发布风险预警信息。</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对于风险研判阶段确定的红色、橙色、黄色、蓝色四个等级的风险点，加强预测预警，强化监测监控，做到早预警、早干预，及时督促整治。</w:t>
      </w:r>
      <w:r>
        <w:rPr>
          <w:rFonts w:hint="eastAsia" w:ascii="仿宋_GB2312" w:hAnsi="宋体" w:eastAsia="仿宋_GB2312" w:cs="仿宋_GB2312"/>
          <w:color w:val="000000"/>
          <w:kern w:val="0"/>
          <w:sz w:val="32"/>
          <w:szCs w:val="32"/>
          <w:shd w:val="clear" w:color="auto" w:fill="FFFFFF"/>
          <w:lang w:bidi="ar"/>
        </w:rPr>
        <w:t>政府应急机构或者有关部门（以下统称预警发布单位）</w:t>
      </w:r>
      <w:r>
        <w:rPr>
          <w:rFonts w:hint="eastAsia" w:ascii="仿宋" w:hAnsi="仿宋" w:eastAsia="仿宋" w:cs="仿宋"/>
          <w:kern w:val="0"/>
          <w:sz w:val="32"/>
          <w:szCs w:val="32"/>
          <w:shd w:val="clear" w:color="auto" w:fill="FFFFFF"/>
          <w:lang w:bidi="ar"/>
        </w:rPr>
        <w:t>要按照相关规定通过网站、广播、电视、微博等渠道及时向社会发布预警信息，明确预警级别、发布时间、可能影响的范围、警示事项、采取的措施、预警时效等。</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3.快速响应风险预警。</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（1）红色预警:要立即做好应急准备工作，实施预警处理，加强监测、巡查和跟踪，同时逐级上报至省政府应急办及有关部门。</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（2）橙色预警:要立即做好应急准备工作，实施预警处理，加强监测、巡查和跟踪，同时逐级上报至市政府应急办及有关部门。</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（3）黄色预警:要立即做好应急准备工作，实施预警处理，加强监测、巡查和跟踪，同时逐级上报至区政府应急办及有关部门。</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（4）蓝色预警:须随时关注预警的风险状况，加强监测、巡查和跟踪。</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4.实时调整风险预警级别。</w:t>
      </w:r>
      <w:r>
        <w:rPr>
          <w:rFonts w:hint="eastAsia" w:ascii="仿宋" w:hAnsi="仿宋" w:eastAsia="仿宋" w:cs="仿宋"/>
          <w:kern w:val="0"/>
          <w:sz w:val="32"/>
          <w:szCs w:val="32"/>
          <w:shd w:val="clear" w:color="auto" w:fill="FFFFFF"/>
          <w:lang w:bidi="ar"/>
        </w:rPr>
        <w:t>预警发布单位在发布预警信息后，需要密切关注风险的发展趋势，按照规定的权限和程序，实时调整风险预警级别，并及时发布调整后的预警信息。</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5.适时解除风险预警信号。</w:t>
      </w:r>
      <w:r>
        <w:rPr>
          <w:rFonts w:hint="eastAsia" w:ascii="仿宋" w:hAnsi="仿宋" w:eastAsia="仿宋" w:cs="仿宋"/>
          <w:kern w:val="0"/>
          <w:sz w:val="32"/>
          <w:szCs w:val="32"/>
          <w:shd w:val="clear" w:color="auto" w:fill="FFFFFF"/>
          <w:lang w:bidi="ar"/>
        </w:rPr>
        <w:t>各镇街开发区、各行业主管部门采用技术与管理措施后，导致发生预警的因素已得到妥善处置或消失，具备预警解除条件时，由预警发布单位及时解除预警信号。</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6.分析触发风险预警原因。</w:t>
      </w:r>
      <w:r>
        <w:rPr>
          <w:rFonts w:hint="eastAsia" w:ascii="仿宋" w:hAnsi="仿宋" w:eastAsia="仿宋" w:cs="仿宋"/>
          <w:kern w:val="0"/>
          <w:sz w:val="32"/>
          <w:szCs w:val="32"/>
          <w:shd w:val="clear" w:color="auto" w:fill="FFFFFF"/>
          <w:lang w:bidi="ar"/>
        </w:rPr>
        <w:t>预警发布单位要对触发预警的原因进行综合分析，提出改进风险防范的措施和建议，督促完善防范措施，持续改进完善预警机制，提高风险管控能力。</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（四）建立风险防范机制，分级分类防控风险。</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各镇街开发区、各行业主管部门根据风险研判结果，依据国家标准、规范及有关规定，制定、完善风险防范措施，并严格组织落实，实现风险可控。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1.认真组织制定防范措施。</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企业或单位是风险防范的主体，各镇街开发区、各行业主管部门要督促所监管的企业或有关单位根据风险研判结果，制定、完善风险防范措施，并严格组织落实，实行安全风险自查自改自报闭环管理。应针对高危工艺、设备、物品、场所和岗位，按照相关法律法规和标准规范，从组织、制度、技术、应急等方面，制定并落实相应风险级别的具体风险防范措施，通过隔离风险点、实施个体防护、设置监控设施等手段，达到消除、降低风险的目的。在风险点醒目位置设置安全风险告知卡，标明主要安全风险、可能引发的事故隐患类别、事故后果、管控措施、应急措施及报告方式等内容。</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各镇街开发区、各行业主管部门要按照“分级、属地管理、行业监管，谁主管，谁负责”的原则，采取制度、标准、技术、经济、管理等措施，依法督促相关企业和单位采取风险防范和技术保障措施，降低和消除事故风险。</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2.强化风险源头管理。</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（1）制定重大政策、实施重大工程、举办重大活动时，要先期开展专项安全风险评估，根据评估结果制定有针对性的安全风险管控措施和应急预案。</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（2）项目审批部门在项目审批时，要抄送同级负有安全监管职责的部门，全面落实建设项目安全设施“三同时”各个阶段的监督和审查责任；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（3）高危项目审批必须把安全生产作为前置条件，城乡规划、设计、建设、管理各项工作必须以安全为前提，实施风险评估，对重大风险项目“一票否决”。</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（4）持续推进企业安全生产标准化建设，通过安全管理、操作行为、设备设施和作业环境的标准化，夯实安全基础。</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（5）科学合理确定企业选址和基础设施建设、居民生活区空间布局。要紧密结合供给侧结构性改革，推动高危产业转型升级。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3.突出高风险重点管控。</w:t>
      </w:r>
      <w:r>
        <w:rPr>
          <w:rFonts w:hint="eastAsia" w:ascii="仿宋" w:hAnsi="仿宋" w:eastAsia="仿宋" w:cs="仿宋"/>
          <w:kern w:val="0"/>
          <w:sz w:val="32"/>
          <w:szCs w:val="32"/>
          <w:shd w:val="clear" w:color="auto" w:fill="FFFFFF"/>
          <w:lang w:bidi="ar"/>
        </w:rPr>
        <w:t>加大高风险等级风险点检查频率和监管力度，红色、橙色等级的风险点要建立专门档案，强化风险防范技术、制度、管理措施，其中红色等级风险点每3年要组织第三方进行1次全面分析、评估，确保高等级风险点安全可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4.加强防范措施落实检查。</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（1）各镇街开发区、各行业主管部门督促所监管的行业领域企业和单位结合安全隐患排查治理体系建设，并根据风险点查找和研判结果组织制定安全隐患排查清单。</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各生产经营单位组织开展厂（公司）、车间、班组级巡回检查、例行检查、综合检查和专业检查，及时掌握管理范围内各风险防范措施落实情况。对红色、橙色等级风险点每班至少检查1次，黄色等级风险点每周至少检查1次，蓝色等级风险点每半月至少检查1次，其他风险点每月至少检查1次。</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各级负有安全监管职责的部门通过安全生产大检查、专项检查、执法检查、专家会诊、区域性评估等方式，按照执法计划或工作计划，定期对较高风险等级风险点的防范措施落实情况进行综合检查或专项检查。</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4）对排查出的所有安全隐患，要按照责任、措施、资金、时限和预案“五落实”的要求，制定并严格落实隐患治理方案，确保将事故消灭在萌芽状态。红色、橙色等级风险点安全隐患排查记录、治理方案和销案台账应纳入专门档案管理。</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5.强化隐患排查治理执法。</w:t>
      </w:r>
      <w:r>
        <w:rPr>
          <w:rFonts w:hint="eastAsia" w:ascii="仿宋" w:hAnsi="仿宋" w:eastAsia="仿宋" w:cs="仿宋"/>
          <w:kern w:val="0"/>
          <w:sz w:val="32"/>
          <w:szCs w:val="32"/>
          <w:shd w:val="clear" w:color="auto" w:fill="FFFFFF"/>
          <w:lang w:bidi="ar"/>
        </w:rPr>
        <w:t>对高风险且无法有效管控降低风险的单位、企业，要依法采取停产停业、停止施工、停止供电和查封扣押等措施，按规定给予上限经济处罚，对构成犯罪的要移送司法机关依法追究刑事责任。对一时无法关闭、取缔的重大风险点，要结合实际划定禁区，尽可能把风险限制在可防、可控范围内。</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6.实施防范措施动态管理。</w:t>
      </w:r>
      <w:r>
        <w:rPr>
          <w:rFonts w:hint="eastAsia" w:ascii="仿宋" w:hAnsi="仿宋" w:eastAsia="仿宋" w:cs="仿宋"/>
          <w:kern w:val="0"/>
          <w:sz w:val="32"/>
          <w:szCs w:val="32"/>
          <w:shd w:val="clear" w:color="auto" w:fill="FFFFFF"/>
          <w:lang w:bidi="ar"/>
        </w:rPr>
        <w:t>各镇街开发区、各行业主管部门进行风险点清单周期性更新，因环境、设施、组织、人员、活动等变更而导致风险点和风险研判结果变化时，要对防范措施的适用性等重新进行检查评估。对不适用的安全防范措施要及时修订完善。</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（五）建立风险处置机制，确保风险可控可防。</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针对不同风险点可能发生的后果，坚持抢早抢小的原则，采取科学有效措施，实行风险差异化处置，加强应急处置保障能力建设，确保关键时刻处置准、处置快、处置好。</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1.加强事故初期处置。</w:t>
      </w:r>
      <w:r>
        <w:rPr>
          <w:rFonts w:hint="eastAsia" w:ascii="仿宋" w:hAnsi="仿宋" w:eastAsia="仿宋" w:cs="仿宋"/>
          <w:kern w:val="0"/>
          <w:sz w:val="32"/>
          <w:szCs w:val="32"/>
          <w:shd w:val="clear" w:color="auto" w:fill="FFFFFF"/>
          <w:lang w:bidi="ar"/>
        </w:rPr>
        <w:t>发生险情或出现事故苗头时，网格单元现场人员应根据风险点的性质特点、危害程度，立即按现场处置方案科学处置，并同时向本单位负责人或者有关部门报告，防止事态扩大。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2.准确应对事故险情。</w:t>
      </w:r>
      <w:r>
        <w:rPr>
          <w:rFonts w:hint="eastAsia" w:ascii="仿宋" w:hAnsi="仿宋" w:eastAsia="仿宋" w:cs="仿宋"/>
          <w:kern w:val="0"/>
          <w:sz w:val="32"/>
          <w:szCs w:val="32"/>
          <w:shd w:val="clear" w:color="auto" w:fill="FFFFFF"/>
          <w:lang w:bidi="ar"/>
        </w:rPr>
        <w:t>事故发生地政府及有关行业部门、单位接到事故报告后，根据险情程度或已造成的损失大小，研判应启动的响应等级，并按照应急预案立即组织实施。</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3.科学组织施救。</w:t>
      </w:r>
      <w:r>
        <w:rPr>
          <w:rFonts w:hint="eastAsia" w:ascii="仿宋" w:hAnsi="仿宋" w:eastAsia="仿宋" w:cs="仿宋"/>
          <w:kern w:val="0"/>
          <w:sz w:val="32"/>
          <w:szCs w:val="32"/>
          <w:shd w:val="clear" w:color="auto" w:fill="FFFFFF"/>
          <w:lang w:bidi="ar"/>
        </w:rPr>
        <w:t>响应事故救援的有关政府或单位，按照有关应急预案规定，成立事故应急处置现场指挥部。根据事故的具体情况，科学制定具体的施救方案。要合理调配相关专业救援队伍、医疗、公安力量和物资、装备、器材，加强宣传和舆情引导，加强组织协调和现场管控，迅速开展施救。救援过程中要注意防止事故的扩大及次生事故的发生。</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4.妥善处置善后工作。</w:t>
      </w:r>
      <w:r>
        <w:rPr>
          <w:rFonts w:hint="eastAsia" w:ascii="仿宋" w:hAnsi="仿宋" w:eastAsia="仿宋" w:cs="仿宋"/>
          <w:kern w:val="0"/>
          <w:sz w:val="32"/>
          <w:szCs w:val="32"/>
          <w:shd w:val="clear" w:color="auto" w:fill="FFFFFF"/>
          <w:lang w:bidi="ar"/>
        </w:rPr>
        <w:t>事故威胁和危害得到控制或者消除后，属地、相关部门及事故发生单位要采取必要措施，妥善安置和慰问受害、受影响人员，开展遇难人员善后和赔偿、征用物资补偿、协调应急救援队伍补偿等工作，尽快消除事故影响，恢复社会正常秩序。组织相关部门和专业技术力量，对事故造成的损失和应对处置工作进行统计、调查和评估，总结经验教训。</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5.提高风险处置保障能力。</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完善应急预案。预案编制单位应根据风险类别等级、特点及性质，制定综合应急预案、专项应急预案或现场处置方案，突出预案针对性、实用性、科学性。组织事故应急处置效果评估，查找应急预案存在的问题，并不断修改完善。</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强化应急预案演练。各镇街开发区、各行业主管部门、生产经营单位应按相关规定定期组织应急预案演练，并对演练效果进行评估。各镇街开发区、各行业主管部门、生产经营单位应采取多种形式开展应急预案培训，普及避险、自救和互救知识，提高从业人员和社会公众的应急处置技能。</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（3）推进专业应急队伍建设。加强危险物品生产、经营、储存单位以及金属冶炼、城市轨道交通运营、建筑施工等行业领域专业应急队伍建设。建立健全应急处置队伍建设、装备物资等保障制度。</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（六）建立风险责任机制，落实安全管控责任。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按照“五级五覆盖”和“五落实五到位”的要求，对照风险点清单，将风险管控责任进一步分解细化，划分网格单元，明确责任单位，落实责任人，确保风险管控工作落实到位。</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1.科学划分网格责任。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以镇街开发区、行业主管部门、社区等各层级为责任单位，以社区为最小风险责任单元，逐层逐级划分网格，通过“范围定格、网格定人、人员定责”，建立“横到边、纵到底”的覆盖全区的网格化责任体系，确保每个网格有人管、管到位、出成效。</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各生产经营单位或有关单位，要划分最小风险责任单元，落实全员网格化管理责任。要建立风险管控责任制，明确各级人员的风险管控责任。同时，动员全员参与，做到上下联动、全域覆盖，延伸安全风险排查触角，夯实安全基础。</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b/>
          <w:bCs/>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2.明确推进风险管控工作职责。</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各镇街开发区、各行业主管部门负责组织落实本辖区、本行业领域风险管控工作，制定具体的实施方案、负责编制本辖区、本行业领域《安全风险点查找指导手册》（如相关行业领域已有国家或省相关法律法规、文件明确安全风险点查找内容按其要求执行），收集、填报风险点的数据信息，汇总风险点清单，审核、确认风险点等级，编制风险点排查管控清单；根据风险评级结果，落实不同风险等级的差异化动态管理，明确风险管控和监管责任单位。开展安全风险管控培训工作。每年度向区政府安委会办公室报送风险管控工作报告。</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各镇街开发区落实社区网格划分、网格责任人，收集网格内风险点信息，并进行初步风险研判，及时填报信息并上报至区政府安委会办公室。各社区负责将区域内小微企业及公共区域划分为若干网格，明确各网格责任人，明确安全生产责任，做好风险点基本信息采集、上报等工作。</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3.加强责任落实检查。</w:t>
      </w:r>
      <w:r>
        <w:rPr>
          <w:rFonts w:hint="eastAsia" w:ascii="仿宋" w:hAnsi="仿宋" w:eastAsia="仿宋" w:cs="仿宋"/>
          <w:kern w:val="0"/>
          <w:sz w:val="32"/>
          <w:szCs w:val="32"/>
          <w:shd w:val="clear" w:color="auto" w:fill="FFFFFF"/>
          <w:lang w:bidi="ar"/>
        </w:rPr>
        <w:t>各镇街开发区、各行业主管部门要将开展安全风险管控构建“六项机制”工作的落实情况纳入巡查、督查、检查的重要内容。要对照风险管控责任清单，逐一对照检查，督促落实责任分工，利用信息化手段掌握辖区内各级、各单位风险管控工作和风险点实时情况，及时提醒、提示、督促风险管控责任落实到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安全风险管控“六项机制”工作流程图详见附件</w:t>
      </w:r>
      <w:r>
        <w:rPr>
          <w:rFonts w:hint="eastAsia" w:ascii="仿宋" w:hAnsi="仿宋" w:eastAsia="仿宋" w:cs="仿宋"/>
          <w:kern w:val="0"/>
          <w:sz w:val="32"/>
          <w:szCs w:val="32"/>
          <w:shd w:val="clear" w:color="auto" w:fill="FFFFFF"/>
          <w:lang w:val="en-US" w:eastAsia="zh-CN" w:bidi="ar"/>
        </w:rPr>
        <w:t>7</w:t>
      </w:r>
      <w:r>
        <w:rPr>
          <w:rFonts w:hint="eastAsia" w:ascii="仿宋" w:hAnsi="仿宋" w:eastAsia="仿宋" w:cs="仿宋"/>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（七）信息化支撑保障</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为实现安全风险管控构建“六项机制”工作的数据共享，确保安全风险管控顺利开展，省政府安委会办公室统筹建设“安徽省风险管控信息系统”（以下简称“省风控系统”），后续省政府安委会将为我区各镇街开发区、社区、网格员等不同层级用户设置相应的权限。通过“省风控系统”，实现风险点的数字化管理。</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1.实现风险点的清单化、动态化的数据信息管理。</w:t>
      </w:r>
      <w:r>
        <w:rPr>
          <w:rFonts w:hint="eastAsia" w:ascii="仿宋" w:hAnsi="仿宋" w:eastAsia="仿宋" w:cs="仿宋"/>
          <w:kern w:val="0"/>
          <w:sz w:val="32"/>
          <w:szCs w:val="32"/>
          <w:shd w:val="clear" w:color="auto" w:fill="FFFFFF"/>
          <w:lang w:bidi="ar"/>
        </w:rPr>
        <w:t>能够及时更新，保证风险点信息的准确性、风险级别的可调整性，方便相关人员对风险点数据的管理。</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2.实现风险点的图形化管理。</w:t>
      </w:r>
      <w:r>
        <w:rPr>
          <w:rFonts w:hint="eastAsia" w:ascii="仿宋" w:hAnsi="仿宋" w:eastAsia="仿宋" w:cs="仿宋"/>
          <w:kern w:val="0"/>
          <w:sz w:val="32"/>
          <w:szCs w:val="32"/>
          <w:shd w:val="clear" w:color="auto" w:fill="FFFFFF"/>
          <w:lang w:bidi="ar"/>
        </w:rPr>
        <w:t>建立分辖区、分行业领域、分种类的多图层地图信息系统，实现各级政府、各相关部门以及相关人员均可在其权限范围内查询、显示和管理风险点电子地图资源。</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3.实现预警信息的电子化管理。</w:t>
      </w:r>
      <w:r>
        <w:rPr>
          <w:rFonts w:hint="eastAsia" w:ascii="仿宋" w:hAnsi="仿宋" w:eastAsia="仿宋" w:cs="仿宋"/>
          <w:kern w:val="0"/>
          <w:sz w:val="32"/>
          <w:szCs w:val="32"/>
          <w:shd w:val="clear" w:color="auto" w:fill="FFFFFF"/>
          <w:lang w:bidi="ar"/>
        </w:rPr>
        <w:t>鼓励有条件、有能力的生产经营单位或主管部门开发建设风险监测预警系统，对风险点实时监控、及时预警。</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4.实现不同系统的关联和交互功能。</w:t>
      </w:r>
      <w:r>
        <w:rPr>
          <w:rFonts w:hint="eastAsia" w:ascii="仿宋" w:hAnsi="仿宋" w:eastAsia="仿宋" w:cs="仿宋"/>
          <w:kern w:val="0"/>
          <w:sz w:val="32"/>
          <w:szCs w:val="32"/>
          <w:shd w:val="clear" w:color="auto" w:fill="FFFFFF"/>
          <w:lang w:bidi="ar"/>
        </w:rPr>
        <w:t>“省风控系统”具备与其他相关系统进行数据关联和交互的功能。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outlineLvl w:val="9"/>
        <w:rPr>
          <w:rFonts w:ascii="黑体" w:hAnsi="宋体" w:eastAsia="黑体" w:cs="黑体"/>
          <w:bCs/>
          <w:color w:val="000000"/>
          <w:kern w:val="0"/>
          <w:sz w:val="32"/>
          <w:szCs w:val="32"/>
          <w:shd w:val="clear" w:color="auto" w:fill="FFFFFF"/>
          <w:lang w:bidi="ar"/>
        </w:rPr>
      </w:pPr>
      <w:r>
        <w:rPr>
          <w:rFonts w:hint="eastAsia" w:ascii="黑体" w:hAnsi="宋体" w:eastAsia="黑体" w:cs="黑体"/>
          <w:bCs/>
          <w:color w:val="000000"/>
          <w:kern w:val="0"/>
          <w:sz w:val="32"/>
          <w:szCs w:val="32"/>
          <w:shd w:val="clear" w:color="auto" w:fill="FFFFFF"/>
          <w:lang w:bidi="ar"/>
        </w:rPr>
        <w:t>四、工作进度安排</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（一）</w:t>
      </w:r>
      <w:r>
        <w:rPr>
          <w:rFonts w:ascii="楷体" w:hAnsi="楷体" w:eastAsia="楷体" w:cs="楷体"/>
          <w:b/>
          <w:color w:val="000000"/>
          <w:kern w:val="0"/>
          <w:sz w:val="32"/>
          <w:szCs w:val="32"/>
          <w:shd w:val="clear" w:color="auto" w:fill="FFFFFF"/>
          <w:lang w:bidi="ar"/>
        </w:rPr>
        <w:t>全面启动，选树典型（2017年</w:t>
      </w:r>
      <w:r>
        <w:rPr>
          <w:rFonts w:hint="eastAsia" w:ascii="楷体" w:hAnsi="楷体" w:eastAsia="楷体" w:cs="楷体"/>
          <w:b/>
          <w:color w:val="000000"/>
          <w:kern w:val="0"/>
          <w:sz w:val="32"/>
          <w:szCs w:val="32"/>
          <w:shd w:val="clear" w:color="auto" w:fill="FFFFFF"/>
          <w:lang w:bidi="ar"/>
        </w:rPr>
        <w:t>8</w:t>
      </w:r>
      <w:r>
        <w:rPr>
          <w:rFonts w:ascii="楷体" w:hAnsi="楷体" w:eastAsia="楷体" w:cs="楷体"/>
          <w:b/>
          <w:color w:val="000000"/>
          <w:kern w:val="0"/>
          <w:sz w:val="32"/>
          <w:szCs w:val="32"/>
          <w:shd w:val="clear" w:color="auto" w:fill="FFFFFF"/>
          <w:lang w:bidi="ar"/>
        </w:rPr>
        <w:t>月底前）。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要成立“六项机制”领导小组，结合本辖区、本行业（领域）实际，制定工作实施方案，明确工作目标、任务，细化工作措施，选树典型，全力打造示范样板，形成典型经验做法，通过召开现场会等形式，以点带面，全面推进。</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hint="eastAsia" w:ascii="楷体" w:hAnsi="楷体" w:eastAsia="楷体" w:cs="楷体"/>
          <w:b/>
          <w:color w:val="000000"/>
          <w:kern w:val="0"/>
          <w:sz w:val="32"/>
          <w:szCs w:val="32"/>
          <w:shd w:val="clear" w:color="auto" w:fill="FFFFFF"/>
          <w:lang w:bidi="ar"/>
        </w:rPr>
        <w:t>（二）</w:t>
      </w:r>
      <w:r>
        <w:rPr>
          <w:rFonts w:ascii="楷体" w:hAnsi="楷体" w:eastAsia="楷体" w:cs="楷体"/>
          <w:b/>
          <w:color w:val="000000"/>
          <w:kern w:val="0"/>
          <w:sz w:val="32"/>
          <w:szCs w:val="32"/>
          <w:shd w:val="clear" w:color="auto" w:fill="FFFFFF"/>
          <w:lang w:bidi="ar"/>
        </w:rPr>
        <w:t>编制手册，专题培训（2017年</w:t>
      </w:r>
      <w:r>
        <w:rPr>
          <w:rFonts w:hint="eastAsia" w:ascii="楷体" w:hAnsi="楷体" w:eastAsia="楷体" w:cs="楷体"/>
          <w:b/>
          <w:color w:val="000000"/>
          <w:kern w:val="0"/>
          <w:sz w:val="32"/>
          <w:szCs w:val="32"/>
          <w:shd w:val="clear" w:color="auto" w:fill="FFFFFF"/>
          <w:lang w:bidi="ar"/>
        </w:rPr>
        <w:t>7</w:t>
      </w:r>
      <w:r>
        <w:rPr>
          <w:rFonts w:ascii="楷体" w:hAnsi="楷体" w:eastAsia="楷体" w:cs="楷体"/>
          <w:b/>
          <w:color w:val="000000"/>
          <w:kern w:val="0"/>
          <w:sz w:val="32"/>
          <w:szCs w:val="32"/>
          <w:shd w:val="clear" w:color="auto" w:fill="FFFFFF"/>
          <w:lang w:bidi="ar"/>
        </w:rPr>
        <w:t>月-</w:t>
      </w:r>
      <w:r>
        <w:rPr>
          <w:rFonts w:hint="eastAsia" w:ascii="楷体" w:hAnsi="楷体" w:eastAsia="楷体" w:cs="楷体"/>
          <w:b/>
          <w:color w:val="000000"/>
          <w:kern w:val="0"/>
          <w:sz w:val="32"/>
          <w:szCs w:val="32"/>
          <w:shd w:val="clear" w:color="auto" w:fill="FFFFFF"/>
          <w:lang w:bidi="ar"/>
        </w:rPr>
        <w:t>9</w:t>
      </w:r>
      <w:r>
        <w:rPr>
          <w:rFonts w:ascii="楷体" w:hAnsi="楷体" w:eastAsia="楷体" w:cs="楷体"/>
          <w:b/>
          <w:color w:val="000000"/>
          <w:kern w:val="0"/>
          <w:sz w:val="32"/>
          <w:szCs w:val="32"/>
          <w:shd w:val="clear" w:color="auto" w:fill="FFFFFF"/>
          <w:lang w:bidi="ar"/>
        </w:rPr>
        <w:t>月底前）。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各镇街开发区、各行业主管部门要参照附件</w:t>
      </w:r>
      <w:r>
        <w:rPr>
          <w:rFonts w:hint="eastAsia" w:ascii="仿宋" w:hAnsi="仿宋" w:eastAsia="仿宋" w:cs="仿宋"/>
          <w:kern w:val="0"/>
          <w:sz w:val="32"/>
          <w:szCs w:val="32"/>
          <w:shd w:val="clear" w:color="auto" w:fill="FFFFFF"/>
          <w:lang w:val="en-US" w:eastAsia="zh-CN" w:bidi="ar"/>
        </w:rPr>
        <w:t>2</w:t>
      </w:r>
      <w:r>
        <w:rPr>
          <w:rFonts w:hint="eastAsia" w:ascii="仿宋" w:hAnsi="仿宋" w:eastAsia="仿宋" w:cs="仿宋"/>
          <w:kern w:val="0"/>
          <w:sz w:val="32"/>
          <w:szCs w:val="32"/>
          <w:shd w:val="clear" w:color="auto" w:fill="FFFFFF"/>
          <w:lang w:bidi="ar"/>
        </w:rPr>
        <w:t>中所涉及的各行业领域和场所分类，划定各自责任范围，组织制定完成所管辖区域、行业领域的《安全风险点查找指导手册》，明确安全风险查找的具体依据和标准。区安委办将组织开展全区安全风险管控“六项机制”建设专题系列培训工作，按照各地实际、分行业、分类别、分批次进行全封闭式培训；要组织开展本辖区、本行业领域不同层级的安全风险管控“六项机制”建设专题培训。</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（三）构建网格，形成清单（2017年</w:t>
      </w:r>
      <w:r>
        <w:rPr>
          <w:rFonts w:hint="eastAsia" w:ascii="楷体" w:hAnsi="楷体" w:eastAsia="楷体" w:cs="楷体"/>
          <w:b/>
          <w:color w:val="000000"/>
          <w:kern w:val="0"/>
          <w:sz w:val="32"/>
          <w:szCs w:val="32"/>
          <w:shd w:val="clear" w:color="auto" w:fill="FFFFFF"/>
          <w:lang w:bidi="ar"/>
        </w:rPr>
        <w:t>7</w:t>
      </w:r>
      <w:r>
        <w:rPr>
          <w:rFonts w:ascii="楷体" w:hAnsi="楷体" w:eastAsia="楷体" w:cs="楷体"/>
          <w:b/>
          <w:color w:val="000000"/>
          <w:kern w:val="0"/>
          <w:sz w:val="32"/>
          <w:szCs w:val="32"/>
          <w:shd w:val="clear" w:color="auto" w:fill="FFFFFF"/>
          <w:lang w:bidi="ar"/>
        </w:rPr>
        <w:t>月-</w:t>
      </w:r>
      <w:r>
        <w:rPr>
          <w:rFonts w:hint="eastAsia" w:ascii="楷体" w:hAnsi="楷体" w:eastAsia="楷体" w:cs="楷体"/>
          <w:b/>
          <w:color w:val="000000"/>
          <w:kern w:val="0"/>
          <w:sz w:val="32"/>
          <w:szCs w:val="32"/>
          <w:shd w:val="clear" w:color="auto" w:fill="FFFFFF"/>
          <w:lang w:bidi="ar"/>
        </w:rPr>
        <w:t>9</w:t>
      </w:r>
      <w:r>
        <w:rPr>
          <w:rFonts w:ascii="楷体" w:hAnsi="楷体" w:eastAsia="楷体" w:cs="楷体"/>
          <w:b/>
          <w:color w:val="000000"/>
          <w:kern w:val="0"/>
          <w:sz w:val="32"/>
          <w:szCs w:val="32"/>
          <w:shd w:val="clear" w:color="auto" w:fill="FFFFFF"/>
          <w:lang w:bidi="ar"/>
        </w:rPr>
        <w:t>月底前）。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在制定《安全风险点查找指导手册》的同时，完成所辖区域、领域内安全风险管控责任网格的划分，确定网格责任人，并将网格图上报区安委办汇总。各镇街开发区、各行业主管部门要负责督促指导各社区、生产经营单位组织开展风险点查找，编制及汇总完成责任范围内的风险点清单。全面摸清各类风险点的底数，建立完整台账，按照“谁主管、谁负责”的原则，建立风险点采集、审核、报送机制。</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（四）确认分级，检查评估（2017年</w:t>
      </w:r>
      <w:r>
        <w:rPr>
          <w:rFonts w:hint="eastAsia" w:ascii="楷体" w:hAnsi="楷体" w:eastAsia="楷体" w:cs="楷体"/>
          <w:b/>
          <w:color w:val="000000"/>
          <w:kern w:val="0"/>
          <w:sz w:val="32"/>
          <w:szCs w:val="32"/>
          <w:shd w:val="clear" w:color="auto" w:fill="FFFFFF"/>
          <w:lang w:bidi="ar"/>
        </w:rPr>
        <w:t>9</w:t>
      </w:r>
      <w:r>
        <w:rPr>
          <w:rFonts w:ascii="楷体" w:hAnsi="楷体" w:eastAsia="楷体" w:cs="楷体"/>
          <w:b/>
          <w:color w:val="000000"/>
          <w:kern w:val="0"/>
          <w:sz w:val="32"/>
          <w:szCs w:val="32"/>
          <w:shd w:val="clear" w:color="auto" w:fill="FFFFFF"/>
          <w:lang w:bidi="ar"/>
        </w:rPr>
        <w:t>月-</w:t>
      </w:r>
      <w:r>
        <w:rPr>
          <w:rFonts w:hint="eastAsia" w:ascii="楷体" w:hAnsi="楷体" w:eastAsia="楷体" w:cs="楷体"/>
          <w:b/>
          <w:color w:val="000000"/>
          <w:kern w:val="0"/>
          <w:sz w:val="32"/>
          <w:szCs w:val="32"/>
          <w:shd w:val="clear" w:color="auto" w:fill="FFFFFF"/>
          <w:lang w:bidi="ar"/>
        </w:rPr>
        <w:t>10</w:t>
      </w:r>
      <w:r>
        <w:rPr>
          <w:rFonts w:ascii="楷体" w:hAnsi="楷体" w:eastAsia="楷体" w:cs="楷体"/>
          <w:b/>
          <w:color w:val="000000"/>
          <w:kern w:val="0"/>
          <w:sz w:val="32"/>
          <w:szCs w:val="32"/>
          <w:shd w:val="clear" w:color="auto" w:fill="FFFFFF"/>
          <w:lang w:bidi="ar"/>
        </w:rPr>
        <w:t>月底前）。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要按照突出自身安全工作特点、难点、重点，侧重于查找可能直接导致人员严重伤害或群体性伤害的风险点，避免风险点过于琐碎化的原则，完成对风险点清单中的风险内容筛选，确认风险分级，落实管控责任，并将确认后的风险点清单上报区安委办。各镇街开发区、各行业主管部门将风险点清单和分级等情况于10月16号前报区安委办（联系电话：64371709，联系人：徐王先</w:t>
      </w:r>
      <w:r>
        <w:rPr>
          <w:rFonts w:hint="eastAsia" w:ascii="仿宋" w:hAnsi="仿宋" w:eastAsia="仿宋" w:cs="仿宋"/>
          <w:kern w:val="0"/>
          <w:sz w:val="32"/>
          <w:szCs w:val="32"/>
          <w:shd w:val="clear" w:color="auto" w:fill="FFFFFF"/>
          <w:lang w:val="en-US" w:eastAsia="zh-CN" w:bidi="ar"/>
        </w:rPr>
        <w:t>,邮箱：412250569@qq.com</w:t>
      </w:r>
      <w:r>
        <w:rPr>
          <w:rFonts w:hint="eastAsia" w:ascii="仿宋" w:hAnsi="仿宋" w:eastAsia="仿宋" w:cs="仿宋"/>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(五)总结提高，不断完善（2017年</w:t>
      </w:r>
      <w:r>
        <w:rPr>
          <w:rFonts w:hint="eastAsia" w:ascii="楷体" w:hAnsi="楷体" w:eastAsia="楷体" w:cs="楷体"/>
          <w:b/>
          <w:color w:val="000000"/>
          <w:kern w:val="0"/>
          <w:sz w:val="32"/>
          <w:szCs w:val="32"/>
          <w:shd w:val="clear" w:color="auto" w:fill="FFFFFF"/>
          <w:lang w:bidi="ar"/>
        </w:rPr>
        <w:t>11</w:t>
      </w:r>
      <w:r>
        <w:rPr>
          <w:rFonts w:ascii="楷体" w:hAnsi="楷体" w:eastAsia="楷体" w:cs="楷体"/>
          <w:b/>
          <w:color w:val="000000"/>
          <w:kern w:val="0"/>
          <w:sz w:val="32"/>
          <w:szCs w:val="32"/>
          <w:shd w:val="clear" w:color="auto" w:fill="FFFFFF"/>
          <w:lang w:bidi="ar"/>
        </w:rPr>
        <w:t>月-</w:t>
      </w:r>
      <w:r>
        <w:rPr>
          <w:rFonts w:hint="eastAsia" w:ascii="楷体" w:hAnsi="楷体" w:eastAsia="楷体" w:cs="楷体"/>
          <w:b/>
          <w:color w:val="000000"/>
          <w:kern w:val="0"/>
          <w:sz w:val="32"/>
          <w:szCs w:val="32"/>
          <w:shd w:val="clear" w:color="auto" w:fill="FFFFFF"/>
          <w:lang w:bidi="ar"/>
        </w:rPr>
        <w:t>12</w:t>
      </w:r>
      <w:r>
        <w:rPr>
          <w:rFonts w:ascii="楷体" w:hAnsi="楷体" w:eastAsia="楷体" w:cs="楷体"/>
          <w:b/>
          <w:color w:val="000000"/>
          <w:kern w:val="0"/>
          <w:sz w:val="32"/>
          <w:szCs w:val="32"/>
          <w:shd w:val="clear" w:color="auto" w:fill="FFFFFF"/>
          <w:lang w:bidi="ar"/>
        </w:rPr>
        <w:t>月底前）。</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在“六项机制”推进过程中，要不断总结好经验、好做法，予以推广，在总结经验和修正问题的基础上，不断修订完善本属地、本行业部门的《实施方案》，把构建“六项机制”各项工作落到实处。要于每年12月15日前，向区安委办提交安全风险管控“六项机制”建设情况年度总结报告（联系电话：64371709，联系人：徐王先</w:t>
      </w:r>
      <w:r>
        <w:rPr>
          <w:rFonts w:hint="eastAsia" w:ascii="仿宋" w:hAnsi="仿宋" w:eastAsia="仿宋" w:cs="仿宋"/>
          <w:kern w:val="0"/>
          <w:sz w:val="32"/>
          <w:szCs w:val="32"/>
          <w:shd w:val="clear" w:color="auto" w:fill="FFFFFF"/>
          <w:lang w:val="en-US" w:eastAsia="zh-CN" w:bidi="ar"/>
        </w:rPr>
        <w:t>,邮箱：412250569@qq.com</w:t>
      </w:r>
      <w:r>
        <w:rPr>
          <w:rFonts w:hint="eastAsia" w:ascii="仿宋" w:hAnsi="仿宋" w:eastAsia="仿宋" w:cs="仿宋"/>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outlineLvl w:val="9"/>
        <w:rPr>
          <w:rFonts w:ascii="黑体" w:hAnsi="宋体" w:eastAsia="黑体" w:cs="黑体"/>
          <w:bCs/>
          <w:color w:val="000000"/>
          <w:kern w:val="0"/>
          <w:sz w:val="32"/>
          <w:szCs w:val="32"/>
          <w:shd w:val="clear" w:color="auto" w:fill="FFFFFF"/>
          <w:lang w:bidi="ar"/>
        </w:rPr>
      </w:pPr>
      <w:r>
        <w:rPr>
          <w:rFonts w:hint="eastAsia" w:ascii="黑体" w:hAnsi="宋体" w:eastAsia="黑体" w:cs="黑体"/>
          <w:bCs/>
          <w:color w:val="000000"/>
          <w:kern w:val="0"/>
          <w:sz w:val="32"/>
          <w:szCs w:val="32"/>
          <w:shd w:val="clear" w:color="auto" w:fill="FFFFFF"/>
          <w:lang w:bidi="ar"/>
        </w:rPr>
        <w:t>五、工作要求</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（一）强化组织领导，落实各方责任。</w:t>
      </w:r>
      <w:r>
        <w:rPr>
          <w:rFonts w:hint="eastAsia" w:ascii="仿宋" w:hAnsi="仿宋" w:eastAsia="仿宋" w:cs="仿宋"/>
          <w:kern w:val="0"/>
          <w:sz w:val="32"/>
          <w:szCs w:val="32"/>
          <w:shd w:val="clear" w:color="auto" w:fill="FFFFFF"/>
          <w:lang w:bidi="ar"/>
        </w:rPr>
        <w:t>区政府成立由分管副区长任组长、安委办主任为副组长，各安委会成员单位为组员的安全风险管控“六项机制”领导小组，区政府安委办全面负责全区安全风险管控“六项机制”建设，具体负责协调推进、培训指导、考核通报、系统完善等工作。各镇街开发区、各行业主管部门要充分认识构建安全风险管控“六项机制”对于夯实安全生产工作基础的重要意义，要将构建安全风险管控“六项机制”作为今年安全生产工作的主线。安委会成员单位及相关负有安全生产监督管理职责的部门是此项工作的责任主体，要把构建“六项机制”强化安全生产风险管控作为推进安全生产工作的重要抓手，列入重要议事日程，加强组织领导，制定实施方案，细化工作分工，切实落实责任，推进安全生产风险管控各项工作落到实处。</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1.落实属地管理责任。</w:t>
      </w:r>
      <w:r>
        <w:rPr>
          <w:rFonts w:hint="eastAsia" w:ascii="仿宋" w:hAnsi="仿宋" w:eastAsia="仿宋" w:cs="仿宋"/>
          <w:kern w:val="0"/>
          <w:sz w:val="32"/>
          <w:szCs w:val="32"/>
          <w:shd w:val="clear" w:color="auto" w:fill="FFFFFF"/>
          <w:lang w:bidi="ar"/>
        </w:rPr>
        <w:t>各镇街开发区要成立以主要负责人为组长的安全风险管控“六项机制”领导小组，设立专项资金，制定工作方案，全面推进所属辖区安全风险管控“六项机制”各项工作。</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2.落实部门监管责任。</w:t>
      </w:r>
      <w:r>
        <w:rPr>
          <w:rFonts w:hint="eastAsia" w:ascii="仿宋" w:hAnsi="仿宋" w:eastAsia="仿宋" w:cs="仿宋"/>
          <w:kern w:val="0"/>
          <w:sz w:val="32"/>
          <w:szCs w:val="32"/>
          <w:shd w:val="clear" w:color="auto" w:fill="FFFFFF"/>
          <w:lang w:bidi="ar"/>
        </w:rPr>
        <w:t>按照“管行业必须管安全、管业务必须管安全、管生产经营必须管安全”的要求和“属地管理、行业优先、分级负责”的原则，各行业主管部门要成立以主要领导为组长的安全风险管控“六项机制”领导小组，设立专项资金，制定工作方案，全面推进所属行业安全风险管控“六项机制”建设各项工作。</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3.落实企业主体责任。</w:t>
      </w:r>
      <w:r>
        <w:rPr>
          <w:rFonts w:hint="eastAsia" w:ascii="仿宋" w:hAnsi="仿宋" w:eastAsia="仿宋" w:cs="仿宋"/>
          <w:kern w:val="0"/>
          <w:sz w:val="32"/>
          <w:szCs w:val="32"/>
          <w:shd w:val="clear" w:color="auto" w:fill="FFFFFF"/>
          <w:lang w:bidi="ar"/>
        </w:rPr>
        <w:t>企业要制定并落实安全风险辨识和管控各项制度，建立健全责任制，明确企业负责人、部门（车间）负责人、班组负责人和具体岗位从业人员的风险辨识管控责任。要加强对从业人员的教育培训，掌握安全风险辨识和管控的方法、内容和要求，保证必要的资金投入，对辨识的安全风险应如实记录，建立信息台账，并采取必要的管控措施，加强预警和预测，落实责任，实行闭环管理。</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（二）完善工作机制，规范机制运行。</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sz w:val="32"/>
          <w:szCs w:val="32"/>
        </w:rPr>
      </w:pPr>
      <w:r>
        <w:rPr>
          <w:rFonts w:hint="eastAsia" w:ascii="仿宋" w:hAnsi="仿宋" w:eastAsia="仿宋" w:cs="仿宋"/>
          <w:b/>
          <w:bCs/>
          <w:kern w:val="0"/>
          <w:sz w:val="32"/>
          <w:szCs w:val="32"/>
          <w:shd w:val="clear" w:color="auto" w:fill="FFFFFF"/>
          <w:lang w:bidi="ar"/>
        </w:rPr>
        <w:t>1.纳入年度安全生产目标考核。</w:t>
      </w:r>
      <w:r>
        <w:rPr>
          <w:rFonts w:hint="eastAsia" w:ascii="仿宋" w:hAnsi="仿宋" w:eastAsia="仿宋" w:cs="仿宋"/>
          <w:sz w:val="32"/>
          <w:szCs w:val="32"/>
        </w:rPr>
        <w:t>加大政策引导力度，综合运用法律、经济和行政等手段，推动“六项机制”建设。区安委办要将该项工作开展情况纳入年度安全生产目标考核内容，发挥考核引导作用，促进工作责任落实。</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b/>
          <w:bCs/>
          <w:kern w:val="0"/>
          <w:sz w:val="32"/>
          <w:szCs w:val="32"/>
          <w:shd w:val="clear" w:color="auto" w:fill="FFFFFF"/>
          <w:lang w:bidi="ar"/>
        </w:rPr>
        <w:t>2.全面统筹系统推进“六项机制”建设。</w:t>
      </w:r>
      <w:r>
        <w:rPr>
          <w:rFonts w:hint="eastAsia" w:ascii="仿宋" w:hAnsi="仿宋" w:eastAsia="仿宋" w:cs="仿宋"/>
          <w:kern w:val="0"/>
          <w:sz w:val="32"/>
          <w:szCs w:val="32"/>
          <w:shd w:val="clear" w:color="auto" w:fill="FFFFFF"/>
          <w:lang w:bidi="ar"/>
        </w:rPr>
        <w:t>各镇街开发区、各行业主管部门要以构建安全生产“六项机制”为契机，统筹兼顾，构建安全生产长效机制，把安全生产执法检查、“打非”专项行动、深化重点行业（领域）安全专项整治、安全生产标准化建设、安全生产信息化建设与构建和推动“六项机制”相结合。</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ascii="楷体" w:hAnsi="楷体" w:eastAsia="楷体" w:cs="楷体"/>
          <w:b/>
          <w:color w:val="000000"/>
          <w:kern w:val="0"/>
          <w:sz w:val="32"/>
          <w:szCs w:val="32"/>
          <w:shd w:val="clear" w:color="auto" w:fill="FFFFFF"/>
          <w:lang w:bidi="ar"/>
        </w:rPr>
      </w:pPr>
      <w:r>
        <w:rPr>
          <w:rFonts w:ascii="楷体" w:hAnsi="楷体" w:eastAsia="楷体" w:cs="楷体"/>
          <w:b/>
          <w:color w:val="000000"/>
          <w:kern w:val="0"/>
          <w:sz w:val="32"/>
          <w:szCs w:val="32"/>
          <w:shd w:val="clear" w:color="auto" w:fill="FFFFFF"/>
          <w:lang w:bidi="ar"/>
        </w:rPr>
        <w:t>（三）全面总结经验，持续改进完善。</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构建并有效运行安全风险管控“六项机制”，是落实双重预防机制的基础性工作，是一项维护地方安全形势平稳的利在长远的系统工程，必须长期坚持推进，并不断总结经验做法予以完善。各镇街开发区、各行业主管部门每年应对风险点清单进行确认。要检查风险管控“六项机制”的各项工作落实情况并不断改进；当内外部情况发生变化时，要随时开展风险点查找及落实管控措施。在总结经验和修正问题的基础上，不断修订完善本辖区、本行业《实施方案》，使之更符合我区安全生产风险管控工作实际，切实起到管控风险隐患的效果。</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构建安全风险管控“六项机制”各环节工作都需要相关人力、物力的投入，尤其需要相关专业人员的大量参与，并适当借鉴其他地区的先进经验。各镇街开发区、各行业主管部门在工作中要积极主动寻求内、外部专业力量的支撑，借鉴成功经验，可通过政府购买社会服务的方式，委托相关专家、科研机构和第三方安全中介服务机构提供技术支持。</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各镇街开发区、各行业主管部门要按照本方案的要求，结合本地区和本行业的实际，细化实施方案，抓紧安排部署，积极开展工作，并于2017年8月</w:t>
      </w:r>
      <w:r>
        <w:rPr>
          <w:rFonts w:hint="eastAsia" w:ascii="仿宋" w:hAnsi="仿宋" w:eastAsia="仿宋" w:cs="仿宋"/>
          <w:kern w:val="0"/>
          <w:sz w:val="32"/>
          <w:szCs w:val="32"/>
          <w:shd w:val="clear" w:color="auto" w:fill="FFFFFF"/>
          <w:lang w:val="en-US" w:eastAsia="zh-CN" w:bidi="ar"/>
        </w:rPr>
        <w:t>31</w:t>
      </w:r>
      <w:r>
        <w:rPr>
          <w:rFonts w:hint="eastAsia" w:ascii="仿宋" w:hAnsi="仿宋" w:eastAsia="仿宋" w:cs="仿宋"/>
          <w:kern w:val="0"/>
          <w:sz w:val="32"/>
          <w:szCs w:val="32"/>
          <w:shd w:val="clear" w:color="auto" w:fill="FFFFFF"/>
          <w:lang w:bidi="ar"/>
        </w:rPr>
        <w:t>日前将本地区和本行业构建“六项机制”强化安全生产风险管控工作实施方案报区政府安委会办公室（联系电话：64371709，联系人：徐王先</w:t>
      </w:r>
      <w:r>
        <w:rPr>
          <w:rFonts w:hint="eastAsia" w:ascii="仿宋" w:hAnsi="仿宋" w:eastAsia="仿宋" w:cs="仿宋"/>
          <w:kern w:val="0"/>
          <w:sz w:val="32"/>
          <w:szCs w:val="32"/>
          <w:shd w:val="clear" w:color="auto" w:fill="FFFFFF"/>
          <w:lang w:val="en-US" w:eastAsia="zh-CN" w:bidi="ar"/>
        </w:rPr>
        <w:t>,邮箱：</w:t>
      </w:r>
      <w:r>
        <w:rPr>
          <w:rFonts w:hint="eastAsia" w:ascii="仿宋" w:hAnsi="仿宋" w:eastAsia="仿宋" w:cs="仿宋"/>
          <w:kern w:val="0"/>
          <w:sz w:val="32"/>
          <w:szCs w:val="32"/>
          <w:shd w:val="clear" w:color="auto" w:fill="FFFFFF"/>
          <w:lang w:val="en-US" w:eastAsia="zh-CN" w:bidi="ar"/>
        </w:rPr>
        <w:fldChar w:fldCharType="begin"/>
      </w:r>
      <w:r>
        <w:rPr>
          <w:rFonts w:hint="eastAsia" w:ascii="仿宋" w:hAnsi="仿宋" w:eastAsia="仿宋" w:cs="仿宋"/>
          <w:kern w:val="0"/>
          <w:sz w:val="32"/>
          <w:szCs w:val="32"/>
          <w:shd w:val="clear" w:color="auto" w:fill="FFFFFF"/>
          <w:lang w:val="en-US" w:eastAsia="zh-CN" w:bidi="ar"/>
        </w:rPr>
        <w:instrText xml:space="preserve"> HYPERLINK "mailto:412250569@qq.com）。" </w:instrText>
      </w:r>
      <w:r>
        <w:rPr>
          <w:rFonts w:hint="eastAsia" w:ascii="仿宋" w:hAnsi="仿宋" w:eastAsia="仿宋" w:cs="仿宋"/>
          <w:kern w:val="0"/>
          <w:sz w:val="32"/>
          <w:szCs w:val="32"/>
          <w:shd w:val="clear" w:color="auto" w:fill="FFFFFF"/>
          <w:lang w:val="en-US" w:eastAsia="zh-CN" w:bidi="ar"/>
        </w:rPr>
        <w:fldChar w:fldCharType="separate"/>
      </w:r>
      <w:r>
        <w:rPr>
          <w:rStyle w:val="9"/>
          <w:rFonts w:hint="eastAsia" w:ascii="仿宋" w:hAnsi="仿宋" w:eastAsia="仿宋" w:cs="仿宋"/>
          <w:kern w:val="0"/>
          <w:sz w:val="32"/>
          <w:szCs w:val="32"/>
          <w:shd w:val="clear" w:color="auto" w:fill="FFFFFF"/>
          <w:lang w:val="en-US" w:eastAsia="zh-CN" w:bidi="ar"/>
        </w:rPr>
        <w:t>412250569@qq.com</w:t>
      </w:r>
      <w:r>
        <w:rPr>
          <w:rStyle w:val="9"/>
          <w:rFonts w:hint="eastAsia" w:ascii="仿宋" w:hAnsi="仿宋" w:eastAsia="仿宋" w:cs="仿宋"/>
          <w:kern w:val="0"/>
          <w:sz w:val="32"/>
          <w:szCs w:val="32"/>
          <w:shd w:val="clear" w:color="auto" w:fill="FFFFFF"/>
          <w:lang w:bidi="ar"/>
        </w:rPr>
        <w:t>）。</w:t>
      </w:r>
      <w:r>
        <w:rPr>
          <w:rFonts w:hint="eastAsia" w:ascii="仿宋" w:hAnsi="仿宋" w:eastAsia="仿宋" w:cs="仿宋"/>
          <w:kern w:val="0"/>
          <w:sz w:val="32"/>
          <w:szCs w:val="32"/>
          <w:shd w:val="clear" w:color="auto" w:fill="FFFFFF"/>
          <w:lang w:val="en-US" w:eastAsia="zh-CN" w:bidi="ar"/>
        </w:rPr>
        <w:fldChar w:fldCharType="end"/>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仿宋_GB2312" w:eastAsia="仿宋_GB2312" w:cs="仿宋_GB2312"/>
          <w:color w:val="000000"/>
          <w:sz w:val="32"/>
          <w:szCs w:val="32"/>
        </w:rPr>
        <w:t>附件：1.</w:t>
      </w:r>
      <w:r>
        <w:rPr>
          <w:rFonts w:hint="eastAsia" w:ascii="仿宋" w:hAnsi="仿宋" w:eastAsia="仿宋" w:cs="仿宋"/>
          <w:kern w:val="0"/>
          <w:sz w:val="32"/>
          <w:szCs w:val="32"/>
          <w:shd w:val="clear" w:color="auto" w:fill="FFFFFF"/>
          <w:lang w:bidi="ar"/>
        </w:rPr>
        <w:t>瑶海区构建“六项机制”强化安全生产风险管控</w:t>
      </w:r>
    </w:p>
    <w:p>
      <w:pPr>
        <w:keepNext w:val="0"/>
        <w:keepLines w:val="0"/>
        <w:pageBreakBefore w:val="0"/>
        <w:widowControl w:val="0"/>
        <w:kinsoku/>
        <w:wordWrap/>
        <w:overflowPunct/>
        <w:topLinePunct w:val="0"/>
        <w:autoSpaceDE/>
        <w:autoSpaceDN/>
        <w:bidi w:val="0"/>
        <w:spacing w:line="560" w:lineRule="exact"/>
        <w:ind w:firstLine="1920" w:firstLineChars="600"/>
        <w:outlineLvl w:val="9"/>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领导小组名单</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2</w:t>
      </w:r>
      <w:r>
        <w:rPr>
          <w:rFonts w:ascii="仿宋_GB2312" w:eastAsia="仿宋_GB2312" w:cs="仿宋_GB2312"/>
          <w:color w:val="000000"/>
          <w:sz w:val="32"/>
          <w:szCs w:val="32"/>
        </w:rPr>
        <w:t>.</w:t>
      </w:r>
      <w:r>
        <w:rPr>
          <w:rFonts w:hint="eastAsia" w:ascii="仿宋_GB2312" w:eastAsia="仿宋_GB2312" w:cs="仿宋_GB2312"/>
          <w:color w:val="000000"/>
          <w:sz w:val="32"/>
          <w:szCs w:val="32"/>
        </w:rPr>
        <w:t>各行业领域和场所分类</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3</w:t>
      </w:r>
      <w:r>
        <w:rPr>
          <w:rFonts w:ascii="仿宋_GB2312" w:eastAsia="仿宋_GB2312" w:cs="仿宋_GB2312"/>
          <w:color w:val="000000"/>
          <w:sz w:val="32"/>
          <w:szCs w:val="32"/>
        </w:rPr>
        <w:t>.</w:t>
      </w:r>
      <w:r>
        <w:rPr>
          <w:rFonts w:hint="eastAsia" w:ascii="仿宋_GB2312" w:eastAsia="仿宋_GB2312" w:cs="仿宋_GB2312"/>
          <w:color w:val="000000"/>
          <w:sz w:val="32"/>
          <w:szCs w:val="32"/>
        </w:rPr>
        <w:t>《安全生产风险点查找指导手册》（参考格式）</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4</w:t>
      </w:r>
      <w:r>
        <w:rPr>
          <w:rFonts w:ascii="仿宋_GB2312" w:eastAsia="仿宋_GB2312" w:cs="仿宋_GB2312"/>
          <w:color w:val="000000"/>
          <w:sz w:val="32"/>
          <w:szCs w:val="32"/>
        </w:rPr>
        <w:t>.</w:t>
      </w:r>
      <w:r>
        <w:rPr>
          <w:rFonts w:hint="eastAsia" w:ascii="仿宋_GB2312" w:eastAsia="仿宋_GB2312" w:cs="仿宋_GB2312"/>
          <w:color w:val="000000"/>
          <w:sz w:val="32"/>
          <w:szCs w:val="32"/>
        </w:rPr>
        <w:t>风险点信息采集、审核、报送流程图</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5</w:t>
      </w:r>
      <w:r>
        <w:rPr>
          <w:rFonts w:ascii="仿宋_GB2312" w:eastAsia="仿宋_GB2312" w:cs="仿宋_GB2312"/>
          <w:color w:val="000000"/>
          <w:sz w:val="32"/>
          <w:szCs w:val="32"/>
        </w:rPr>
        <w:t>.</w:t>
      </w:r>
      <w:r>
        <w:rPr>
          <w:rFonts w:hint="eastAsia" w:ascii="仿宋_GB2312" w:eastAsia="仿宋_GB2312" w:cs="仿宋_GB2312"/>
          <w:color w:val="000000"/>
          <w:sz w:val="32"/>
          <w:szCs w:val="32"/>
        </w:rPr>
        <w:t>风险分级方法和标准</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6</w:t>
      </w:r>
      <w:r>
        <w:rPr>
          <w:rFonts w:ascii="仿宋_GB2312" w:eastAsia="仿宋_GB2312" w:cs="仿宋_GB2312"/>
          <w:color w:val="000000"/>
          <w:sz w:val="32"/>
          <w:szCs w:val="32"/>
        </w:rPr>
        <w:t>.</w:t>
      </w:r>
      <w:r>
        <w:rPr>
          <w:rFonts w:hint="eastAsia" w:ascii="仿宋_GB2312" w:eastAsia="仿宋_GB2312" w:cs="仿宋_GB2312"/>
          <w:color w:val="000000"/>
          <w:sz w:val="32"/>
          <w:szCs w:val="32"/>
        </w:rPr>
        <w:t>风险预警分级标准</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r>
        <w:rPr>
          <w:rFonts w:hint="eastAsia" w:ascii="仿宋_GB2312" w:eastAsia="仿宋_GB2312" w:cs="仿宋_GB2312"/>
          <w:color w:val="000000"/>
          <w:sz w:val="32"/>
          <w:szCs w:val="32"/>
        </w:rPr>
        <w:t>7</w:t>
      </w:r>
      <w:r>
        <w:rPr>
          <w:rFonts w:ascii="仿宋_GB2312" w:eastAsia="仿宋_GB2312" w:cs="仿宋_GB2312"/>
          <w:color w:val="000000"/>
          <w:sz w:val="32"/>
          <w:szCs w:val="32"/>
        </w:rPr>
        <w:t>.</w:t>
      </w:r>
      <w:r>
        <w:rPr>
          <w:rFonts w:hint="eastAsia" w:ascii="仿宋_GB2312" w:eastAsia="仿宋_GB2312" w:cs="仿宋_GB2312"/>
          <w:color w:val="000000"/>
          <w:sz w:val="32"/>
          <w:szCs w:val="32"/>
        </w:rPr>
        <w:t>安全风险管控“六项机制”工作流程图</w:t>
      </w: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1600" w:firstLineChars="500"/>
        <w:outlineLvl w:val="9"/>
        <w:rPr>
          <w:rFonts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spacing w:line="560" w:lineRule="exact"/>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ascii="宋体" w:hAnsi="宋体" w:eastAsia="方正小标宋简体" w:cs="方正小标宋简体"/>
          <w:color w:val="000000"/>
          <w:sz w:val="44"/>
          <w:szCs w:val="44"/>
          <w:shd w:val="clear" w:color="auto" w:fill="FFFFFF"/>
        </w:rPr>
      </w:pPr>
      <w:r>
        <w:rPr>
          <w:rFonts w:hint="eastAsia" w:ascii="方正小标宋简体" w:hAnsi="宋体" w:eastAsia="方正小标宋简体"/>
          <w:sz w:val="44"/>
          <w:szCs w:val="44"/>
        </w:rPr>
        <w:t>瑶海区</w:t>
      </w:r>
      <w:r>
        <w:rPr>
          <w:rFonts w:ascii="Times New Roman" w:hAnsi="方正小标宋简体" w:eastAsia="方正小标宋简体" w:cs="方正小标宋简体"/>
          <w:color w:val="000000"/>
          <w:kern w:val="0"/>
          <w:sz w:val="44"/>
          <w:szCs w:val="44"/>
          <w:shd w:val="clear" w:color="auto" w:fill="FFFFFF"/>
          <w:lang w:bidi="ar"/>
        </w:rPr>
        <w:t>构建</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六项机制</w:t>
      </w:r>
      <w:r>
        <w:rPr>
          <w:rFonts w:hint="eastAsia" w:ascii="宋体" w:hAnsi="宋体" w:eastAsia="方正小标宋简体" w:cs="宋体"/>
          <w:color w:val="000000"/>
          <w:kern w:val="0"/>
          <w:sz w:val="44"/>
          <w:szCs w:val="44"/>
          <w:shd w:val="clear" w:color="auto" w:fill="FFFFFF"/>
          <w:lang w:bidi="ar"/>
        </w:rPr>
        <w:t>”</w:t>
      </w:r>
      <w:r>
        <w:rPr>
          <w:rFonts w:hint="eastAsia" w:ascii="Times New Roman" w:hAnsi="方正小标宋简体" w:eastAsia="方正小标宋简体" w:cs="方正小标宋简体"/>
          <w:color w:val="000000"/>
          <w:kern w:val="0"/>
          <w:sz w:val="44"/>
          <w:szCs w:val="44"/>
          <w:shd w:val="clear" w:color="auto" w:fill="FFFFFF"/>
          <w:lang w:bidi="ar"/>
        </w:rPr>
        <w:t>强化安全生产</w:t>
      </w:r>
    </w:p>
    <w:p>
      <w:pPr>
        <w:keepNext w:val="0"/>
        <w:keepLines w:val="0"/>
        <w:pageBreakBefore w:val="0"/>
        <w:widowControl w:val="0"/>
        <w:kinsoku/>
        <w:wordWrap/>
        <w:overflowPunct/>
        <w:topLinePunct w:val="0"/>
        <w:autoSpaceDE/>
        <w:autoSpaceDN/>
        <w:bidi w:val="0"/>
        <w:spacing w:line="560" w:lineRule="exact"/>
        <w:jc w:val="center"/>
        <w:outlineLvl w:val="9"/>
        <w:rPr>
          <w:rFonts w:ascii="方正小标宋简体" w:hAnsi="宋体" w:eastAsia="方正小标宋简体"/>
          <w:sz w:val="44"/>
          <w:szCs w:val="44"/>
        </w:rPr>
      </w:pPr>
      <w:r>
        <w:rPr>
          <w:rFonts w:hint="eastAsia" w:ascii="Times New Roman" w:hAnsi="方正小标宋简体" w:eastAsia="方正小标宋简体" w:cs="方正小标宋简体"/>
          <w:color w:val="000000"/>
          <w:kern w:val="0"/>
          <w:sz w:val="44"/>
          <w:szCs w:val="44"/>
          <w:shd w:val="clear" w:color="auto" w:fill="FFFFFF"/>
          <w:lang w:bidi="ar"/>
        </w:rPr>
        <w:t>风险管控领导小组</w:t>
      </w:r>
      <w:r>
        <w:rPr>
          <w:rFonts w:hint="eastAsia" w:ascii="方正小标宋简体" w:hAnsi="宋体" w:eastAsia="方正小标宋简体"/>
          <w:sz w:val="44"/>
          <w:szCs w:val="44"/>
        </w:rPr>
        <w:t>名单</w:t>
      </w:r>
    </w:p>
    <w:p>
      <w:pPr>
        <w:keepNext w:val="0"/>
        <w:keepLines w:val="0"/>
        <w:pageBreakBefore w:val="0"/>
        <w:widowControl w:val="0"/>
        <w:kinsoku/>
        <w:wordWrap/>
        <w:overflowPunct/>
        <w:topLinePunct w:val="0"/>
        <w:autoSpaceDE/>
        <w:autoSpaceDN/>
        <w:bidi w:val="0"/>
        <w:spacing w:line="560" w:lineRule="exact"/>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_GB2312" w:eastAsia="仿宋_GB2312"/>
          <w:sz w:val="32"/>
          <w:szCs w:val="32"/>
        </w:rPr>
      </w:pPr>
      <w:r>
        <w:rPr>
          <w:rFonts w:hint="eastAsia" w:ascii="黑体" w:hAnsi="黑体" w:eastAsia="黑体"/>
          <w:sz w:val="32"/>
          <w:szCs w:val="32"/>
        </w:rPr>
        <w:t>组    长：</w:t>
      </w:r>
      <w:r>
        <w:rPr>
          <w:rFonts w:hint="eastAsia" w:ascii="仿宋_GB2312" w:eastAsia="仿宋_GB2312"/>
          <w:sz w:val="32"/>
          <w:szCs w:val="32"/>
        </w:rPr>
        <w:t>钟仁勤（瑶海区副区长）</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_GB2312" w:eastAsia="仿宋_GB2312"/>
          <w:sz w:val="32"/>
          <w:szCs w:val="32"/>
        </w:rPr>
      </w:pPr>
      <w:r>
        <w:rPr>
          <w:rFonts w:hint="eastAsia" w:ascii="黑体" w:hAnsi="黑体" w:eastAsia="黑体"/>
          <w:sz w:val="32"/>
          <w:szCs w:val="32"/>
        </w:rPr>
        <w:t>副 组 长：</w:t>
      </w:r>
      <w:r>
        <w:rPr>
          <w:rFonts w:hint="eastAsia" w:ascii="仿宋" w:hAnsi="仿宋" w:eastAsia="仿宋" w:cs="仿宋"/>
          <w:kern w:val="0"/>
          <w:sz w:val="32"/>
          <w:szCs w:val="32"/>
          <w:shd w:val="clear" w:color="auto" w:fill="FFFFFF"/>
          <w:lang w:eastAsia="zh-CN" w:bidi="ar"/>
        </w:rPr>
        <w:t>李业敏</w:t>
      </w:r>
      <w:r>
        <w:rPr>
          <w:rFonts w:hint="eastAsia" w:ascii="仿宋" w:hAnsi="仿宋" w:eastAsia="仿宋" w:cs="仿宋"/>
          <w:kern w:val="0"/>
          <w:sz w:val="32"/>
          <w:szCs w:val="32"/>
          <w:shd w:val="clear" w:color="auto" w:fill="FFFFFF"/>
          <w:lang w:bidi="ar"/>
        </w:rPr>
        <w:t>（</w:t>
      </w:r>
      <w:r>
        <w:rPr>
          <w:rFonts w:hint="eastAsia" w:ascii="仿宋_GB2312" w:eastAsia="仿宋_GB2312"/>
          <w:sz w:val="32"/>
          <w:szCs w:val="32"/>
        </w:rPr>
        <w:t>区</w:t>
      </w:r>
      <w:r>
        <w:rPr>
          <w:rFonts w:hint="eastAsia" w:ascii="仿宋_GB2312" w:eastAsia="仿宋_GB2312"/>
          <w:sz w:val="32"/>
          <w:szCs w:val="32"/>
          <w:lang w:val="en-US" w:eastAsia="zh-CN"/>
        </w:rPr>
        <w:t>应急管理局</w:t>
      </w:r>
      <w:r>
        <w:rPr>
          <w:rFonts w:hint="eastAsia" w:ascii="仿宋_GB2312" w:eastAsia="仿宋_GB2312"/>
          <w:sz w:val="32"/>
          <w:szCs w:val="32"/>
          <w:lang w:eastAsia="zh-CN"/>
        </w:rPr>
        <w:t>负责人</w:t>
      </w:r>
      <w:bookmarkStart w:id="0" w:name="_GoBack"/>
      <w:bookmarkEnd w:id="0"/>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 w:hAnsi="仿宋" w:eastAsia="仿宋" w:cs="仿宋"/>
          <w:kern w:val="0"/>
          <w:sz w:val="32"/>
          <w:szCs w:val="32"/>
          <w:shd w:val="clear" w:color="auto" w:fill="FFFFFF"/>
          <w:lang w:bidi="ar"/>
        </w:rPr>
      </w:pPr>
      <w:r>
        <w:rPr>
          <w:rFonts w:hint="eastAsia" w:ascii="黑体" w:hAnsi="黑体" w:eastAsia="黑体"/>
          <w:sz w:val="32"/>
          <w:szCs w:val="32"/>
        </w:rPr>
        <w:t>成员单位：</w:t>
      </w:r>
      <w:r>
        <w:rPr>
          <w:rFonts w:hint="eastAsia" w:ascii="仿宋" w:hAnsi="仿宋" w:eastAsia="仿宋" w:cs="仿宋"/>
          <w:kern w:val="0"/>
          <w:sz w:val="32"/>
          <w:szCs w:val="32"/>
          <w:shd w:val="clear" w:color="auto" w:fill="FFFFFF"/>
          <w:lang w:bidi="ar"/>
        </w:rPr>
        <w:t>人防办、发改局、经促局、农林水务局、住建局、教体局、民政局、文化局、卫计局、商旅局、城管局、环保局、安监局、市监局、火车站综管办、重点局、海事局、民宗局、市政园林办、“两园”办、国资公司、瑶海公安分局、规划局瑶海分局、国土局瑶海分局、不动产登记瑶海分中心。</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黑体" w:hAnsi="黑体" w:eastAsia="黑体"/>
          <w:sz w:val="32"/>
          <w:szCs w:val="32"/>
        </w:rPr>
      </w:pPr>
      <w:r>
        <w:rPr>
          <w:rFonts w:hint="eastAsia" w:ascii="黑体" w:hAnsi="黑体" w:eastAsia="黑体"/>
          <w:sz w:val="32"/>
          <w:szCs w:val="32"/>
        </w:rPr>
        <w:t>领导小组下设办公室：</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_GB2312" w:eastAsia="仿宋_GB2312"/>
          <w:sz w:val="32"/>
          <w:szCs w:val="32"/>
        </w:rPr>
      </w:pPr>
      <w:r>
        <w:rPr>
          <w:rFonts w:hint="eastAsia" w:ascii="仿宋_GB2312" w:eastAsia="仿宋_GB2312"/>
          <w:sz w:val="32"/>
          <w:szCs w:val="32"/>
        </w:rPr>
        <w:t>办公室主任：董明强（区</w:t>
      </w:r>
      <w:r>
        <w:rPr>
          <w:rFonts w:hint="eastAsia" w:ascii="仿宋_GB2312" w:eastAsia="仿宋_GB2312"/>
          <w:sz w:val="32"/>
          <w:szCs w:val="32"/>
          <w:lang w:val="en-US" w:eastAsia="zh-CN"/>
        </w:rPr>
        <w:t>应急管理局</w:t>
      </w:r>
      <w:r>
        <w:rPr>
          <w:rFonts w:hint="eastAsia" w:ascii="仿宋_GB2312" w:eastAsia="仿宋_GB2312"/>
          <w:sz w:val="32"/>
          <w:szCs w:val="32"/>
        </w:rPr>
        <w:t>副局长）</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ascii="仿宋_GB2312" w:eastAsia="仿宋_GB2312"/>
          <w:sz w:val="32"/>
          <w:szCs w:val="32"/>
        </w:rPr>
      </w:pPr>
      <w:r>
        <w:rPr>
          <w:rFonts w:hint="eastAsia" w:ascii="仿宋_GB2312" w:eastAsia="仿宋_GB2312"/>
          <w:sz w:val="32"/>
          <w:szCs w:val="32"/>
        </w:rPr>
        <w:t>办公室成员：鲁昌树（区</w:t>
      </w:r>
      <w:r>
        <w:rPr>
          <w:rFonts w:hint="eastAsia" w:ascii="仿宋_GB2312" w:eastAsia="仿宋_GB2312"/>
          <w:sz w:val="32"/>
          <w:szCs w:val="32"/>
          <w:lang w:val="en-US" w:eastAsia="zh-CN"/>
        </w:rPr>
        <w:t>应急管理局</w:t>
      </w:r>
      <w:r>
        <w:rPr>
          <w:rFonts w:hint="eastAsia" w:ascii="仿宋_GB2312" w:eastAsia="仿宋_GB2312"/>
          <w:sz w:val="32"/>
          <w:szCs w:val="32"/>
        </w:rPr>
        <w:t>办公室主任）</w:t>
      </w:r>
    </w:p>
    <w:p>
      <w:pPr>
        <w:keepNext w:val="0"/>
        <w:keepLines w:val="0"/>
        <w:pageBreakBefore w:val="0"/>
        <w:widowControl w:val="0"/>
        <w:kinsoku/>
        <w:wordWrap/>
        <w:overflowPunct/>
        <w:topLinePunct w:val="0"/>
        <w:autoSpaceDE/>
        <w:autoSpaceDN/>
        <w:bidi w:val="0"/>
        <w:spacing w:line="560" w:lineRule="exact"/>
        <w:ind w:firstLine="2560" w:firstLineChars="800"/>
        <w:outlineLvl w:val="9"/>
        <w:rPr>
          <w:rFonts w:ascii="仿宋_GB2312" w:eastAsia="仿宋_GB2312"/>
          <w:sz w:val="32"/>
          <w:szCs w:val="32"/>
        </w:rPr>
      </w:pPr>
      <w:r>
        <w:rPr>
          <w:rFonts w:hint="eastAsia" w:ascii="仿宋_GB2312" w:eastAsia="仿宋_GB2312"/>
          <w:sz w:val="32"/>
          <w:szCs w:val="32"/>
        </w:rPr>
        <w:t>于春山（区</w:t>
      </w:r>
      <w:r>
        <w:rPr>
          <w:rFonts w:hint="eastAsia" w:ascii="仿宋_GB2312" w:eastAsia="仿宋_GB2312"/>
          <w:sz w:val="32"/>
          <w:szCs w:val="32"/>
          <w:lang w:val="en-US" w:eastAsia="zh-CN"/>
        </w:rPr>
        <w:t>应急管理局</w:t>
      </w:r>
      <w:r>
        <w:rPr>
          <w:rFonts w:hint="eastAsia" w:ascii="仿宋_GB2312" w:eastAsia="仿宋_GB2312"/>
          <w:sz w:val="32"/>
          <w:szCs w:val="32"/>
        </w:rPr>
        <w:t>监督科科长）</w:t>
      </w:r>
    </w:p>
    <w:p>
      <w:pPr>
        <w:keepNext w:val="0"/>
        <w:keepLines w:val="0"/>
        <w:pageBreakBefore w:val="0"/>
        <w:widowControl w:val="0"/>
        <w:kinsoku/>
        <w:wordWrap/>
        <w:overflowPunct/>
        <w:topLinePunct w:val="0"/>
        <w:autoSpaceDE/>
        <w:autoSpaceDN/>
        <w:bidi w:val="0"/>
        <w:spacing w:line="560" w:lineRule="exact"/>
        <w:ind w:firstLine="2560" w:firstLineChars="800"/>
        <w:outlineLvl w:val="9"/>
        <w:rPr>
          <w:rFonts w:ascii="仿宋_GB2312" w:eastAsia="仿宋_GB2312"/>
          <w:sz w:val="32"/>
          <w:szCs w:val="32"/>
        </w:rPr>
      </w:pPr>
      <w:r>
        <w:rPr>
          <w:rFonts w:hint="eastAsia" w:ascii="仿宋_GB2312" w:eastAsia="仿宋_GB2312"/>
          <w:sz w:val="32"/>
          <w:szCs w:val="32"/>
        </w:rPr>
        <w:t>陈  军（区</w:t>
      </w:r>
      <w:r>
        <w:rPr>
          <w:rFonts w:hint="eastAsia" w:ascii="仿宋_GB2312" w:eastAsia="仿宋_GB2312"/>
          <w:sz w:val="32"/>
          <w:szCs w:val="32"/>
          <w:lang w:val="en-US" w:eastAsia="zh-CN"/>
        </w:rPr>
        <w:t>应急管理局</w:t>
      </w:r>
      <w:r>
        <w:rPr>
          <w:rFonts w:hint="eastAsia" w:ascii="仿宋_GB2312" w:eastAsia="仿宋_GB2312"/>
          <w:sz w:val="32"/>
          <w:szCs w:val="32"/>
        </w:rPr>
        <w:t>监察大队队长）。</w:t>
      </w: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color w:val="000000"/>
          <w:sz w:val="32"/>
          <w:szCs w:val="32"/>
        </w:rPr>
      </w:pPr>
      <w:r>
        <w:rPr>
          <w:rFonts w:hint="eastAsia" w:ascii="黑体" w:hAnsi="黑体" w:eastAsia="黑体" w:cs="黑体"/>
          <w:color w:val="000000"/>
          <w:sz w:val="32"/>
          <w:szCs w:val="32"/>
        </w:rPr>
        <w:t>附件</w:t>
      </w:r>
      <w:r>
        <w:rPr>
          <w:rFonts w:hint="eastAsia" w:ascii="黑体" w:hAnsi="黑体" w:eastAsia="黑体"/>
          <w:color w:val="000000"/>
          <w:sz w:val="32"/>
          <w:szCs w:val="32"/>
        </w:rPr>
        <w:t>2:</w:t>
      </w: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44"/>
          <w:szCs w:val="44"/>
        </w:rPr>
      </w:pPr>
      <w:r>
        <w:rPr>
          <w:rFonts w:hint="eastAsia" w:eastAsia="方正小标宋简体" w:cs="方正小标宋简体"/>
          <w:color w:val="000000"/>
          <w:sz w:val="44"/>
          <w:szCs w:val="44"/>
        </w:rPr>
        <w:t>各行业领域和场所分类</w:t>
      </w:r>
    </w:p>
    <w:p>
      <w:pPr>
        <w:keepNext w:val="0"/>
        <w:keepLines w:val="0"/>
        <w:pageBreakBefore w:val="0"/>
        <w:widowControl w:val="0"/>
        <w:kinsoku/>
        <w:wordWrap/>
        <w:overflowPunct/>
        <w:topLinePunct w:val="0"/>
        <w:autoSpaceDE/>
        <w:autoSpaceDN/>
        <w:bidi w:val="0"/>
        <w:spacing w:line="560" w:lineRule="exact"/>
        <w:outlineLvl w:val="9"/>
        <w:rPr>
          <w:rFonts w:eastAsia="华文中宋"/>
          <w:b/>
          <w:bCs/>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eastAsia="仿宋_GB2312"/>
          <w:b/>
          <w:bCs/>
          <w:color w:val="000000"/>
          <w:sz w:val="32"/>
          <w:szCs w:val="32"/>
        </w:rPr>
        <w:t xml:space="preserve">1. </w:t>
      </w:r>
      <w:r>
        <w:rPr>
          <w:rFonts w:hint="eastAsia" w:eastAsia="仿宋_GB2312" w:cs="仿宋_GB2312"/>
          <w:b/>
          <w:bCs/>
          <w:color w:val="000000"/>
          <w:sz w:val="32"/>
          <w:szCs w:val="32"/>
        </w:rPr>
        <w:t>单位类：</w:t>
      </w:r>
      <w:r>
        <w:rPr>
          <w:rFonts w:hint="eastAsia" w:eastAsia="仿宋_GB2312" w:cs="仿宋_GB2312"/>
          <w:color w:val="000000"/>
          <w:sz w:val="32"/>
          <w:szCs w:val="32"/>
        </w:rPr>
        <w:t>危险化学品、烟花爆竹、交通运输、建筑施工、冶金工贸等各类生产经营单位。</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pacing w:val="-6"/>
          <w:sz w:val="32"/>
          <w:szCs w:val="32"/>
        </w:rPr>
      </w:pPr>
      <w:r>
        <w:rPr>
          <w:rFonts w:eastAsia="仿宋_GB2312"/>
          <w:b/>
          <w:bCs/>
          <w:color w:val="000000"/>
          <w:sz w:val="32"/>
          <w:szCs w:val="32"/>
        </w:rPr>
        <w:t xml:space="preserve">2. </w:t>
      </w:r>
      <w:r>
        <w:rPr>
          <w:rFonts w:hint="eastAsia" w:eastAsia="仿宋_GB2312" w:cs="仿宋_GB2312"/>
          <w:b/>
          <w:bCs/>
          <w:color w:val="000000"/>
          <w:sz w:val="32"/>
          <w:szCs w:val="32"/>
        </w:rPr>
        <w:t>场所类：</w:t>
      </w:r>
      <w:r>
        <w:rPr>
          <w:rFonts w:hint="eastAsia" w:eastAsia="仿宋_GB2312" w:cs="仿宋_GB2312"/>
          <w:color w:val="000000"/>
          <w:sz w:val="32"/>
          <w:szCs w:val="32"/>
        </w:rPr>
        <w:t>城市综合体、高层建筑、客运车站、地铁站、渡口、码头、民用机场、商场（市场）、医院、学校、幼儿园（托儿所）、福利院、养老院、宾馆、饭店、体育场馆、会堂、图书</w:t>
      </w:r>
      <w:r>
        <w:rPr>
          <w:rFonts w:hint="eastAsia" w:eastAsia="仿宋_GB2312" w:cs="仿宋_GB2312"/>
          <w:color w:val="000000"/>
          <w:spacing w:val="-6"/>
          <w:sz w:val="32"/>
          <w:szCs w:val="32"/>
        </w:rPr>
        <w:t>馆、展览馆、博物馆、寺庙、教堂和公共娱乐场所等人员密集场所。</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eastAsia="仿宋_GB2312"/>
          <w:b/>
          <w:bCs/>
          <w:color w:val="000000"/>
          <w:sz w:val="32"/>
          <w:szCs w:val="32"/>
        </w:rPr>
        <w:t xml:space="preserve">3. </w:t>
      </w:r>
      <w:r>
        <w:rPr>
          <w:rFonts w:hint="eastAsia" w:eastAsia="仿宋_GB2312" w:cs="仿宋_GB2312"/>
          <w:b/>
          <w:bCs/>
          <w:color w:val="000000"/>
          <w:sz w:val="32"/>
          <w:szCs w:val="32"/>
        </w:rPr>
        <w:t>部位类：</w:t>
      </w:r>
      <w:r>
        <w:rPr>
          <w:rFonts w:hint="eastAsia" w:eastAsia="仿宋_GB2312" w:cs="仿宋_GB2312"/>
          <w:color w:val="000000"/>
          <w:sz w:val="32"/>
          <w:szCs w:val="32"/>
        </w:rPr>
        <w:t>交通事故易发多发路段、余泥渣土（建筑垃圾）受纳场、垃圾填埋场和焚烧站、危房危楼、老旧房屋、烂尾楼、人防工程，以及易发生滑坡、泥石流、塌陷、沉降、地裂缝等地质灾害和内涝灾害等重点区域和部位。</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eastAsia="仿宋_GB2312"/>
          <w:b/>
          <w:bCs/>
          <w:color w:val="000000"/>
          <w:sz w:val="32"/>
          <w:szCs w:val="32"/>
        </w:rPr>
        <w:t xml:space="preserve">4. </w:t>
      </w:r>
      <w:r>
        <w:rPr>
          <w:rFonts w:hint="eastAsia" w:eastAsia="仿宋_GB2312" w:cs="仿宋_GB2312"/>
          <w:b/>
          <w:bCs/>
          <w:color w:val="000000"/>
          <w:sz w:val="32"/>
          <w:szCs w:val="32"/>
        </w:rPr>
        <w:t>活动类：</w:t>
      </w:r>
      <w:r>
        <w:rPr>
          <w:rFonts w:hint="eastAsia" w:eastAsia="仿宋_GB2312" w:cs="仿宋_GB2312"/>
          <w:color w:val="000000"/>
          <w:sz w:val="32"/>
          <w:szCs w:val="32"/>
        </w:rPr>
        <w:t>体育赛事、户外运动、文艺演出、演唱会、游园、灯会、庙会、花会、焰火晚会等大型群众性活动现场。</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eastAsia="仿宋_GB2312"/>
          <w:b/>
          <w:bCs/>
          <w:color w:val="000000"/>
          <w:sz w:val="32"/>
          <w:szCs w:val="32"/>
        </w:rPr>
        <w:t xml:space="preserve">5. </w:t>
      </w:r>
      <w:r>
        <w:rPr>
          <w:rFonts w:hint="eastAsia" w:eastAsia="仿宋_GB2312" w:cs="仿宋_GB2312"/>
          <w:b/>
          <w:bCs/>
          <w:color w:val="000000"/>
          <w:sz w:val="32"/>
          <w:szCs w:val="32"/>
        </w:rPr>
        <w:t>建设项目类：</w:t>
      </w:r>
      <w:r>
        <w:rPr>
          <w:rFonts w:hint="eastAsia" w:eastAsia="仿宋_GB2312" w:cs="仿宋_GB2312"/>
          <w:color w:val="000000"/>
          <w:sz w:val="32"/>
          <w:szCs w:val="32"/>
        </w:rPr>
        <w:t>建筑工程、城市交通设施、水利工程、电力工程、市政工程、地下空间等大型建设项目。</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pacing w:val="-6"/>
          <w:sz w:val="32"/>
          <w:szCs w:val="32"/>
        </w:rPr>
      </w:pPr>
      <w:r>
        <w:rPr>
          <w:rFonts w:eastAsia="仿宋_GB2312"/>
          <w:b/>
          <w:bCs/>
          <w:color w:val="000000"/>
          <w:sz w:val="32"/>
          <w:szCs w:val="32"/>
        </w:rPr>
        <w:t xml:space="preserve">6. </w:t>
      </w:r>
      <w:r>
        <w:rPr>
          <w:rFonts w:hint="eastAsia" w:eastAsia="仿宋_GB2312" w:cs="仿宋_GB2312"/>
          <w:b/>
          <w:bCs/>
          <w:color w:val="000000"/>
          <w:sz w:val="32"/>
          <w:szCs w:val="32"/>
        </w:rPr>
        <w:t>设施设备类：</w:t>
      </w:r>
      <w:r>
        <w:rPr>
          <w:rFonts w:hint="eastAsia" w:eastAsia="仿宋_GB2312" w:cs="仿宋_GB2312"/>
          <w:color w:val="000000"/>
          <w:sz w:val="32"/>
          <w:szCs w:val="32"/>
        </w:rPr>
        <w:t>轨道交通、电力设施、隧道桥梁（含高架桥）、管线管廊（燃气、石油、天然气、水、电等）、通信、建筑用升降机、电梯及游乐设施、煤气瓶、玻璃幕墙、户外广告牌、城市旧挡土墙等重点设备设施；商船、游船、渡船、渔业船舶、客运班车、旅游包车、危险物品运输车辆、重型货车和汽车列车、</w:t>
      </w:r>
      <w:r>
        <w:rPr>
          <w:rFonts w:hint="eastAsia" w:eastAsia="仿宋_GB2312" w:cs="仿宋_GB2312"/>
          <w:color w:val="000000"/>
          <w:spacing w:val="-6"/>
          <w:sz w:val="32"/>
          <w:szCs w:val="32"/>
        </w:rPr>
        <w:t>建设施工单位散装物料车、校车、教练车等重点交通运输设备设施。</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eastAsia="仿宋_GB2312"/>
          <w:b/>
          <w:bCs/>
          <w:color w:val="000000"/>
          <w:sz w:val="32"/>
          <w:szCs w:val="32"/>
        </w:rPr>
        <w:t xml:space="preserve">7. </w:t>
      </w:r>
      <w:r>
        <w:rPr>
          <w:rFonts w:hint="eastAsia" w:eastAsia="仿宋_GB2312" w:cs="仿宋_GB2312"/>
          <w:b/>
          <w:bCs/>
          <w:color w:val="000000"/>
          <w:sz w:val="32"/>
          <w:szCs w:val="32"/>
        </w:rPr>
        <w:t>其他类：</w:t>
      </w:r>
      <w:r>
        <w:rPr>
          <w:rFonts w:hint="eastAsia" w:eastAsia="仿宋_GB2312" w:cs="仿宋_GB2312"/>
          <w:color w:val="000000"/>
          <w:sz w:val="32"/>
          <w:szCs w:val="32"/>
        </w:rPr>
        <w:t>上述分类中未能涉及但确实存在风险隐患的其他风险点。</w:t>
      </w: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sz w:val="32"/>
          <w:szCs w:val="32"/>
        </w:rPr>
      </w:pPr>
      <w:r>
        <w:rPr>
          <w:rFonts w:eastAsia="仿宋_GB2312"/>
          <w:color w:val="000000"/>
          <w:sz w:val="32"/>
          <w:szCs w:val="32"/>
        </w:rPr>
        <w:br w:type="page"/>
      </w:r>
      <w:r>
        <w:rPr>
          <w:rFonts w:hint="eastAsia" w:ascii="黑体" w:hAnsi="黑体" w:eastAsia="黑体" w:cs="黑体"/>
          <w:sz w:val="32"/>
          <w:szCs w:val="32"/>
        </w:rPr>
        <w:t>附件</w:t>
      </w:r>
      <w:r>
        <w:rPr>
          <w:rFonts w:hint="eastAsia" w:ascii="黑体" w:hAnsi="黑体" w:eastAsia="黑体"/>
          <w:sz w:val="32"/>
          <w:szCs w:val="32"/>
        </w:rPr>
        <w:t>3:</w:t>
      </w:r>
    </w:p>
    <w:p>
      <w:pPr>
        <w:keepNext w:val="0"/>
        <w:keepLines w:val="0"/>
        <w:pageBreakBefore w:val="0"/>
        <w:widowControl w:val="0"/>
        <w:kinsoku/>
        <w:wordWrap/>
        <w:overflowPunct/>
        <w:topLinePunct w:val="0"/>
        <w:autoSpaceDE/>
        <w:autoSpaceDN/>
        <w:bidi w:val="0"/>
        <w:spacing w:line="560" w:lineRule="exact"/>
        <w:outlineLvl w:val="9"/>
        <w:rPr>
          <w:rFonts w:eastAsia="方正小标宋简体"/>
          <w:color w:val="000000"/>
          <w:sz w:val="36"/>
          <w:szCs w:val="36"/>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44"/>
          <w:szCs w:val="44"/>
        </w:rPr>
      </w:pPr>
      <w:r>
        <w:rPr>
          <w:rFonts w:hint="eastAsia" w:eastAsia="方正小标宋简体" w:cs="方正小标宋简体"/>
          <w:color w:val="000000"/>
          <w:sz w:val="44"/>
          <w:szCs w:val="44"/>
        </w:rPr>
        <w:t>冶金工贸生产经营单位安全风险点查找</w:t>
      </w: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44"/>
          <w:szCs w:val="44"/>
        </w:rPr>
      </w:pPr>
      <w:r>
        <w:rPr>
          <w:rFonts w:hint="eastAsia" w:eastAsia="方正小标宋简体" w:cs="方正小标宋简体"/>
          <w:color w:val="000000"/>
          <w:sz w:val="44"/>
          <w:szCs w:val="44"/>
        </w:rPr>
        <w:t>指导手册（示例）</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黑体"/>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楷体"/>
          <w:b/>
          <w:bCs/>
          <w:color w:val="000000"/>
          <w:sz w:val="32"/>
          <w:szCs w:val="32"/>
        </w:rPr>
      </w:pPr>
      <w:r>
        <w:rPr>
          <w:rFonts w:hint="eastAsia" w:eastAsia="楷体" w:cs="楷体"/>
          <w:b/>
          <w:bCs/>
          <w:color w:val="000000"/>
          <w:sz w:val="32"/>
          <w:szCs w:val="32"/>
        </w:rPr>
        <w:t>（一）风险点查找范围</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b/>
          <w:bCs/>
          <w:color w:val="000000"/>
          <w:sz w:val="32"/>
          <w:szCs w:val="32"/>
        </w:rPr>
      </w:pPr>
      <w:r>
        <w:rPr>
          <w:rFonts w:eastAsia="仿宋_GB2312"/>
          <w:b/>
          <w:bCs/>
          <w:color w:val="000000"/>
          <w:sz w:val="32"/>
          <w:szCs w:val="32"/>
        </w:rPr>
        <w:t xml:space="preserve">1. </w:t>
      </w:r>
      <w:r>
        <w:rPr>
          <w:rFonts w:hint="eastAsia" w:eastAsia="仿宋_GB2312" w:cs="仿宋_GB2312"/>
          <w:b/>
          <w:bCs/>
          <w:color w:val="000000"/>
          <w:sz w:val="32"/>
          <w:szCs w:val="32"/>
        </w:rPr>
        <w:t>装置、设备、场所类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1</w:t>
      </w:r>
      <w:r>
        <w:rPr>
          <w:rFonts w:hint="eastAsia" w:eastAsia="仿宋_GB2312" w:cs="仿宋_GB2312"/>
          <w:color w:val="000000"/>
          <w:sz w:val="32"/>
          <w:szCs w:val="32"/>
        </w:rPr>
        <w:t>）产生、供给能量的（如：发动机、变压器、油罐）。　　</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2</w:t>
      </w:r>
      <w:r>
        <w:rPr>
          <w:rFonts w:hint="eastAsia" w:eastAsia="仿宋_GB2312" w:cs="仿宋_GB2312"/>
          <w:color w:val="000000"/>
          <w:sz w:val="32"/>
          <w:szCs w:val="32"/>
        </w:rPr>
        <w:t>）使人体或物体具有较高势能的（如：电梯、脚手架、高空作业平台）。</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3</w:t>
      </w:r>
      <w:r>
        <w:rPr>
          <w:rFonts w:hint="eastAsia" w:eastAsia="仿宋_GB2312" w:cs="仿宋_GB2312"/>
          <w:color w:val="000000"/>
          <w:sz w:val="32"/>
          <w:szCs w:val="32"/>
        </w:rPr>
        <w:t>）一旦失控可能产生能量积蓄或突然释放的。（如：各种压力容器、槽罐、强烈放热反应的化工装置）。</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w:t>
      </w:r>
      <w:r>
        <w:rPr>
          <w:rFonts w:eastAsia="仿宋_GB2312"/>
          <w:color w:val="000000"/>
          <w:sz w:val="32"/>
          <w:szCs w:val="32"/>
        </w:rPr>
        <w:t>4</w:t>
      </w:r>
      <w:r>
        <w:rPr>
          <w:rFonts w:hint="eastAsia" w:eastAsia="仿宋_GB2312" w:cs="仿宋_GB2312"/>
          <w:color w:val="000000"/>
          <w:sz w:val="32"/>
          <w:szCs w:val="32"/>
        </w:rPr>
        <w:t>）生产、加工、储存危险物质的。</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b/>
          <w:bCs/>
          <w:color w:val="000000"/>
          <w:sz w:val="32"/>
          <w:szCs w:val="32"/>
        </w:rPr>
      </w:pPr>
      <w:r>
        <w:rPr>
          <w:rFonts w:eastAsia="仿宋_GB2312"/>
          <w:b/>
          <w:bCs/>
          <w:color w:val="000000"/>
          <w:sz w:val="32"/>
          <w:szCs w:val="32"/>
        </w:rPr>
        <w:t xml:space="preserve">2. </w:t>
      </w:r>
      <w:r>
        <w:rPr>
          <w:rFonts w:hint="eastAsia" w:eastAsia="仿宋_GB2312" w:cs="仿宋_GB2312"/>
          <w:b/>
          <w:bCs/>
          <w:color w:val="000000"/>
          <w:sz w:val="32"/>
          <w:szCs w:val="32"/>
        </w:rPr>
        <w:t>能量载体类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高温物体、低温物体、放射源、带电体、行驶中的车辆、运动部件、飞行物体等。</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b/>
          <w:bCs/>
          <w:color w:val="000000"/>
          <w:sz w:val="32"/>
          <w:szCs w:val="32"/>
        </w:rPr>
      </w:pPr>
      <w:r>
        <w:rPr>
          <w:rFonts w:eastAsia="仿宋_GB2312"/>
          <w:b/>
          <w:bCs/>
          <w:color w:val="000000"/>
          <w:sz w:val="32"/>
          <w:szCs w:val="32"/>
        </w:rPr>
        <w:t xml:space="preserve">3. </w:t>
      </w:r>
      <w:r>
        <w:rPr>
          <w:rFonts w:hint="eastAsia" w:eastAsia="仿宋_GB2312" w:cs="仿宋_GB2312"/>
          <w:b/>
          <w:bCs/>
          <w:color w:val="000000"/>
          <w:sz w:val="32"/>
          <w:szCs w:val="32"/>
        </w:rPr>
        <w:t>危险物质类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各种有毒、有害、腐蚀性、刺激性、可燃烧爆炸的物质等。</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b/>
          <w:bCs/>
          <w:color w:val="000000"/>
          <w:sz w:val="32"/>
          <w:szCs w:val="32"/>
        </w:rPr>
      </w:pPr>
      <w:r>
        <w:rPr>
          <w:rFonts w:eastAsia="仿宋_GB2312"/>
          <w:b/>
          <w:bCs/>
          <w:color w:val="000000"/>
          <w:sz w:val="32"/>
          <w:szCs w:val="32"/>
        </w:rPr>
        <w:t xml:space="preserve">4. </w:t>
      </w:r>
      <w:r>
        <w:rPr>
          <w:rFonts w:hint="eastAsia" w:eastAsia="仿宋_GB2312" w:cs="仿宋_GB2312"/>
          <w:b/>
          <w:bCs/>
          <w:color w:val="000000"/>
          <w:sz w:val="32"/>
          <w:szCs w:val="32"/>
        </w:rPr>
        <w:t>危险作业活动类</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hint="eastAsia" w:eastAsia="仿宋_GB2312" w:cs="仿宋_GB2312"/>
          <w:color w:val="000000"/>
          <w:sz w:val="32"/>
          <w:szCs w:val="32"/>
        </w:rPr>
        <w:t>如动火、进入受限空间、高处、吊装、临时用电、动土、检维修、盲板抽堵等。</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sectPr>
          <w:headerReference r:id="rId3" w:type="default"/>
          <w:footerReference r:id="rId4" w:type="default"/>
          <w:footerReference r:id="rId5" w:type="even"/>
          <w:pgSz w:w="11906" w:h="16838"/>
          <w:pgMar w:top="1701" w:right="1701" w:bottom="1701" w:left="1701"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line="560" w:lineRule="exact"/>
        <w:jc w:val="center"/>
        <w:outlineLvl w:val="9"/>
        <w:rPr>
          <w:rFonts w:ascii="楷体_GB2312" w:eastAsia="楷体_GB2312" w:cs="楷体_GB2312"/>
          <w:b/>
          <w:bCs/>
          <w:color w:val="000000"/>
          <w:kern w:val="0"/>
          <w:sz w:val="32"/>
          <w:szCs w:val="32"/>
        </w:rPr>
      </w:pPr>
      <w:r>
        <w:rPr>
          <w:rFonts w:hint="eastAsia" w:ascii="楷体_GB2312" w:eastAsia="楷体_GB2312" w:cs="楷体_GB2312"/>
          <w:b/>
          <w:bCs/>
          <w:color w:val="000000"/>
          <w:kern w:val="0"/>
          <w:sz w:val="32"/>
          <w:szCs w:val="32"/>
        </w:rPr>
        <w:t>（二）安全风险点清单（样式）</w:t>
      </w:r>
    </w:p>
    <w:p>
      <w:pPr>
        <w:keepNext w:val="0"/>
        <w:keepLines w:val="0"/>
        <w:pageBreakBefore w:val="0"/>
        <w:widowControl w:val="0"/>
        <w:kinsoku/>
        <w:wordWrap/>
        <w:overflowPunct/>
        <w:topLinePunct w:val="0"/>
        <w:autoSpaceDE/>
        <w:autoSpaceDN/>
        <w:bidi w:val="0"/>
        <w:spacing w:line="560" w:lineRule="exact"/>
        <w:jc w:val="center"/>
        <w:outlineLvl w:val="9"/>
        <w:rPr>
          <w:rFonts w:ascii="楷体_GB2312" w:eastAsia="楷体_GB2312"/>
          <w:b/>
          <w:bCs/>
          <w:color w:val="000000"/>
          <w:sz w:val="32"/>
          <w:szCs w:val="32"/>
        </w:rPr>
      </w:pPr>
    </w:p>
    <w:tbl>
      <w:tblPr>
        <w:tblStyle w:val="6"/>
        <w:tblW w:w="13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61"/>
        <w:gridCol w:w="316"/>
        <w:gridCol w:w="327"/>
        <w:gridCol w:w="582"/>
        <w:gridCol w:w="596"/>
        <w:gridCol w:w="515"/>
        <w:gridCol w:w="937"/>
        <w:gridCol w:w="1234"/>
        <w:gridCol w:w="607"/>
        <w:gridCol w:w="635"/>
        <w:gridCol w:w="979"/>
        <w:gridCol w:w="683"/>
        <w:gridCol w:w="968"/>
        <w:gridCol w:w="1105"/>
        <w:gridCol w:w="831"/>
        <w:gridCol w:w="1105"/>
        <w:gridCol w:w="113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361" w:type="dxa"/>
            <w:vMerge w:val="restart"/>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黑体"/>
                <w:color w:val="000000"/>
                <w:sz w:val="24"/>
              </w:rPr>
            </w:pPr>
            <w:r>
              <w:rPr>
                <w:rFonts w:hint="eastAsia" w:eastAsia="黑体" w:cs="黑体"/>
                <w:color w:val="000000"/>
                <w:sz w:val="24"/>
              </w:rPr>
              <w:t>序号</w:t>
            </w:r>
          </w:p>
        </w:tc>
        <w:tc>
          <w:tcPr>
            <w:tcW w:w="316" w:type="dxa"/>
            <w:vMerge w:val="restart"/>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黑体"/>
                <w:color w:val="000000"/>
                <w:sz w:val="24"/>
              </w:rPr>
            </w:pPr>
            <w:r>
              <w:rPr>
                <w:rFonts w:hint="eastAsia" w:eastAsia="黑体" w:cs="黑体"/>
                <w:color w:val="000000"/>
                <w:sz w:val="24"/>
              </w:rPr>
              <w:t>上报单元</w:t>
            </w:r>
          </w:p>
        </w:tc>
        <w:tc>
          <w:tcPr>
            <w:tcW w:w="327" w:type="dxa"/>
            <w:vMerge w:val="restart"/>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黑体"/>
                <w:color w:val="000000"/>
                <w:sz w:val="24"/>
              </w:rPr>
            </w:pPr>
            <w:r>
              <w:rPr>
                <w:rFonts w:hint="eastAsia" w:eastAsia="黑体" w:cs="黑体"/>
                <w:color w:val="000000"/>
                <w:sz w:val="24"/>
              </w:rPr>
              <w:t>填报日期</w:t>
            </w:r>
          </w:p>
        </w:tc>
        <w:tc>
          <w:tcPr>
            <w:tcW w:w="3864" w:type="dxa"/>
            <w:gridSpan w:val="5"/>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风险点描述</w:t>
            </w:r>
          </w:p>
        </w:tc>
        <w:tc>
          <w:tcPr>
            <w:tcW w:w="4977" w:type="dxa"/>
            <w:gridSpan w:val="6"/>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风险点所在位置</w:t>
            </w:r>
          </w:p>
        </w:tc>
        <w:tc>
          <w:tcPr>
            <w:tcW w:w="1936" w:type="dxa"/>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风险点</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所在单元</w:t>
            </w:r>
          </w:p>
        </w:tc>
        <w:tc>
          <w:tcPr>
            <w:tcW w:w="1133" w:type="dxa"/>
            <w:vMerge w:val="restart"/>
            <w:vAlign w:val="center"/>
          </w:tcPr>
          <w:p>
            <w:pPr>
              <w:keepNext w:val="0"/>
              <w:keepLines w:val="0"/>
              <w:pageBreakBefore w:val="0"/>
              <w:widowControl w:val="0"/>
              <w:kinsoku/>
              <w:wordWrap/>
              <w:overflowPunct/>
              <w:topLinePunct w:val="0"/>
              <w:autoSpaceDE/>
              <w:autoSpaceDN/>
              <w:bidi w:val="0"/>
              <w:spacing w:line="560" w:lineRule="exact"/>
              <w:outlineLvl w:val="9"/>
              <w:rPr>
                <w:rFonts w:eastAsia="黑体"/>
                <w:color w:val="000000"/>
                <w:sz w:val="24"/>
              </w:rPr>
            </w:pPr>
            <w:r>
              <w:rPr>
                <w:rFonts w:hint="eastAsia" w:eastAsia="黑体" w:cs="黑体"/>
                <w:color w:val="000000"/>
                <w:sz w:val="24"/>
              </w:rPr>
              <w:t>风险等级</w:t>
            </w:r>
          </w:p>
        </w:tc>
        <w:tc>
          <w:tcPr>
            <w:tcW w:w="1074" w:type="dxa"/>
            <w:vMerge w:val="restart"/>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黑体"/>
                <w:color w:val="000000"/>
                <w:sz w:val="24"/>
              </w:rPr>
            </w:pPr>
            <w:r>
              <w:rPr>
                <w:rFonts w:hint="eastAsia" w:eastAsia="黑体" w:cs="黑体"/>
                <w:color w:val="000000"/>
                <w:sz w:val="24"/>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2" w:hRule="atLeast"/>
          <w:jc w:val="center"/>
        </w:trPr>
        <w:tc>
          <w:tcPr>
            <w:tcW w:w="361"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类别</w:t>
            </w:r>
          </w:p>
        </w:tc>
        <w:tc>
          <w:tcPr>
            <w:tcW w:w="596"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分类</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名称</w:t>
            </w:r>
          </w:p>
        </w:tc>
        <w:tc>
          <w:tcPr>
            <w:tcW w:w="515"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具体</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名称</w:t>
            </w:r>
          </w:p>
        </w:tc>
        <w:tc>
          <w:tcPr>
            <w:tcW w:w="937"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风险</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特征</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产生</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条件</w:t>
            </w:r>
          </w:p>
        </w:tc>
        <w:tc>
          <w:tcPr>
            <w:tcW w:w="1234"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可能导致</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的后果</w:t>
            </w:r>
          </w:p>
        </w:tc>
        <w:tc>
          <w:tcPr>
            <w:tcW w:w="607"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市</w:t>
            </w:r>
          </w:p>
        </w:tc>
        <w:tc>
          <w:tcPr>
            <w:tcW w:w="635"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县</w:t>
            </w:r>
            <w:r>
              <w:rPr>
                <w:rFonts w:eastAsia="黑体"/>
                <w:color w:val="000000"/>
                <w:sz w:val="24"/>
              </w:rPr>
              <w:t>/</w:t>
            </w:r>
            <w:r>
              <w:rPr>
                <w:rFonts w:hint="eastAsia" w:eastAsia="黑体" w:cs="黑体"/>
                <w:color w:val="000000"/>
                <w:sz w:val="24"/>
              </w:rPr>
              <w:t>区</w:t>
            </w:r>
          </w:p>
        </w:tc>
        <w:tc>
          <w:tcPr>
            <w:tcW w:w="979"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主管（监管）单位、街道</w:t>
            </w:r>
          </w:p>
        </w:tc>
        <w:tc>
          <w:tcPr>
            <w:tcW w:w="683"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单位</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名称</w:t>
            </w:r>
          </w:p>
        </w:tc>
        <w:tc>
          <w:tcPr>
            <w:tcW w:w="968"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详细</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地址</w:t>
            </w:r>
          </w:p>
        </w:tc>
        <w:tc>
          <w:tcPr>
            <w:tcW w:w="1105"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坐标</w:t>
            </w:r>
          </w:p>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（经纬度）</w:t>
            </w:r>
          </w:p>
        </w:tc>
        <w:tc>
          <w:tcPr>
            <w:tcW w:w="831"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负责人</w:t>
            </w:r>
          </w:p>
        </w:tc>
        <w:tc>
          <w:tcPr>
            <w:tcW w:w="1105" w:type="dxa"/>
            <w:vAlign w:val="center"/>
          </w:tcPr>
          <w:p>
            <w:pPr>
              <w:keepNext w:val="0"/>
              <w:keepLines w:val="0"/>
              <w:pageBreakBefore w:val="0"/>
              <w:widowControl w:val="0"/>
              <w:kinsoku/>
              <w:wordWrap/>
              <w:overflowPunct/>
              <w:topLinePunct w:val="0"/>
              <w:autoSpaceDE/>
              <w:autoSpaceDN/>
              <w:bidi w:val="0"/>
              <w:spacing w:line="560" w:lineRule="exact"/>
              <w:jc w:val="center"/>
              <w:textAlignment w:val="center"/>
              <w:outlineLvl w:val="9"/>
              <w:rPr>
                <w:rFonts w:eastAsia="黑体"/>
                <w:color w:val="000000"/>
                <w:sz w:val="24"/>
              </w:rPr>
            </w:pPr>
            <w:r>
              <w:rPr>
                <w:rFonts w:hint="eastAsia" w:eastAsia="黑体" w:cs="黑体"/>
                <w:color w:val="000000"/>
                <w:sz w:val="24"/>
              </w:rPr>
              <w:t>联系电话</w:t>
            </w: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r>
              <w:rPr>
                <w:rFonts w:hint="eastAsia" w:eastAsia="仿宋_GB2312" w:cs="仿宋_GB2312"/>
                <w:color w:val="000000"/>
                <w:sz w:val="24"/>
              </w:rPr>
              <w:t>冶金工贸</w:t>
            </w: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r>
              <w:rPr>
                <w:rFonts w:hint="eastAsia" w:eastAsia="仿宋_GB2312" w:cs="仿宋_GB2312"/>
                <w:color w:val="000000"/>
                <w:sz w:val="24"/>
              </w:rPr>
              <w:t>场所</w:t>
            </w: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36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16"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327"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582"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96"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51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3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234"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07"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3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79"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683"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968"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831"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05" w:type="dxa"/>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c>
          <w:tcPr>
            <w:tcW w:w="1133" w:type="dxa"/>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p>
        </w:tc>
        <w:tc>
          <w:tcPr>
            <w:tcW w:w="1074" w:type="dxa"/>
            <w:vMerge w:val="continue"/>
            <w:vAlign w:val="center"/>
          </w:tcPr>
          <w:p>
            <w:pPr>
              <w:keepNext w:val="0"/>
              <w:keepLines w:val="0"/>
              <w:pageBreakBefore w:val="0"/>
              <w:widowControl w:val="0"/>
              <w:kinsoku/>
              <w:wordWrap/>
              <w:overflowPunct/>
              <w:topLinePunct w:val="0"/>
              <w:autoSpaceDE/>
              <w:autoSpaceDN/>
              <w:bidi w:val="0"/>
              <w:spacing w:line="560" w:lineRule="exact"/>
              <w:textAlignment w:val="center"/>
              <w:outlineLvl w:val="9"/>
              <w:rPr>
                <w:rFonts w:eastAsia="仿宋_GB2312"/>
                <w:color w:val="000000"/>
                <w:sz w:val="24"/>
              </w:rPr>
            </w:pPr>
          </w:p>
        </w:tc>
      </w:tr>
    </w:tbl>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楷体"/>
          <w:b/>
          <w:bCs/>
          <w:color w:val="000000"/>
          <w:sz w:val="32"/>
          <w:szCs w:val="32"/>
        </w:rPr>
        <w:sectPr>
          <w:pgSz w:w="16838" w:h="11906" w:orient="landscape"/>
          <w:pgMar w:top="1701" w:right="1440" w:bottom="1701" w:left="1440" w:header="851" w:footer="1418"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spacing w:line="560" w:lineRule="exact"/>
        <w:outlineLvl w:val="9"/>
        <w:rPr>
          <w:rFonts w:ascii="楷体_GB2312" w:eastAsia="楷体_GB2312" w:cs="楷体_GB2312"/>
          <w:b/>
          <w:bCs/>
          <w:color w:val="000000"/>
          <w:sz w:val="32"/>
          <w:szCs w:val="32"/>
        </w:rPr>
      </w:pPr>
      <w:r>
        <w:rPr>
          <w:rFonts w:hint="eastAsia" w:ascii="楷体_GB2312" w:eastAsia="楷体_GB2312" w:cs="楷体_GB2312"/>
          <w:b/>
          <w:bCs/>
          <w:color w:val="000000"/>
          <w:sz w:val="32"/>
          <w:szCs w:val="32"/>
        </w:rPr>
        <w:t>（三）《安全风险点清单》填表说明</w:t>
      </w:r>
      <w:r>
        <w:rPr>
          <w:rFonts w:ascii="楷体_GB2312" w:eastAsia="楷体_GB2312" w:cs="楷体_GB2312"/>
          <w:b/>
          <w:bCs/>
          <w:color w:val="00000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w:t>
      </w:r>
      <w:r>
        <w:rPr>
          <w:rFonts w:hint="eastAsia" w:eastAsia="仿宋_GB2312" w:cs="仿宋_GB2312"/>
          <w:color w:val="000000"/>
          <w:sz w:val="32"/>
          <w:szCs w:val="32"/>
        </w:rPr>
        <w:t>【序号】请按照</w:t>
      </w:r>
      <w:r>
        <w:rPr>
          <w:rFonts w:eastAsia="仿宋_GB2312"/>
          <w:color w:val="000000"/>
          <w:sz w:val="32"/>
          <w:szCs w:val="32"/>
        </w:rPr>
        <w:t>“</w:t>
      </w:r>
      <w:r>
        <w:rPr>
          <w:rFonts w:hint="eastAsia" w:eastAsia="仿宋_GB2312" w:cs="仿宋_GB2312"/>
          <w:color w:val="000000"/>
          <w:sz w:val="32"/>
          <w:szCs w:val="32"/>
        </w:rPr>
        <w:t>一点一号</w:t>
      </w:r>
      <w:r>
        <w:rPr>
          <w:rFonts w:eastAsia="仿宋_GB2312"/>
          <w:color w:val="000000"/>
          <w:sz w:val="32"/>
          <w:szCs w:val="32"/>
        </w:rPr>
        <w:t>”</w:t>
      </w:r>
      <w:r>
        <w:rPr>
          <w:rFonts w:hint="eastAsia" w:eastAsia="仿宋_GB2312" w:cs="仿宋_GB2312"/>
          <w:color w:val="000000"/>
          <w:sz w:val="32"/>
          <w:szCs w:val="32"/>
        </w:rPr>
        <w:t>（即</w:t>
      </w:r>
      <w:r>
        <w:rPr>
          <w:rFonts w:eastAsia="仿宋_GB2312"/>
          <w:color w:val="000000"/>
          <w:sz w:val="32"/>
          <w:szCs w:val="32"/>
        </w:rPr>
        <w:t>1</w:t>
      </w:r>
      <w:r>
        <w:rPr>
          <w:rFonts w:hint="eastAsia" w:eastAsia="仿宋_GB2312" w:cs="仿宋_GB2312"/>
          <w:color w:val="000000"/>
          <w:sz w:val="32"/>
          <w:szCs w:val="32"/>
        </w:rPr>
        <w:t>个风险点</w:t>
      </w:r>
      <w:r>
        <w:rPr>
          <w:rFonts w:eastAsia="仿宋_GB2312"/>
          <w:color w:val="000000"/>
          <w:sz w:val="32"/>
          <w:szCs w:val="32"/>
        </w:rPr>
        <w:t>1</w:t>
      </w:r>
      <w:r>
        <w:rPr>
          <w:rFonts w:hint="eastAsia" w:eastAsia="仿宋_GB2312" w:cs="仿宋_GB2312"/>
          <w:color w:val="000000"/>
          <w:sz w:val="32"/>
          <w:szCs w:val="32"/>
        </w:rPr>
        <w:t>个序号）方式，顺序填写。</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2.</w:t>
      </w:r>
      <w:r>
        <w:rPr>
          <w:rFonts w:hint="eastAsia" w:eastAsia="仿宋_GB2312" w:cs="仿宋_GB2312"/>
          <w:color w:val="000000"/>
          <w:sz w:val="32"/>
          <w:szCs w:val="32"/>
        </w:rPr>
        <w:t>【上报单位】县级数据（或报告报告）请填写县级行业主管单位名称，市级报告请填写市级行业主管单位名称。</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3.</w:t>
      </w:r>
      <w:r>
        <w:rPr>
          <w:rFonts w:hint="eastAsia" w:eastAsia="仿宋_GB2312" w:cs="仿宋_GB2312"/>
          <w:color w:val="000000"/>
          <w:sz w:val="32"/>
          <w:szCs w:val="32"/>
        </w:rPr>
        <w:t>【填报日期】市级报告请填写递交省有关部门的日期，</w:t>
      </w:r>
      <w:r>
        <w:rPr>
          <w:rFonts w:eastAsia="仿宋_GB2312"/>
          <w:color w:val="000000"/>
          <w:sz w:val="32"/>
          <w:szCs w:val="32"/>
        </w:rPr>
        <w:t xml:space="preserve"> </w:t>
      </w:r>
      <w:r>
        <w:rPr>
          <w:rFonts w:hint="eastAsia" w:eastAsia="仿宋_GB2312" w:cs="仿宋_GB2312"/>
          <w:color w:val="000000"/>
          <w:sz w:val="32"/>
          <w:szCs w:val="32"/>
        </w:rPr>
        <w:t>县级报告填报日期由市级规定。</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4.</w:t>
      </w:r>
      <w:r>
        <w:rPr>
          <w:rFonts w:hint="eastAsia" w:eastAsia="仿宋_GB2312" w:cs="仿宋_GB2312"/>
          <w:color w:val="000000"/>
          <w:sz w:val="32"/>
          <w:szCs w:val="32"/>
        </w:rPr>
        <w:t>【类别】请在下拉菜单中选择，各行业主管部门、各地级市如在</w:t>
      </w:r>
      <w:r>
        <w:rPr>
          <w:rFonts w:eastAsia="仿宋_GB2312"/>
          <w:color w:val="000000"/>
          <w:sz w:val="32"/>
          <w:szCs w:val="32"/>
        </w:rPr>
        <w:t>“</w:t>
      </w:r>
      <w:r>
        <w:rPr>
          <w:rFonts w:hint="eastAsia" w:eastAsia="仿宋_GB2312" w:cs="仿宋_GB2312"/>
          <w:color w:val="000000"/>
          <w:sz w:val="32"/>
          <w:szCs w:val="32"/>
        </w:rPr>
        <w:t>类别</w:t>
      </w:r>
      <w:r>
        <w:rPr>
          <w:rFonts w:eastAsia="仿宋_GB2312"/>
          <w:color w:val="000000"/>
          <w:sz w:val="32"/>
          <w:szCs w:val="32"/>
        </w:rPr>
        <w:t>”</w:t>
      </w:r>
      <w:r>
        <w:rPr>
          <w:rFonts w:hint="eastAsia" w:eastAsia="仿宋_GB2312" w:cs="仿宋_GB2312"/>
          <w:color w:val="000000"/>
          <w:sz w:val="32"/>
          <w:szCs w:val="32"/>
        </w:rPr>
        <w:t>之外增加，请（选项表）中修改，同时报表中进行说明。</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5.</w:t>
      </w:r>
      <w:r>
        <w:rPr>
          <w:rFonts w:hint="eastAsia" w:eastAsia="仿宋_GB2312" w:cs="仿宋_GB2312"/>
          <w:color w:val="000000"/>
          <w:sz w:val="32"/>
          <w:szCs w:val="32"/>
        </w:rPr>
        <w:t>【分类名称】请在下拉菜单中选择，各行业主管部门、各地级市如在</w:t>
      </w:r>
      <w:r>
        <w:rPr>
          <w:rFonts w:eastAsia="仿宋_GB2312"/>
          <w:color w:val="000000"/>
          <w:sz w:val="32"/>
          <w:szCs w:val="32"/>
        </w:rPr>
        <w:t>“</w:t>
      </w:r>
      <w:r>
        <w:rPr>
          <w:rFonts w:hint="eastAsia" w:eastAsia="仿宋_GB2312" w:cs="仿宋_GB2312"/>
          <w:color w:val="000000"/>
          <w:sz w:val="32"/>
          <w:szCs w:val="32"/>
        </w:rPr>
        <w:t>分类名称</w:t>
      </w:r>
      <w:r>
        <w:rPr>
          <w:rFonts w:eastAsia="仿宋_GB2312"/>
          <w:color w:val="000000"/>
          <w:sz w:val="32"/>
          <w:szCs w:val="32"/>
        </w:rPr>
        <w:t>”</w:t>
      </w:r>
      <w:r>
        <w:rPr>
          <w:rFonts w:hint="eastAsia" w:eastAsia="仿宋_GB2312" w:cs="仿宋_GB2312"/>
          <w:color w:val="000000"/>
          <w:sz w:val="32"/>
          <w:szCs w:val="32"/>
        </w:rPr>
        <w:t>之外增加，请在（选项表）中修改，同时报表中进行说明。</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6.</w:t>
      </w:r>
      <w:r>
        <w:rPr>
          <w:rFonts w:hint="eastAsia" w:eastAsia="仿宋_GB2312" w:cs="仿宋_GB2312"/>
          <w:color w:val="000000"/>
          <w:sz w:val="32"/>
          <w:szCs w:val="32"/>
        </w:rPr>
        <w:t>【具体名称】请填写具体风险点、危险源名称，请注意名称的唯一性。</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7.</w:t>
      </w:r>
      <w:r>
        <w:rPr>
          <w:rFonts w:hint="eastAsia" w:eastAsia="仿宋_GB2312" w:cs="仿宋_GB2312"/>
          <w:color w:val="000000"/>
          <w:sz w:val="32"/>
          <w:szCs w:val="32"/>
        </w:rPr>
        <w:t>【市】请填写地级市的名称，如</w:t>
      </w:r>
      <w:r>
        <w:rPr>
          <w:rFonts w:eastAsia="仿宋_GB2312"/>
          <w:color w:val="000000"/>
          <w:sz w:val="32"/>
          <w:szCs w:val="32"/>
        </w:rPr>
        <w:t>“</w:t>
      </w:r>
      <w:r>
        <w:rPr>
          <w:rFonts w:hint="eastAsia" w:eastAsia="仿宋_GB2312" w:cs="仿宋_GB2312"/>
          <w:color w:val="000000"/>
          <w:sz w:val="32"/>
          <w:szCs w:val="32"/>
        </w:rPr>
        <w:t>合肥市</w:t>
      </w:r>
      <w:r>
        <w:rPr>
          <w:rFonts w:eastAsia="仿宋_GB2312"/>
          <w:color w:val="000000"/>
          <w:sz w:val="32"/>
          <w:szCs w:val="32"/>
        </w:rPr>
        <w:t>”</w:t>
      </w:r>
      <w:r>
        <w:rPr>
          <w:rFonts w:hint="eastAsia" w:eastAsia="仿宋_GB2312" w:cs="仿宋_GB2312"/>
          <w:color w:val="000000"/>
          <w:sz w:val="32"/>
          <w:szCs w:val="32"/>
        </w:rPr>
        <w:t>、</w:t>
      </w:r>
      <w:r>
        <w:rPr>
          <w:rFonts w:eastAsia="仿宋_GB2312"/>
          <w:color w:val="000000"/>
          <w:sz w:val="32"/>
          <w:szCs w:val="32"/>
        </w:rPr>
        <w:t>“</w:t>
      </w:r>
      <w:r>
        <w:rPr>
          <w:rFonts w:hint="eastAsia" w:eastAsia="仿宋_GB2312" w:cs="仿宋_GB2312"/>
          <w:color w:val="000000"/>
          <w:sz w:val="32"/>
          <w:szCs w:val="32"/>
        </w:rPr>
        <w:t>芜湖市</w:t>
      </w:r>
      <w:r>
        <w:rPr>
          <w:rFonts w:eastAsia="仿宋_GB2312"/>
          <w:color w:val="000000"/>
          <w:sz w:val="32"/>
          <w:szCs w:val="32"/>
        </w:rPr>
        <w:t>”</w:t>
      </w:r>
      <w:r>
        <w:rPr>
          <w:rFonts w:hint="eastAsia" w:eastAsia="仿宋_GB2312" w:cs="仿宋_GB2312"/>
          <w:color w:val="000000"/>
          <w:sz w:val="32"/>
          <w:szCs w:val="32"/>
        </w:rPr>
        <w:t>，请勿填写</w:t>
      </w:r>
      <w:r>
        <w:rPr>
          <w:rFonts w:eastAsia="仿宋_GB2312"/>
          <w:color w:val="000000"/>
          <w:sz w:val="32"/>
          <w:szCs w:val="32"/>
        </w:rPr>
        <w:t>“</w:t>
      </w:r>
      <w:r>
        <w:rPr>
          <w:rFonts w:hint="eastAsia" w:eastAsia="仿宋_GB2312" w:cs="仿宋_GB2312"/>
          <w:color w:val="000000"/>
          <w:sz w:val="32"/>
          <w:szCs w:val="32"/>
        </w:rPr>
        <w:t>合肥</w:t>
      </w:r>
      <w:r>
        <w:rPr>
          <w:rFonts w:eastAsia="仿宋_GB2312"/>
          <w:color w:val="000000"/>
          <w:sz w:val="32"/>
          <w:szCs w:val="32"/>
        </w:rPr>
        <w:t>”</w:t>
      </w:r>
      <w:r>
        <w:rPr>
          <w:rFonts w:hint="eastAsia" w:eastAsia="仿宋_GB2312" w:cs="仿宋_GB2312"/>
          <w:color w:val="000000"/>
          <w:sz w:val="32"/>
          <w:szCs w:val="32"/>
        </w:rPr>
        <w:t>、</w:t>
      </w:r>
      <w:r>
        <w:rPr>
          <w:rFonts w:eastAsia="仿宋_GB2312"/>
          <w:color w:val="000000"/>
          <w:sz w:val="32"/>
          <w:szCs w:val="32"/>
        </w:rPr>
        <w:t>“</w:t>
      </w:r>
      <w:r>
        <w:rPr>
          <w:rFonts w:hint="eastAsia" w:eastAsia="仿宋_GB2312" w:cs="仿宋_GB2312"/>
          <w:color w:val="000000"/>
          <w:sz w:val="32"/>
          <w:szCs w:val="32"/>
        </w:rPr>
        <w:t>芜湖</w:t>
      </w:r>
      <w:r>
        <w:rPr>
          <w:rFonts w:eastAsia="仿宋_GB2312"/>
          <w:color w:val="000000"/>
          <w:sz w:val="32"/>
          <w:szCs w:val="32"/>
        </w:rPr>
        <w:t>”</w:t>
      </w:r>
      <w:r>
        <w:rPr>
          <w:rFonts w:hint="eastAsia" w:eastAsia="仿宋_GB2312" w:cs="仿宋_GB2312"/>
          <w:color w:val="000000"/>
          <w:sz w:val="32"/>
          <w:szCs w:val="32"/>
        </w:rPr>
        <w:t>不带市的名称和</w:t>
      </w:r>
      <w:r>
        <w:rPr>
          <w:rFonts w:eastAsia="仿宋_GB2312"/>
          <w:color w:val="000000"/>
          <w:sz w:val="32"/>
          <w:szCs w:val="32"/>
        </w:rPr>
        <w:t>“</w:t>
      </w:r>
      <w:r>
        <w:rPr>
          <w:rFonts w:hint="eastAsia" w:eastAsia="仿宋_GB2312" w:cs="仿宋_GB2312"/>
          <w:color w:val="000000"/>
          <w:sz w:val="32"/>
          <w:szCs w:val="32"/>
        </w:rPr>
        <w:t>凤台县</w:t>
      </w:r>
      <w:r>
        <w:rPr>
          <w:rFonts w:eastAsia="仿宋_GB2312"/>
          <w:color w:val="000000"/>
          <w:sz w:val="32"/>
          <w:szCs w:val="32"/>
        </w:rPr>
        <w:t>”</w:t>
      </w:r>
      <w:r>
        <w:rPr>
          <w:rFonts w:hint="eastAsia" w:eastAsia="仿宋_GB2312" w:cs="仿宋_GB2312"/>
          <w:color w:val="000000"/>
          <w:sz w:val="32"/>
          <w:szCs w:val="32"/>
        </w:rPr>
        <w:t>等县级市名称。</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8.</w:t>
      </w:r>
      <w:r>
        <w:rPr>
          <w:rFonts w:hint="eastAsia" w:eastAsia="仿宋_GB2312" w:cs="仿宋_GB2312"/>
          <w:color w:val="000000"/>
          <w:sz w:val="32"/>
          <w:szCs w:val="32"/>
        </w:rPr>
        <w:t>【县</w:t>
      </w:r>
      <w:r>
        <w:rPr>
          <w:rFonts w:eastAsia="仿宋_GB2312"/>
          <w:color w:val="000000"/>
          <w:sz w:val="32"/>
          <w:szCs w:val="32"/>
        </w:rPr>
        <w:t>/</w:t>
      </w:r>
      <w:r>
        <w:rPr>
          <w:rFonts w:hint="eastAsia" w:eastAsia="仿宋_GB2312" w:cs="仿宋_GB2312"/>
          <w:color w:val="000000"/>
          <w:sz w:val="32"/>
          <w:szCs w:val="32"/>
        </w:rPr>
        <w:t>区】请填写县、县级市、区的名称，如</w:t>
      </w:r>
      <w:r>
        <w:rPr>
          <w:rFonts w:eastAsia="仿宋_GB2312"/>
          <w:color w:val="000000"/>
          <w:sz w:val="32"/>
          <w:szCs w:val="32"/>
        </w:rPr>
        <w:t>“</w:t>
      </w:r>
      <w:r>
        <w:rPr>
          <w:rFonts w:hint="eastAsia" w:eastAsia="仿宋_GB2312" w:cs="仿宋_GB2312"/>
          <w:color w:val="000000"/>
          <w:sz w:val="32"/>
          <w:szCs w:val="32"/>
        </w:rPr>
        <w:t>包河区</w:t>
      </w:r>
      <w:r>
        <w:rPr>
          <w:rFonts w:eastAsia="仿宋_GB2312"/>
          <w:color w:val="000000"/>
          <w:sz w:val="32"/>
          <w:szCs w:val="32"/>
        </w:rPr>
        <w:t>”</w:t>
      </w:r>
      <w:r>
        <w:rPr>
          <w:rFonts w:hint="eastAsia" w:eastAsia="仿宋_GB2312" w:cs="仿宋_GB2312"/>
          <w:color w:val="000000"/>
          <w:sz w:val="32"/>
          <w:szCs w:val="32"/>
        </w:rPr>
        <w:t>、</w:t>
      </w:r>
      <w:r>
        <w:rPr>
          <w:rFonts w:eastAsia="仿宋_GB2312"/>
          <w:color w:val="000000"/>
          <w:sz w:val="32"/>
          <w:szCs w:val="32"/>
        </w:rPr>
        <w:t>“</w:t>
      </w:r>
      <w:r>
        <w:rPr>
          <w:rFonts w:hint="eastAsia" w:eastAsia="仿宋_GB2312" w:cs="仿宋_GB2312"/>
          <w:color w:val="000000"/>
          <w:sz w:val="32"/>
          <w:szCs w:val="32"/>
        </w:rPr>
        <w:t>明光市</w:t>
      </w:r>
      <w:r>
        <w:rPr>
          <w:rFonts w:eastAsia="仿宋_GB2312"/>
          <w:color w:val="000000"/>
          <w:sz w:val="32"/>
          <w:szCs w:val="32"/>
        </w:rPr>
        <w:t>”</w:t>
      </w:r>
      <w:r>
        <w:rPr>
          <w:rFonts w:hint="eastAsia"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9.</w:t>
      </w:r>
      <w:r>
        <w:rPr>
          <w:rFonts w:hint="eastAsia" w:eastAsia="仿宋_GB2312" w:cs="仿宋_GB2312"/>
          <w:color w:val="000000"/>
          <w:sz w:val="32"/>
          <w:szCs w:val="32"/>
        </w:rPr>
        <w:t>【主管（监管）单位、街道】请填写主管（监管）单位、街道的名称，如</w:t>
      </w:r>
      <w:r>
        <w:rPr>
          <w:rFonts w:eastAsia="仿宋_GB2312"/>
          <w:color w:val="000000"/>
          <w:sz w:val="32"/>
          <w:szCs w:val="32"/>
        </w:rPr>
        <w:t>“</w:t>
      </w:r>
      <w:r>
        <w:rPr>
          <w:rFonts w:hint="eastAsia" w:eastAsia="仿宋_GB2312" w:cs="仿宋_GB2312"/>
          <w:color w:val="000000"/>
          <w:sz w:val="32"/>
          <w:szCs w:val="32"/>
        </w:rPr>
        <w:t>住建局</w:t>
      </w:r>
      <w:r>
        <w:rPr>
          <w:rFonts w:eastAsia="仿宋_GB2312"/>
          <w:color w:val="000000"/>
          <w:sz w:val="32"/>
          <w:szCs w:val="32"/>
        </w:rPr>
        <w:t>”</w:t>
      </w:r>
      <w:r>
        <w:rPr>
          <w:rFonts w:hint="eastAsia" w:eastAsia="仿宋_GB2312" w:cs="仿宋_GB2312"/>
          <w:color w:val="000000"/>
          <w:sz w:val="32"/>
          <w:szCs w:val="32"/>
        </w:rPr>
        <w:t>、</w:t>
      </w:r>
      <w:r>
        <w:rPr>
          <w:rFonts w:eastAsia="仿宋_GB2312"/>
          <w:color w:val="000000"/>
          <w:sz w:val="32"/>
          <w:szCs w:val="32"/>
        </w:rPr>
        <w:t>“</w:t>
      </w:r>
      <w:r>
        <w:rPr>
          <w:rFonts w:hint="eastAsia" w:eastAsia="仿宋_GB2312" w:cs="仿宋_GB2312"/>
          <w:color w:val="000000"/>
          <w:sz w:val="32"/>
          <w:szCs w:val="32"/>
        </w:rPr>
        <w:t>芜湖路街道</w:t>
      </w:r>
      <w:r>
        <w:rPr>
          <w:rFonts w:eastAsia="仿宋_GB2312"/>
          <w:color w:val="000000"/>
          <w:sz w:val="32"/>
          <w:szCs w:val="32"/>
        </w:rPr>
        <w:t>”</w:t>
      </w:r>
      <w:r>
        <w:rPr>
          <w:rFonts w:hint="eastAsia"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10.</w:t>
      </w:r>
      <w:r>
        <w:rPr>
          <w:rFonts w:hint="eastAsia" w:eastAsia="仿宋_GB2312" w:cs="仿宋_GB2312"/>
          <w:color w:val="000000"/>
          <w:sz w:val="32"/>
          <w:szCs w:val="32"/>
        </w:rPr>
        <w:t>【单位名称】：请填写风险点、危险源的主体责任单位营业执照名称或法定名称。</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11.</w:t>
      </w:r>
      <w:r>
        <w:rPr>
          <w:rFonts w:hint="eastAsia" w:eastAsia="仿宋_GB2312" w:cs="仿宋_GB2312"/>
          <w:color w:val="000000"/>
          <w:sz w:val="32"/>
          <w:szCs w:val="32"/>
        </w:rPr>
        <w:t>【详细地址】请填写详细的地址到门牌号，如</w:t>
      </w:r>
      <w:r>
        <w:rPr>
          <w:rFonts w:eastAsia="仿宋_GB2312"/>
          <w:color w:val="000000"/>
          <w:sz w:val="32"/>
          <w:szCs w:val="32"/>
        </w:rPr>
        <w:t>“××</w:t>
      </w:r>
      <w:r>
        <w:rPr>
          <w:rFonts w:hint="eastAsia" w:eastAsia="仿宋_GB2312" w:cs="仿宋_GB2312"/>
          <w:color w:val="000000"/>
          <w:sz w:val="32"/>
          <w:szCs w:val="32"/>
        </w:rPr>
        <w:t>市</w:t>
      </w:r>
      <w:r>
        <w:rPr>
          <w:rFonts w:eastAsia="仿宋_GB2312"/>
          <w:color w:val="000000"/>
          <w:sz w:val="32"/>
          <w:szCs w:val="32"/>
        </w:rPr>
        <w:t>××</w:t>
      </w:r>
      <w:r>
        <w:rPr>
          <w:rFonts w:hint="eastAsia" w:eastAsia="仿宋_GB2312" w:cs="仿宋_GB2312"/>
          <w:color w:val="000000"/>
          <w:sz w:val="32"/>
          <w:szCs w:val="32"/>
        </w:rPr>
        <w:t>区</w:t>
      </w:r>
      <w:r>
        <w:rPr>
          <w:rFonts w:eastAsia="仿宋_GB2312"/>
          <w:color w:val="000000"/>
          <w:sz w:val="32"/>
          <w:szCs w:val="32"/>
        </w:rPr>
        <w:t>××</w:t>
      </w:r>
      <w:r>
        <w:rPr>
          <w:rFonts w:hint="eastAsia" w:eastAsia="仿宋_GB2312" w:cs="仿宋_GB2312"/>
          <w:color w:val="000000"/>
          <w:sz w:val="32"/>
          <w:szCs w:val="32"/>
        </w:rPr>
        <w:t>街道</w:t>
      </w:r>
      <w:r>
        <w:rPr>
          <w:rFonts w:eastAsia="仿宋_GB2312"/>
          <w:color w:val="000000"/>
          <w:sz w:val="32"/>
          <w:szCs w:val="32"/>
        </w:rPr>
        <w:t>××</w:t>
      </w:r>
      <w:r>
        <w:rPr>
          <w:rFonts w:hint="eastAsia" w:eastAsia="仿宋_GB2312" w:cs="仿宋_GB2312"/>
          <w:color w:val="000000"/>
          <w:sz w:val="32"/>
          <w:szCs w:val="32"/>
        </w:rPr>
        <w:t>小区</w:t>
      </w:r>
      <w:r>
        <w:rPr>
          <w:rFonts w:eastAsia="仿宋_GB2312"/>
          <w:color w:val="000000"/>
          <w:sz w:val="32"/>
          <w:szCs w:val="32"/>
        </w:rPr>
        <w:t>××</w:t>
      </w:r>
      <w:r>
        <w:rPr>
          <w:rFonts w:hint="eastAsia" w:eastAsia="仿宋_GB2312" w:cs="仿宋_GB2312"/>
          <w:color w:val="000000"/>
          <w:sz w:val="32"/>
          <w:szCs w:val="32"/>
        </w:rPr>
        <w:t>幢</w:t>
      </w:r>
      <w:r>
        <w:rPr>
          <w:rFonts w:eastAsia="仿宋_GB2312"/>
          <w:color w:val="000000"/>
          <w:sz w:val="32"/>
          <w:szCs w:val="32"/>
        </w:rPr>
        <w:t>××</w:t>
      </w:r>
      <w:r>
        <w:rPr>
          <w:rFonts w:hint="eastAsia" w:eastAsia="仿宋_GB2312" w:cs="仿宋_GB2312"/>
          <w:color w:val="000000"/>
          <w:sz w:val="32"/>
          <w:szCs w:val="32"/>
        </w:rPr>
        <w:t>室</w:t>
      </w:r>
      <w:r>
        <w:rPr>
          <w:rFonts w:eastAsia="仿宋_GB2312"/>
          <w:color w:val="000000"/>
          <w:sz w:val="32"/>
          <w:szCs w:val="32"/>
        </w:rPr>
        <w:t>”</w:t>
      </w:r>
      <w:r>
        <w:rPr>
          <w:rFonts w:hint="eastAsia" w:eastAsia="仿宋_GB2312" w:cs="仿宋_GB2312"/>
          <w:color w:val="000000"/>
          <w:sz w:val="32"/>
          <w:szCs w:val="32"/>
        </w:rPr>
        <w:t>。</w:t>
      </w:r>
      <w:r>
        <w:rPr>
          <w:rFonts w:eastAsia="仿宋_GB2312"/>
          <w:color w:val="00000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12.</w:t>
      </w:r>
      <w:r>
        <w:rPr>
          <w:rFonts w:hint="eastAsia" w:eastAsia="仿宋_GB2312" w:cs="仿宋_GB2312"/>
          <w:color w:val="000000"/>
          <w:sz w:val="32"/>
          <w:szCs w:val="32"/>
        </w:rPr>
        <w:t>【坐标】请填写风险源危险点中心的经纬度。</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13.</w:t>
      </w:r>
      <w:r>
        <w:rPr>
          <w:rFonts w:hint="eastAsia" w:eastAsia="仿宋_GB2312" w:cs="仿宋_GB2312"/>
          <w:color w:val="000000"/>
          <w:sz w:val="32"/>
          <w:szCs w:val="32"/>
        </w:rPr>
        <w:t>【负责人】：法定代表人或企业实际控制人。</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14.</w:t>
      </w:r>
      <w:r>
        <w:rPr>
          <w:rFonts w:hint="eastAsia" w:eastAsia="仿宋_GB2312" w:cs="仿宋_GB2312"/>
          <w:color w:val="000000"/>
          <w:sz w:val="32"/>
          <w:szCs w:val="32"/>
        </w:rPr>
        <w:t>【联系电话】：法定代表人或企业实际控制人的联系电话。</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15.</w:t>
      </w:r>
      <w:r>
        <w:rPr>
          <w:rFonts w:hint="eastAsia" w:eastAsia="仿宋_GB2312" w:cs="仿宋_GB2312"/>
          <w:color w:val="000000"/>
          <w:sz w:val="32"/>
          <w:szCs w:val="32"/>
        </w:rPr>
        <w:t>【风险等级】：下拉菜单中选择，不允许修改。</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r>
        <w:rPr>
          <w:rFonts w:eastAsia="仿宋_GB2312"/>
          <w:color w:val="000000"/>
          <w:sz w:val="32"/>
          <w:szCs w:val="32"/>
        </w:rPr>
        <w:t>16.</w:t>
      </w:r>
      <w:r>
        <w:rPr>
          <w:rFonts w:hint="eastAsia" w:eastAsia="仿宋_GB2312" w:cs="仿宋_GB2312"/>
          <w:color w:val="000000"/>
          <w:sz w:val="32"/>
          <w:szCs w:val="32"/>
        </w:rPr>
        <w:t>【管控措施】：一般填写以下内容：</w:t>
      </w:r>
      <w:r>
        <w:rPr>
          <w:rFonts w:hint="eastAsia" w:ascii="宋体" w:hAnsi="宋体" w:cs="宋体"/>
          <w:color w:val="000000"/>
          <w:sz w:val="32"/>
          <w:szCs w:val="32"/>
        </w:rPr>
        <w:t>①</w:t>
      </w:r>
      <w:r>
        <w:rPr>
          <w:rFonts w:hint="eastAsia" w:eastAsia="仿宋_GB2312" w:cs="仿宋_GB2312"/>
          <w:color w:val="000000"/>
          <w:sz w:val="32"/>
          <w:szCs w:val="32"/>
        </w:rPr>
        <w:t>主体责任单位管控措施。</w:t>
      </w:r>
      <w:r>
        <w:rPr>
          <w:rFonts w:hint="eastAsia" w:ascii="宋体" w:hAnsi="宋体" w:cs="宋体"/>
          <w:color w:val="000000"/>
          <w:sz w:val="32"/>
          <w:szCs w:val="32"/>
        </w:rPr>
        <w:t>②</w:t>
      </w:r>
      <w:r>
        <w:rPr>
          <w:rFonts w:hint="eastAsia" w:eastAsia="仿宋_GB2312" w:cs="仿宋_GB2312"/>
          <w:color w:val="000000"/>
          <w:sz w:val="32"/>
          <w:szCs w:val="32"/>
        </w:rPr>
        <w:t>主管部门管控措施。</w:t>
      </w:r>
      <w:r>
        <w:rPr>
          <w:rFonts w:hint="eastAsia" w:ascii="宋体" w:hAnsi="宋体" w:cs="宋体"/>
          <w:color w:val="000000"/>
          <w:sz w:val="32"/>
          <w:szCs w:val="32"/>
        </w:rPr>
        <w:t>③</w:t>
      </w:r>
      <w:r>
        <w:rPr>
          <w:rFonts w:hint="eastAsia" w:eastAsia="仿宋_GB2312" w:cs="仿宋_GB2312"/>
          <w:color w:val="000000"/>
          <w:sz w:val="32"/>
          <w:szCs w:val="32"/>
        </w:rPr>
        <w:t>应急措施。</w:t>
      </w: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color w:val="000000"/>
          <w:sz w:val="32"/>
          <w:szCs w:val="32"/>
        </w:rPr>
      </w:pPr>
      <w:r>
        <w:rPr>
          <w:rFonts w:eastAsia="仿宋_GB2312"/>
          <w:color w:val="000000"/>
          <w:sz w:val="32"/>
          <w:szCs w:val="32"/>
        </w:rPr>
        <w:br w:type="page"/>
      </w:r>
      <w:r>
        <w:rPr>
          <w:rFonts w:hint="eastAsia" w:ascii="黑体" w:hAnsi="黑体" w:eastAsia="黑体" w:cs="黑体"/>
          <w:color w:val="000000"/>
          <w:sz w:val="32"/>
          <w:szCs w:val="32"/>
        </w:rPr>
        <w:t>附件</w:t>
      </w:r>
      <w:r>
        <w:rPr>
          <w:rFonts w:hint="eastAsia" w:ascii="黑体" w:hAnsi="黑体" w:eastAsia="黑体"/>
          <w:color w:val="000000"/>
          <w:sz w:val="32"/>
          <w:szCs w:val="32"/>
        </w:rPr>
        <w:t>4:</w:t>
      </w:r>
    </w:p>
    <w:p>
      <w:pPr>
        <w:keepNext w:val="0"/>
        <w:keepLines w:val="0"/>
        <w:pageBreakBefore w:val="0"/>
        <w:widowControl w:val="0"/>
        <w:kinsoku/>
        <w:wordWrap/>
        <w:overflowPunct/>
        <w:topLinePunct w:val="0"/>
        <w:autoSpaceDE/>
        <w:autoSpaceDN/>
        <w:bidi w:val="0"/>
        <w:spacing w:line="560" w:lineRule="exact"/>
        <w:outlineLvl w:val="9"/>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36"/>
          <w:szCs w:val="36"/>
        </w:rPr>
      </w:pPr>
      <w:r>
        <w:rPr>
          <w:rFonts w:hint="eastAsia" w:eastAsia="方正小标宋简体" w:cs="方正小标宋简体"/>
          <w:color w:val="000000"/>
          <w:sz w:val="36"/>
          <w:szCs w:val="36"/>
        </w:rPr>
        <w:t>风险点信息采集、审核、报送流程图</w:t>
      </w:r>
    </w:p>
    <w:p>
      <w:pPr>
        <w:keepNext w:val="0"/>
        <w:keepLines w:val="0"/>
        <w:pageBreakBefore w:val="0"/>
        <w:widowControl w:val="0"/>
        <w:kinsoku/>
        <w:wordWrap/>
        <w:overflowPunct/>
        <w:topLinePunct w:val="0"/>
        <w:autoSpaceDE/>
        <w:autoSpaceDN/>
        <w:bidi w:val="0"/>
        <w:spacing w:line="560" w:lineRule="exact"/>
        <w:outlineLvl w:val="9"/>
        <w:rPr>
          <w:rFonts w:eastAsia="方正小标宋简体"/>
          <w:color w:val="000000"/>
          <w:sz w:val="36"/>
          <w:szCs w:val="36"/>
        </w:rPr>
      </w:pPr>
      <w:r>
        <w:drawing>
          <wp:anchor distT="0" distB="0" distL="114300" distR="114300" simplePos="0" relativeHeight="251660288" behindDoc="0" locked="0" layoutInCell="1" allowOverlap="1">
            <wp:simplePos x="0" y="0"/>
            <wp:positionH relativeFrom="column">
              <wp:posOffset>-247650</wp:posOffset>
            </wp:positionH>
            <wp:positionV relativeFrom="paragraph">
              <wp:posOffset>73025</wp:posOffset>
            </wp:positionV>
            <wp:extent cx="6000750" cy="669607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6000750" cy="669607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ind w:left="-4" w:leftChars="-202" w:right="25" w:rightChars="12" w:hanging="420" w:hangingChars="200"/>
        <w:outlineLvl w:val="9"/>
      </w:pPr>
    </w:p>
    <w:p>
      <w:pPr>
        <w:keepNext w:val="0"/>
        <w:keepLines w:val="0"/>
        <w:pageBreakBefore w:val="0"/>
        <w:widowControl w:val="0"/>
        <w:kinsoku/>
        <w:wordWrap/>
        <w:overflowPunct/>
        <w:topLinePunct w:val="0"/>
        <w:autoSpaceDE/>
        <w:autoSpaceDN/>
        <w:bidi w:val="0"/>
        <w:spacing w:line="560" w:lineRule="exact"/>
        <w:jc w:val="left"/>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spacing w:line="560" w:lineRule="exact"/>
        <w:jc w:val="left"/>
        <w:outlineLvl w:val="9"/>
        <w:rPr>
          <w:rFonts w:ascii="黑体" w:hAnsi="黑体" w:eastAsia="黑体"/>
          <w:color w:val="000000"/>
          <w:sz w:val="32"/>
          <w:szCs w:val="32"/>
        </w:rPr>
      </w:pPr>
      <w:r>
        <w:rPr>
          <w:rFonts w:hint="eastAsia" w:ascii="黑体" w:hAnsi="黑体" w:eastAsia="黑体" w:cs="黑体"/>
          <w:color w:val="000000"/>
          <w:sz w:val="32"/>
          <w:szCs w:val="32"/>
        </w:rPr>
        <w:t>附件</w:t>
      </w:r>
      <w:r>
        <w:rPr>
          <w:rFonts w:hint="eastAsia" w:ascii="黑体" w:hAnsi="黑体" w:eastAsia="黑体"/>
          <w:color w:val="000000"/>
          <w:sz w:val="32"/>
          <w:szCs w:val="32"/>
        </w:rPr>
        <w:t>5 :</w:t>
      </w:r>
    </w:p>
    <w:p>
      <w:pPr>
        <w:keepNext w:val="0"/>
        <w:keepLines w:val="0"/>
        <w:pageBreakBefore w:val="0"/>
        <w:widowControl w:val="0"/>
        <w:kinsoku/>
        <w:wordWrap/>
        <w:overflowPunct/>
        <w:topLinePunct w:val="0"/>
        <w:autoSpaceDE/>
        <w:autoSpaceDN/>
        <w:bidi w:val="0"/>
        <w:spacing w:line="560" w:lineRule="exact"/>
        <w:jc w:val="left"/>
        <w:outlineLvl w:val="9"/>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36"/>
          <w:szCs w:val="36"/>
        </w:rPr>
      </w:pPr>
      <w:r>
        <w:rPr>
          <w:rFonts w:hint="eastAsia" w:eastAsia="方正小标宋简体" w:cs="方正小标宋简体"/>
          <w:color w:val="000000"/>
          <w:sz w:val="36"/>
          <w:szCs w:val="36"/>
        </w:rPr>
        <w:t>风险分级方法和标准</w:t>
      </w:r>
    </w:p>
    <w:p>
      <w:pPr>
        <w:keepNext w:val="0"/>
        <w:keepLines w:val="0"/>
        <w:pageBreakBefore w:val="0"/>
        <w:widowControl w:val="0"/>
        <w:kinsoku/>
        <w:wordWrap/>
        <w:overflowPunct/>
        <w:topLinePunct w:val="0"/>
        <w:autoSpaceDE/>
        <w:autoSpaceDN/>
        <w:bidi w:val="0"/>
        <w:spacing w:line="560" w:lineRule="exact"/>
        <w:outlineLvl w:val="9"/>
        <w:rPr>
          <w:rFonts w:eastAsia="楷体"/>
          <w:b/>
          <w:bCs/>
          <w:color w:val="000000"/>
          <w:sz w:val="30"/>
          <w:szCs w:val="30"/>
        </w:rPr>
      </w:pPr>
    </w:p>
    <w:p>
      <w:pPr>
        <w:keepNext w:val="0"/>
        <w:keepLines w:val="0"/>
        <w:pageBreakBefore w:val="0"/>
        <w:widowControl w:val="0"/>
        <w:kinsoku/>
        <w:wordWrap/>
        <w:overflowPunct/>
        <w:topLinePunct w:val="0"/>
        <w:autoSpaceDE/>
        <w:autoSpaceDN/>
        <w:bidi w:val="0"/>
        <w:spacing w:line="560" w:lineRule="exact"/>
        <w:outlineLvl w:val="9"/>
        <w:rPr>
          <w:rFonts w:eastAsia="楷体"/>
          <w:b/>
          <w:bCs/>
          <w:color w:val="000000"/>
          <w:sz w:val="30"/>
          <w:szCs w:val="30"/>
        </w:rPr>
      </w:pPr>
      <w:r>
        <w:rPr>
          <w:rFonts w:hint="eastAsia" w:eastAsia="楷体"/>
          <w:b/>
          <w:bCs/>
          <w:color w:val="000000"/>
          <w:sz w:val="30"/>
          <w:szCs w:val="30"/>
          <w:lang w:val="en-US" w:eastAsia="zh-CN"/>
        </w:rPr>
        <w:t>5</w:t>
      </w:r>
      <w:r>
        <w:rPr>
          <w:rFonts w:eastAsia="楷体"/>
          <w:b/>
          <w:bCs/>
          <w:color w:val="000000"/>
          <w:sz w:val="30"/>
          <w:szCs w:val="30"/>
        </w:rPr>
        <w:t xml:space="preserve">-1  </w:t>
      </w:r>
      <w:r>
        <w:rPr>
          <w:rFonts w:hint="eastAsia" w:eastAsia="楷体" w:cs="楷体"/>
          <w:b/>
          <w:bCs/>
          <w:color w:val="000000"/>
          <w:sz w:val="30"/>
          <w:szCs w:val="30"/>
        </w:rPr>
        <w:t>事故发生的可能性分析</w:t>
      </w:r>
    </w:p>
    <w:tbl>
      <w:tblPr>
        <w:tblStyle w:val="6"/>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22"/>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级别</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说明</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I</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极有可能发生</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全国范围内发生频率极高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II</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很可能发生</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全国范围内发生频率较高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III</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可能发生</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全国范围内发生过，类似区域</w:t>
            </w:r>
            <w:r>
              <w:rPr>
                <w:rFonts w:eastAsia="仿宋_GB2312"/>
                <w:color w:val="000000"/>
                <w:sz w:val="24"/>
              </w:rPr>
              <w:t>/</w:t>
            </w:r>
            <w:r>
              <w:rPr>
                <w:rFonts w:hint="eastAsia" w:eastAsia="仿宋_GB2312" w:cs="仿宋_GB2312"/>
                <w:color w:val="000000"/>
                <w:sz w:val="24"/>
              </w:rPr>
              <w:t>行业也偶有发生；评估范围未发生过，但类似区域</w:t>
            </w:r>
            <w:r>
              <w:rPr>
                <w:rFonts w:eastAsia="仿宋_GB2312"/>
                <w:color w:val="000000"/>
                <w:sz w:val="24"/>
              </w:rPr>
              <w:t>/</w:t>
            </w:r>
            <w:r>
              <w:rPr>
                <w:rFonts w:hint="eastAsia" w:eastAsia="仿宋_GB2312" w:cs="仿宋_GB2312"/>
                <w:color w:val="000000"/>
                <w:sz w:val="24"/>
              </w:rPr>
              <w:t>行业发生频率较高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IV</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较不可能发生</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全国范围内未发生过，类似区域</w:t>
            </w:r>
            <w:r>
              <w:rPr>
                <w:rFonts w:eastAsia="仿宋_GB2312"/>
                <w:color w:val="000000"/>
                <w:sz w:val="24"/>
              </w:rPr>
              <w:t>/</w:t>
            </w:r>
            <w:r>
              <w:rPr>
                <w:rFonts w:hint="eastAsia" w:eastAsia="仿宋_GB2312" w:cs="仿宋_GB2312"/>
                <w:color w:val="000000"/>
                <w:sz w:val="24"/>
              </w:rPr>
              <w:t>行业偶有发生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V</w:t>
            </w:r>
          </w:p>
        </w:tc>
        <w:tc>
          <w:tcPr>
            <w:tcW w:w="2122"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基本不可能发生</w:t>
            </w:r>
          </w:p>
        </w:tc>
        <w:tc>
          <w:tcPr>
            <w:tcW w:w="6135"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全国范围内未发生过，类似区域</w:t>
            </w:r>
            <w:r>
              <w:rPr>
                <w:rFonts w:eastAsia="仿宋_GB2312"/>
                <w:color w:val="000000"/>
                <w:sz w:val="24"/>
              </w:rPr>
              <w:t>/</w:t>
            </w:r>
            <w:r>
              <w:rPr>
                <w:rFonts w:hint="eastAsia" w:eastAsia="仿宋_GB2312" w:cs="仿宋_GB2312"/>
                <w:color w:val="000000"/>
                <w:sz w:val="24"/>
              </w:rPr>
              <w:t>行业也极少发生</w:t>
            </w:r>
          </w:p>
        </w:tc>
      </w:tr>
    </w:tbl>
    <w:p>
      <w:pPr>
        <w:keepNext w:val="0"/>
        <w:keepLines w:val="0"/>
        <w:pageBreakBefore w:val="0"/>
        <w:widowControl w:val="0"/>
        <w:kinsoku/>
        <w:wordWrap/>
        <w:overflowPunct/>
        <w:topLinePunct w:val="0"/>
        <w:autoSpaceDE/>
        <w:autoSpaceDN/>
        <w:bidi w:val="0"/>
        <w:spacing w:line="560" w:lineRule="exact"/>
        <w:outlineLvl w:val="9"/>
        <w:rPr>
          <w:rFonts w:eastAsia="楷体"/>
          <w:color w:val="000000"/>
          <w:sz w:val="30"/>
          <w:szCs w:val="30"/>
        </w:rPr>
      </w:pPr>
    </w:p>
    <w:p>
      <w:pPr>
        <w:keepNext w:val="0"/>
        <w:keepLines w:val="0"/>
        <w:pageBreakBefore w:val="0"/>
        <w:widowControl w:val="0"/>
        <w:kinsoku/>
        <w:wordWrap/>
        <w:overflowPunct/>
        <w:topLinePunct w:val="0"/>
        <w:autoSpaceDE/>
        <w:autoSpaceDN/>
        <w:bidi w:val="0"/>
        <w:spacing w:line="560" w:lineRule="exact"/>
        <w:outlineLvl w:val="9"/>
        <w:rPr>
          <w:rFonts w:eastAsia="楷体"/>
          <w:b/>
          <w:bCs/>
          <w:color w:val="000000"/>
          <w:sz w:val="30"/>
          <w:szCs w:val="30"/>
        </w:rPr>
      </w:pPr>
      <w:r>
        <w:rPr>
          <w:rFonts w:hint="eastAsia" w:eastAsia="楷体"/>
          <w:b/>
          <w:bCs/>
          <w:color w:val="000000"/>
          <w:sz w:val="30"/>
          <w:szCs w:val="30"/>
          <w:lang w:val="en-US" w:eastAsia="zh-CN"/>
        </w:rPr>
        <w:t>5</w:t>
      </w:r>
      <w:r>
        <w:rPr>
          <w:rFonts w:eastAsia="楷体"/>
          <w:b/>
          <w:bCs/>
          <w:color w:val="000000"/>
          <w:sz w:val="30"/>
          <w:szCs w:val="30"/>
        </w:rPr>
        <w:t xml:space="preserve">-2  </w:t>
      </w:r>
      <w:r>
        <w:rPr>
          <w:rFonts w:hint="eastAsia" w:eastAsia="楷体" w:cs="楷体"/>
          <w:b/>
          <w:bCs/>
          <w:color w:val="000000"/>
          <w:sz w:val="30"/>
          <w:szCs w:val="30"/>
        </w:rPr>
        <w:t>可能发生的事故后果严重性分析</w:t>
      </w:r>
    </w:p>
    <w:tbl>
      <w:tblPr>
        <w:tblStyle w:val="6"/>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00"/>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级别</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说明</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
                <w:b/>
                <w:bCs/>
                <w:color w:val="000000"/>
                <w:sz w:val="24"/>
              </w:rPr>
            </w:pPr>
            <w:r>
              <w:rPr>
                <w:rFonts w:hint="eastAsia" w:eastAsia="仿宋" w:cs="仿宋"/>
                <w:b/>
                <w:bCs/>
                <w:color w:val="000000"/>
                <w:sz w:val="24"/>
              </w:rPr>
              <w:t>可能发生的事故后果描述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1</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影响特别重大</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造成</w:t>
            </w:r>
            <w:r>
              <w:rPr>
                <w:rFonts w:eastAsia="仿宋_GB2312"/>
                <w:color w:val="000000"/>
                <w:sz w:val="24"/>
              </w:rPr>
              <w:t>30</w:t>
            </w:r>
            <w:r>
              <w:rPr>
                <w:rFonts w:hint="eastAsia" w:eastAsia="仿宋_GB2312" w:cs="仿宋_GB2312"/>
                <w:color w:val="000000"/>
                <w:sz w:val="24"/>
              </w:rPr>
              <w:t>人以上死亡或</w:t>
            </w:r>
            <w:r>
              <w:rPr>
                <w:rFonts w:eastAsia="仿宋_GB2312"/>
                <w:color w:val="000000"/>
                <w:sz w:val="24"/>
              </w:rPr>
              <w:t>100</w:t>
            </w:r>
            <w:r>
              <w:rPr>
                <w:rFonts w:hint="eastAsia" w:eastAsia="仿宋_GB2312" w:cs="仿宋_GB2312"/>
                <w:color w:val="000000"/>
                <w:sz w:val="24"/>
              </w:rPr>
              <w:t>人以上重伤（包括急性工业中毒，下同），巨大财产损失，造成极其恶劣的社会舆论和政治影响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2</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影响重大</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造成</w:t>
            </w:r>
            <w:r>
              <w:rPr>
                <w:rFonts w:eastAsia="仿宋_GB2312"/>
                <w:color w:val="000000"/>
                <w:sz w:val="24"/>
              </w:rPr>
              <w:t>10</w:t>
            </w:r>
            <w:r>
              <w:rPr>
                <w:rFonts w:hint="eastAsia" w:eastAsia="仿宋_GB2312" w:cs="仿宋_GB2312"/>
                <w:color w:val="000000"/>
                <w:sz w:val="24"/>
              </w:rPr>
              <w:t>人以上</w:t>
            </w:r>
            <w:r>
              <w:rPr>
                <w:rFonts w:eastAsia="仿宋_GB2312"/>
                <w:color w:val="000000"/>
                <w:sz w:val="24"/>
              </w:rPr>
              <w:t>30</w:t>
            </w:r>
            <w:r>
              <w:rPr>
                <w:rFonts w:hint="eastAsia" w:eastAsia="仿宋_GB2312" w:cs="仿宋_GB2312"/>
                <w:color w:val="000000"/>
                <w:sz w:val="24"/>
              </w:rPr>
              <w:t>人以下死亡或</w:t>
            </w:r>
            <w:r>
              <w:rPr>
                <w:rFonts w:eastAsia="仿宋_GB2312"/>
                <w:color w:val="000000"/>
                <w:sz w:val="24"/>
              </w:rPr>
              <w:t>50</w:t>
            </w:r>
            <w:r>
              <w:rPr>
                <w:rFonts w:hint="eastAsia" w:eastAsia="仿宋_GB2312" w:cs="仿宋_GB2312"/>
                <w:color w:val="000000"/>
                <w:sz w:val="24"/>
              </w:rPr>
              <w:t>人以上</w:t>
            </w:r>
            <w:r>
              <w:rPr>
                <w:rFonts w:eastAsia="仿宋_GB2312"/>
                <w:color w:val="000000"/>
                <w:sz w:val="24"/>
              </w:rPr>
              <w:t>100</w:t>
            </w:r>
            <w:r>
              <w:rPr>
                <w:rFonts w:hint="eastAsia" w:eastAsia="仿宋_GB2312" w:cs="仿宋_GB2312"/>
                <w:color w:val="000000"/>
                <w:sz w:val="24"/>
              </w:rPr>
              <w:t>人以下重伤，严重财产损失，造成恶劣的社会舆论，产生较大的政治影响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3</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影响较大</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造成</w:t>
            </w:r>
            <w:r>
              <w:rPr>
                <w:rFonts w:eastAsia="仿宋_GB2312"/>
                <w:color w:val="000000"/>
                <w:sz w:val="24"/>
              </w:rPr>
              <w:t>3</w:t>
            </w:r>
            <w:r>
              <w:rPr>
                <w:rFonts w:hint="eastAsia" w:eastAsia="仿宋_GB2312" w:cs="仿宋_GB2312"/>
                <w:color w:val="000000"/>
                <w:sz w:val="24"/>
              </w:rPr>
              <w:t>人以上</w:t>
            </w:r>
            <w:r>
              <w:rPr>
                <w:rFonts w:eastAsia="仿宋_GB2312"/>
                <w:color w:val="000000"/>
                <w:sz w:val="24"/>
              </w:rPr>
              <w:t>10</w:t>
            </w:r>
            <w:r>
              <w:rPr>
                <w:rFonts w:hint="eastAsia" w:eastAsia="仿宋_GB2312" w:cs="仿宋_GB2312"/>
                <w:color w:val="000000"/>
                <w:sz w:val="24"/>
              </w:rPr>
              <w:t>人以下死亡或</w:t>
            </w:r>
            <w:r>
              <w:rPr>
                <w:rFonts w:eastAsia="仿宋_GB2312"/>
                <w:color w:val="000000"/>
                <w:sz w:val="24"/>
              </w:rPr>
              <w:t>10</w:t>
            </w:r>
            <w:r>
              <w:rPr>
                <w:rFonts w:hint="eastAsia" w:eastAsia="仿宋_GB2312" w:cs="仿宋_GB2312"/>
                <w:color w:val="000000"/>
                <w:sz w:val="24"/>
              </w:rPr>
              <w:t>人以上</w:t>
            </w:r>
            <w:r>
              <w:rPr>
                <w:rFonts w:eastAsia="仿宋_GB2312"/>
                <w:color w:val="000000"/>
                <w:sz w:val="24"/>
              </w:rPr>
              <w:t>50</w:t>
            </w:r>
            <w:r>
              <w:rPr>
                <w:rFonts w:hint="eastAsia" w:eastAsia="仿宋_GB2312" w:cs="仿宋_GB2312"/>
                <w:color w:val="000000"/>
                <w:sz w:val="24"/>
              </w:rPr>
              <w:t>人以下重伤，需要外部援救才能缓解，较大财产损失或赔偿支付，在一定范围内造成不良的舆论影响，产生一定的政治影响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4</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影响一般</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造成</w:t>
            </w:r>
            <w:r>
              <w:rPr>
                <w:rFonts w:eastAsia="仿宋_GB2312"/>
                <w:color w:val="000000"/>
                <w:sz w:val="24"/>
              </w:rPr>
              <w:t>3</w:t>
            </w:r>
            <w:r>
              <w:rPr>
                <w:rFonts w:hint="eastAsia" w:eastAsia="仿宋_GB2312" w:cs="仿宋_GB2312"/>
                <w:color w:val="000000"/>
                <w:sz w:val="24"/>
              </w:rPr>
              <w:t>人以下死亡或</w:t>
            </w:r>
            <w:r>
              <w:rPr>
                <w:rFonts w:eastAsia="仿宋_GB2312"/>
                <w:color w:val="000000"/>
                <w:sz w:val="24"/>
              </w:rPr>
              <w:t>10</w:t>
            </w:r>
            <w:r>
              <w:rPr>
                <w:rFonts w:hint="eastAsia" w:eastAsia="仿宋_GB2312" w:cs="仿宋_GB2312"/>
                <w:color w:val="000000"/>
                <w:sz w:val="24"/>
              </w:rPr>
              <w:t>人以下重伤，现场处理（第一时间救助）可以立刻缓解事故，中度财产损失，有较小的社会舆论，一般不会产生政治影响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11"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eastAsia="仿宋_GB2312"/>
                <w:color w:val="000000"/>
                <w:sz w:val="24"/>
              </w:rPr>
              <w:t>5</w:t>
            </w:r>
          </w:p>
        </w:tc>
        <w:tc>
          <w:tcPr>
            <w:tcW w:w="1200"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影响很小</w:t>
            </w:r>
          </w:p>
        </w:tc>
        <w:tc>
          <w:tcPr>
            <w:tcW w:w="7194" w:type="dxa"/>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无伤亡、财产损失轻微，不会造成不良的社会舆论和政治影响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9105" w:type="dxa"/>
            <w:gridSpan w:val="3"/>
            <w:vAlign w:val="center"/>
          </w:tcPr>
          <w:p>
            <w:pPr>
              <w:keepNext w:val="0"/>
              <w:keepLines w:val="0"/>
              <w:pageBreakBefore w:val="0"/>
              <w:widowControl w:val="0"/>
              <w:kinsoku/>
              <w:wordWrap/>
              <w:overflowPunct/>
              <w:topLinePunct w:val="0"/>
              <w:autoSpaceDE/>
              <w:autoSpaceDN/>
              <w:bidi w:val="0"/>
              <w:spacing w:line="560" w:lineRule="exact"/>
              <w:outlineLvl w:val="9"/>
              <w:rPr>
                <w:rFonts w:eastAsia="仿宋_GB2312"/>
                <w:color w:val="000000"/>
                <w:sz w:val="24"/>
              </w:rPr>
            </w:pPr>
            <w:r>
              <w:rPr>
                <w:rFonts w:hint="eastAsia" w:eastAsia="仿宋_GB2312" w:cs="仿宋_GB2312"/>
                <w:color w:val="000000"/>
                <w:sz w:val="24"/>
              </w:rPr>
              <w:t>备注：</w:t>
            </w:r>
            <w:r>
              <w:rPr>
                <w:rFonts w:eastAsia="仿宋_GB2312"/>
                <w:color w:val="000000"/>
                <w:sz w:val="24"/>
              </w:rPr>
              <w:t>1.</w:t>
            </w:r>
            <w:r>
              <w:rPr>
                <w:rFonts w:hint="eastAsia" w:eastAsia="仿宋_GB2312" w:cs="仿宋_GB2312"/>
                <w:color w:val="000000"/>
                <w:sz w:val="24"/>
              </w:rPr>
              <w:t>本表所称的</w:t>
            </w:r>
            <w:r>
              <w:rPr>
                <w:rFonts w:eastAsia="仿宋_GB2312"/>
                <w:color w:val="000000"/>
                <w:sz w:val="24"/>
              </w:rPr>
              <w:t>“</w:t>
            </w:r>
            <w:r>
              <w:rPr>
                <w:rFonts w:hint="eastAsia" w:eastAsia="仿宋_GB2312" w:cs="仿宋_GB2312"/>
                <w:color w:val="000000"/>
                <w:sz w:val="24"/>
              </w:rPr>
              <w:t>以上</w:t>
            </w:r>
            <w:r>
              <w:rPr>
                <w:rFonts w:eastAsia="仿宋_GB2312"/>
                <w:color w:val="000000"/>
                <w:sz w:val="24"/>
              </w:rPr>
              <w:t>”</w:t>
            </w:r>
            <w:r>
              <w:rPr>
                <w:rFonts w:hint="eastAsia" w:eastAsia="仿宋_GB2312" w:cs="仿宋_GB2312"/>
                <w:color w:val="000000"/>
                <w:sz w:val="24"/>
              </w:rPr>
              <w:t>包括本数，所称的</w:t>
            </w:r>
            <w:r>
              <w:rPr>
                <w:rFonts w:eastAsia="仿宋_GB2312"/>
                <w:color w:val="000000"/>
                <w:sz w:val="24"/>
              </w:rPr>
              <w:t>“</w:t>
            </w:r>
            <w:r>
              <w:rPr>
                <w:rFonts w:hint="eastAsia" w:eastAsia="仿宋_GB2312" w:cs="仿宋_GB2312"/>
                <w:color w:val="000000"/>
                <w:sz w:val="24"/>
              </w:rPr>
              <w:t>以下</w:t>
            </w:r>
            <w:r>
              <w:rPr>
                <w:rFonts w:eastAsia="仿宋_GB2312"/>
                <w:color w:val="000000"/>
                <w:sz w:val="24"/>
              </w:rPr>
              <w:t>”</w:t>
            </w:r>
            <w:r>
              <w:rPr>
                <w:rFonts w:hint="eastAsia" w:eastAsia="仿宋_GB2312" w:cs="仿宋_GB2312"/>
                <w:color w:val="000000"/>
                <w:sz w:val="24"/>
              </w:rPr>
              <w:t>不包括本数。</w:t>
            </w:r>
          </w:p>
          <w:p>
            <w:pPr>
              <w:keepNext w:val="0"/>
              <w:keepLines w:val="0"/>
              <w:pageBreakBefore w:val="0"/>
              <w:widowControl w:val="0"/>
              <w:kinsoku/>
              <w:wordWrap/>
              <w:overflowPunct/>
              <w:topLinePunct w:val="0"/>
              <w:autoSpaceDE/>
              <w:autoSpaceDN/>
              <w:bidi w:val="0"/>
              <w:spacing w:line="560" w:lineRule="exact"/>
              <w:ind w:firstLine="720" w:firstLineChars="300"/>
              <w:outlineLvl w:val="9"/>
              <w:rPr>
                <w:rFonts w:eastAsia="仿宋_GB2312"/>
                <w:color w:val="000000"/>
                <w:sz w:val="24"/>
              </w:rPr>
            </w:pPr>
            <w:r>
              <w:rPr>
                <w:rFonts w:eastAsia="仿宋_GB2312"/>
                <w:color w:val="000000"/>
                <w:sz w:val="24"/>
              </w:rPr>
              <w:t>2.</w:t>
            </w:r>
            <w:r>
              <w:rPr>
                <w:rFonts w:hint="eastAsia" w:eastAsia="仿宋_GB2312" w:cs="仿宋_GB2312"/>
                <w:color w:val="000000"/>
                <w:sz w:val="24"/>
              </w:rPr>
              <w:t>风险后果中死亡人数、重伤人数的确定是参照《生产安全事故报告和调查处理条例》（国务院令第</w:t>
            </w:r>
            <w:r>
              <w:rPr>
                <w:rFonts w:eastAsia="仿宋_GB2312"/>
                <w:color w:val="000000"/>
                <w:sz w:val="24"/>
              </w:rPr>
              <w:t>493</w:t>
            </w:r>
            <w:r>
              <w:rPr>
                <w:rFonts w:hint="eastAsia" w:eastAsia="仿宋_GB2312" w:cs="仿宋_GB2312"/>
                <w:color w:val="000000"/>
                <w:sz w:val="24"/>
              </w:rPr>
              <w:t>号）进行描述的；若其他行业</w:t>
            </w:r>
            <w:r>
              <w:rPr>
                <w:rFonts w:eastAsia="仿宋_GB2312"/>
                <w:color w:val="000000"/>
                <w:sz w:val="24"/>
              </w:rPr>
              <w:t>/</w:t>
            </w:r>
            <w:r>
              <w:rPr>
                <w:rFonts w:hint="eastAsia" w:eastAsia="仿宋_GB2312" w:cs="仿宋_GB2312"/>
                <w:color w:val="000000"/>
                <w:sz w:val="24"/>
              </w:rPr>
              <w:t>领域对后果严重性有明确分级的，可依据相关规定具体实施。</w:t>
            </w:r>
          </w:p>
        </w:tc>
      </w:tr>
    </w:tbl>
    <w:p>
      <w:pPr>
        <w:keepNext w:val="0"/>
        <w:keepLines w:val="0"/>
        <w:pageBreakBefore w:val="0"/>
        <w:widowControl w:val="0"/>
        <w:kinsoku/>
        <w:wordWrap/>
        <w:overflowPunct/>
        <w:topLinePunct w:val="0"/>
        <w:autoSpaceDE/>
        <w:autoSpaceDN/>
        <w:bidi w:val="0"/>
        <w:spacing w:after="156" w:afterLines="50" w:line="560" w:lineRule="exact"/>
        <w:outlineLvl w:val="9"/>
        <w:rPr>
          <w:rFonts w:eastAsia="楷体"/>
          <w:b/>
          <w:bCs/>
          <w:color w:val="000000"/>
          <w:sz w:val="30"/>
          <w:szCs w:val="30"/>
        </w:rPr>
      </w:pPr>
      <w:r>
        <w:rPr>
          <w:rFonts w:hint="eastAsia" w:eastAsia="楷体"/>
          <w:b/>
          <w:bCs/>
          <w:color w:val="000000"/>
          <w:sz w:val="30"/>
          <w:szCs w:val="30"/>
          <w:lang w:val="en-US" w:eastAsia="zh-CN"/>
        </w:rPr>
        <w:t>5</w:t>
      </w:r>
      <w:r>
        <w:rPr>
          <w:rFonts w:eastAsia="楷体"/>
          <w:b/>
          <w:bCs/>
          <w:color w:val="000000"/>
          <w:sz w:val="30"/>
          <w:szCs w:val="30"/>
        </w:rPr>
        <w:t xml:space="preserve">-3  </w:t>
      </w:r>
      <w:r>
        <w:rPr>
          <w:rFonts w:hint="eastAsia" w:eastAsia="楷体" w:cs="楷体"/>
          <w:b/>
          <w:bCs/>
          <w:color w:val="000000"/>
          <w:sz w:val="30"/>
          <w:szCs w:val="30"/>
        </w:rPr>
        <w:t>风险评级（风险矩阵）</w:t>
      </w:r>
    </w:p>
    <w:tbl>
      <w:tblPr>
        <w:tblStyle w:val="6"/>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985"/>
        <w:gridCol w:w="1389"/>
        <w:gridCol w:w="1301"/>
        <w:gridCol w:w="1246"/>
        <w:gridCol w:w="1292"/>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32" w:type="dxa"/>
            <w:gridSpan w:val="2"/>
            <w:vMerge w:val="restart"/>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风险等级</w:t>
            </w:r>
          </w:p>
        </w:tc>
        <w:tc>
          <w:tcPr>
            <w:tcW w:w="6583" w:type="dxa"/>
            <w:gridSpan w:val="5"/>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可能发生的事故后果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532" w:type="dxa"/>
            <w:gridSpan w:val="2"/>
            <w:vMerge w:val="continue"/>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p>
        </w:tc>
        <w:tc>
          <w:tcPr>
            <w:tcW w:w="1389" w:type="dxa"/>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影响特别重大（</w:t>
            </w:r>
            <w:r>
              <w:rPr>
                <w:b/>
                <w:bCs/>
                <w:color w:val="000000"/>
                <w:sz w:val="24"/>
              </w:rPr>
              <w:t>5</w:t>
            </w:r>
            <w:r>
              <w:rPr>
                <w:rFonts w:hint="eastAsia" w:cs="宋体"/>
                <w:b/>
                <w:bCs/>
                <w:color w:val="000000"/>
                <w:sz w:val="24"/>
              </w:rPr>
              <w:t>）</w:t>
            </w:r>
          </w:p>
        </w:tc>
        <w:tc>
          <w:tcPr>
            <w:tcW w:w="1301" w:type="dxa"/>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影响重大（</w:t>
            </w:r>
            <w:r>
              <w:rPr>
                <w:b/>
                <w:bCs/>
                <w:color w:val="000000"/>
                <w:sz w:val="24"/>
              </w:rPr>
              <w:t>4</w:t>
            </w:r>
            <w:r>
              <w:rPr>
                <w:rFonts w:hint="eastAsia" w:cs="宋体"/>
                <w:b/>
                <w:bCs/>
                <w:color w:val="000000"/>
                <w:sz w:val="24"/>
              </w:rPr>
              <w:t>）</w:t>
            </w:r>
          </w:p>
        </w:tc>
        <w:tc>
          <w:tcPr>
            <w:tcW w:w="1246" w:type="dxa"/>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影响较大（</w:t>
            </w:r>
            <w:r>
              <w:rPr>
                <w:b/>
                <w:bCs/>
                <w:color w:val="000000"/>
                <w:sz w:val="24"/>
              </w:rPr>
              <w:t>3</w:t>
            </w:r>
            <w:r>
              <w:rPr>
                <w:rFonts w:hint="eastAsia" w:cs="宋体"/>
                <w:b/>
                <w:bCs/>
                <w:color w:val="000000"/>
                <w:sz w:val="24"/>
              </w:rPr>
              <w:t>）</w:t>
            </w:r>
          </w:p>
        </w:tc>
        <w:tc>
          <w:tcPr>
            <w:tcW w:w="1292" w:type="dxa"/>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影响一般（</w:t>
            </w:r>
            <w:r>
              <w:rPr>
                <w:b/>
                <w:bCs/>
                <w:color w:val="000000"/>
                <w:sz w:val="24"/>
              </w:rPr>
              <w:t>2</w:t>
            </w:r>
            <w:r>
              <w:rPr>
                <w:rFonts w:hint="eastAsia" w:cs="宋体"/>
                <w:b/>
                <w:bCs/>
                <w:color w:val="000000"/>
                <w:sz w:val="24"/>
              </w:rPr>
              <w:t>）</w:t>
            </w:r>
          </w:p>
        </w:tc>
        <w:tc>
          <w:tcPr>
            <w:tcW w:w="1355" w:type="dxa"/>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影响很小（</w:t>
            </w:r>
            <w:r>
              <w:rPr>
                <w:b/>
                <w:bCs/>
                <w:color w:val="000000"/>
                <w:sz w:val="24"/>
              </w:rPr>
              <w:t>1</w:t>
            </w:r>
            <w:r>
              <w:rPr>
                <w:rFonts w:hint="eastAsia" w:cs="宋体"/>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4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可</w:t>
            </w:r>
          </w:p>
          <w:p>
            <w:pPr>
              <w:keepNext w:val="0"/>
              <w:keepLines w:val="0"/>
              <w:pageBreakBefore w:val="0"/>
              <w:widowControl w:val="0"/>
              <w:kinsoku/>
              <w:wordWrap/>
              <w:overflowPunct/>
              <w:topLinePunct w:val="0"/>
              <w:autoSpaceDE/>
              <w:autoSpaceDN/>
              <w:bidi w:val="0"/>
              <w:spacing w:line="560" w:lineRule="exact"/>
              <w:outlineLvl w:val="9"/>
              <w:rPr>
                <w:b/>
                <w:bCs/>
                <w:color w:val="000000"/>
                <w:sz w:val="24"/>
              </w:rPr>
            </w:pPr>
            <w:r>
              <w:rPr>
                <w:rFonts w:hint="eastAsia" w:cs="宋体"/>
                <w:b/>
                <w:bCs/>
                <w:color w:val="000000"/>
                <w:sz w:val="24"/>
              </w:rPr>
              <w:t>能</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s="宋体"/>
                <w:b/>
                <w:bCs/>
                <w:color w:val="000000"/>
                <w:sz w:val="24"/>
              </w:rPr>
              <w:t>性</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ascii="宋体" w:hAnsi="宋体" w:cs="宋体"/>
                <w:b/>
                <w:bCs/>
                <w:color w:val="0000FF"/>
              </w:rPr>
              <w:t>Ⅰ</w:t>
            </w:r>
            <w:r>
              <w:rPr>
                <w:b/>
                <w:bCs/>
                <w:color w:val="0000FF"/>
              </w:rPr>
              <w:t xml:space="preserve"> </w:t>
            </w:r>
            <w:r>
              <w:rPr>
                <w:rFonts w:hint="eastAsia" w:cs="宋体"/>
                <w:b/>
                <w:bCs/>
                <w:color w:val="0000FF"/>
              </w:rPr>
              <w:t>极有可能发生</w:t>
            </w:r>
          </w:p>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cs="宋体"/>
                <w:b/>
                <w:bCs/>
                <w:color w:val="0000FF"/>
              </w:rPr>
              <w:t>（</w:t>
            </w:r>
            <w:r>
              <w:rPr>
                <w:b/>
                <w:bCs/>
                <w:color w:val="0000FF"/>
              </w:rPr>
              <w:t>5</w:t>
            </w:r>
            <w:r>
              <w:rPr>
                <w:rFonts w:hint="eastAsia" w:cs="宋体"/>
                <w:b/>
                <w:bCs/>
                <w:color w:val="0000FF"/>
              </w:rPr>
              <w:t>）</w:t>
            </w:r>
          </w:p>
        </w:tc>
        <w:tc>
          <w:tcPr>
            <w:tcW w:w="1389" w:type="dxa"/>
            <w:shd w:val="clear" w:color="auto" w:fill="FF0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25</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（红色）</w:t>
            </w:r>
          </w:p>
        </w:tc>
        <w:tc>
          <w:tcPr>
            <w:tcW w:w="1301" w:type="dxa"/>
            <w:shd w:val="clear" w:color="auto" w:fill="FF0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20</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（红色）</w:t>
            </w:r>
          </w:p>
        </w:tc>
        <w:tc>
          <w:tcPr>
            <w:tcW w:w="1246" w:type="dxa"/>
            <w:shd w:val="clear" w:color="auto" w:fill="FFC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15</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（橙色）</w:t>
            </w:r>
          </w:p>
        </w:tc>
        <w:tc>
          <w:tcPr>
            <w:tcW w:w="1292" w:type="dxa"/>
            <w:shd w:val="clear" w:color="auto" w:fill="FFFF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10</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（黄色）</w:t>
            </w:r>
          </w:p>
        </w:tc>
        <w:tc>
          <w:tcPr>
            <w:tcW w:w="1355"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5</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4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ascii="宋体" w:hAnsi="宋体" w:cs="宋体"/>
                <w:b/>
                <w:bCs/>
                <w:color w:val="0000FF"/>
              </w:rPr>
              <w:t>Ⅱ</w:t>
            </w:r>
            <w:r>
              <w:rPr>
                <w:b/>
                <w:bCs/>
                <w:color w:val="0000FF"/>
              </w:rPr>
              <w:t xml:space="preserve"> </w:t>
            </w:r>
            <w:r>
              <w:rPr>
                <w:rFonts w:hint="eastAsia" w:cs="宋体"/>
                <w:b/>
                <w:bCs/>
                <w:color w:val="0000FF"/>
              </w:rPr>
              <w:t>很可能发生</w:t>
            </w:r>
          </w:p>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cs="宋体"/>
                <w:b/>
                <w:bCs/>
                <w:color w:val="0000FF"/>
              </w:rPr>
              <w:t>（</w:t>
            </w:r>
            <w:r>
              <w:rPr>
                <w:b/>
                <w:bCs/>
                <w:color w:val="0000FF"/>
              </w:rPr>
              <w:t>4</w:t>
            </w:r>
            <w:r>
              <w:rPr>
                <w:rFonts w:hint="eastAsia" w:cs="宋体"/>
                <w:b/>
                <w:bCs/>
                <w:color w:val="0000FF"/>
              </w:rPr>
              <w:t>）</w:t>
            </w:r>
          </w:p>
        </w:tc>
        <w:tc>
          <w:tcPr>
            <w:tcW w:w="1389" w:type="dxa"/>
            <w:shd w:val="clear" w:color="auto" w:fill="FF0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20</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（红色）</w:t>
            </w:r>
          </w:p>
        </w:tc>
        <w:tc>
          <w:tcPr>
            <w:tcW w:w="1301" w:type="dxa"/>
            <w:shd w:val="clear" w:color="auto" w:fill="FFC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16</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（橙色）</w:t>
            </w:r>
          </w:p>
        </w:tc>
        <w:tc>
          <w:tcPr>
            <w:tcW w:w="1246" w:type="dxa"/>
            <w:shd w:val="clear" w:color="auto" w:fill="FFC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12</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（橙色）</w:t>
            </w:r>
          </w:p>
        </w:tc>
        <w:tc>
          <w:tcPr>
            <w:tcW w:w="1292" w:type="dxa"/>
            <w:shd w:val="clear" w:color="auto" w:fill="FFFF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8</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（黄色）</w:t>
            </w:r>
          </w:p>
        </w:tc>
        <w:tc>
          <w:tcPr>
            <w:tcW w:w="1355"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4</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4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ascii="宋体" w:hAnsi="宋体" w:cs="宋体"/>
                <w:b/>
                <w:bCs/>
                <w:color w:val="0000FF"/>
              </w:rPr>
              <w:t>Ⅲ</w:t>
            </w:r>
            <w:r>
              <w:rPr>
                <w:b/>
                <w:bCs/>
                <w:color w:val="0000FF"/>
              </w:rPr>
              <w:t xml:space="preserve"> </w:t>
            </w:r>
            <w:r>
              <w:rPr>
                <w:rFonts w:hint="eastAsia" w:cs="宋体"/>
                <w:b/>
                <w:bCs/>
                <w:color w:val="0000FF"/>
              </w:rPr>
              <w:t>可能发生</w:t>
            </w:r>
          </w:p>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cs="宋体"/>
                <w:b/>
                <w:bCs/>
                <w:color w:val="0000FF"/>
              </w:rPr>
              <w:t>（</w:t>
            </w:r>
            <w:r>
              <w:rPr>
                <w:b/>
                <w:bCs/>
                <w:color w:val="0000FF"/>
              </w:rPr>
              <w:t>3</w:t>
            </w:r>
            <w:r>
              <w:rPr>
                <w:rFonts w:hint="eastAsia" w:cs="宋体"/>
                <w:b/>
                <w:bCs/>
                <w:color w:val="0000FF"/>
              </w:rPr>
              <w:t>）</w:t>
            </w:r>
          </w:p>
        </w:tc>
        <w:tc>
          <w:tcPr>
            <w:tcW w:w="1389" w:type="dxa"/>
            <w:shd w:val="clear" w:color="auto" w:fill="FFC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15</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（橙色）</w:t>
            </w:r>
          </w:p>
        </w:tc>
        <w:tc>
          <w:tcPr>
            <w:tcW w:w="1301" w:type="dxa"/>
            <w:shd w:val="clear" w:color="auto" w:fill="FFC0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12</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（橙色）</w:t>
            </w:r>
          </w:p>
        </w:tc>
        <w:tc>
          <w:tcPr>
            <w:tcW w:w="1246" w:type="dxa"/>
            <w:shd w:val="clear" w:color="auto" w:fill="FFFF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9</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（黄色）</w:t>
            </w:r>
          </w:p>
        </w:tc>
        <w:tc>
          <w:tcPr>
            <w:tcW w:w="1292"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6</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c>
          <w:tcPr>
            <w:tcW w:w="1355"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4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ascii="宋体" w:hAnsi="宋体" w:cs="宋体"/>
                <w:b/>
                <w:bCs/>
                <w:color w:val="0000FF"/>
              </w:rPr>
              <w:t>Ⅳ</w:t>
            </w:r>
            <w:r>
              <w:rPr>
                <w:b/>
                <w:bCs/>
                <w:color w:val="0000FF"/>
              </w:rPr>
              <w:t xml:space="preserve"> </w:t>
            </w:r>
            <w:r>
              <w:rPr>
                <w:rFonts w:hint="eastAsia" w:cs="宋体"/>
                <w:b/>
                <w:bCs/>
                <w:color w:val="0000FF"/>
              </w:rPr>
              <w:t>较不可能发生（</w:t>
            </w:r>
            <w:r>
              <w:rPr>
                <w:b/>
                <w:bCs/>
                <w:color w:val="0000FF"/>
              </w:rPr>
              <w:t>2</w:t>
            </w:r>
            <w:r>
              <w:rPr>
                <w:rFonts w:hint="eastAsia" w:cs="宋体"/>
                <w:b/>
                <w:bCs/>
                <w:color w:val="0000FF"/>
              </w:rPr>
              <w:t>）</w:t>
            </w:r>
          </w:p>
        </w:tc>
        <w:tc>
          <w:tcPr>
            <w:tcW w:w="1389" w:type="dxa"/>
            <w:shd w:val="clear" w:color="auto" w:fill="FFFF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10</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（黄色）</w:t>
            </w:r>
          </w:p>
        </w:tc>
        <w:tc>
          <w:tcPr>
            <w:tcW w:w="1301" w:type="dxa"/>
            <w:shd w:val="clear" w:color="auto" w:fill="FFFF0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8</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（黄色）</w:t>
            </w:r>
          </w:p>
        </w:tc>
        <w:tc>
          <w:tcPr>
            <w:tcW w:w="1246"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6</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c>
          <w:tcPr>
            <w:tcW w:w="1292"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4</w:t>
            </w:r>
          </w:p>
        </w:tc>
        <w:tc>
          <w:tcPr>
            <w:tcW w:w="1355"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4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spacing w:line="560" w:lineRule="exact"/>
              <w:outlineLvl w:val="9"/>
              <w:rPr>
                <w:b/>
                <w:bCs/>
                <w:color w:val="0000FF"/>
              </w:rPr>
            </w:pPr>
            <w:r>
              <w:rPr>
                <w:rFonts w:hint="eastAsia" w:ascii="宋体" w:hAnsi="宋体" w:cs="宋体"/>
                <w:b/>
                <w:bCs/>
                <w:color w:val="0000FF"/>
              </w:rPr>
              <w:t>Ⅴ</w:t>
            </w:r>
            <w:r>
              <w:rPr>
                <w:b/>
                <w:bCs/>
                <w:color w:val="0000FF"/>
              </w:rPr>
              <w:t xml:space="preserve"> </w:t>
            </w:r>
            <w:r>
              <w:rPr>
                <w:rFonts w:hint="eastAsia" w:cs="宋体"/>
                <w:b/>
                <w:bCs/>
                <w:color w:val="0000FF"/>
              </w:rPr>
              <w:t>基本不可能发生（</w:t>
            </w:r>
            <w:r>
              <w:rPr>
                <w:b/>
                <w:bCs/>
                <w:color w:val="0000FF"/>
              </w:rPr>
              <w:t>1</w:t>
            </w:r>
            <w:r>
              <w:rPr>
                <w:rFonts w:hint="eastAsia" w:cs="宋体"/>
                <w:b/>
                <w:bCs/>
                <w:color w:val="0000FF"/>
              </w:rPr>
              <w:t>）</w:t>
            </w:r>
          </w:p>
        </w:tc>
        <w:tc>
          <w:tcPr>
            <w:tcW w:w="1389"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5</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c>
          <w:tcPr>
            <w:tcW w:w="1301" w:type="dxa"/>
            <w:shd w:val="clear" w:color="auto" w:fill="0070C0"/>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4</w:t>
            </w:r>
          </w:p>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olor w:val="000000"/>
                <w:sz w:val="24"/>
              </w:rPr>
              <w:t>（蓝色）</w:t>
            </w:r>
          </w:p>
        </w:tc>
        <w:tc>
          <w:tcPr>
            <w:tcW w:w="1246"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3</w:t>
            </w:r>
          </w:p>
        </w:tc>
        <w:tc>
          <w:tcPr>
            <w:tcW w:w="1292"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2</w:t>
            </w:r>
          </w:p>
        </w:tc>
        <w:tc>
          <w:tcPr>
            <w:tcW w:w="1355" w:type="dxa"/>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115" w:type="dxa"/>
            <w:gridSpan w:val="7"/>
            <w:vAlign w:val="center"/>
          </w:tcPr>
          <w:p>
            <w:pPr>
              <w:keepNext w:val="0"/>
              <w:keepLines w:val="0"/>
              <w:pageBreakBefore w:val="0"/>
              <w:widowControl w:val="0"/>
              <w:kinsoku/>
              <w:wordWrap/>
              <w:overflowPunct/>
              <w:topLinePunct w:val="0"/>
              <w:autoSpaceDE/>
              <w:autoSpaceDN/>
              <w:bidi w:val="0"/>
              <w:spacing w:line="560" w:lineRule="exact"/>
              <w:outlineLvl w:val="9"/>
              <w:rPr>
                <w:color w:val="000000"/>
                <w:sz w:val="24"/>
              </w:rPr>
            </w:pPr>
            <w:r>
              <w:rPr>
                <w:rFonts w:hint="eastAsia" w:cs="宋体"/>
                <w:color w:val="000000"/>
                <w:sz w:val="24"/>
              </w:rPr>
              <w:t>红色：极高风险等级，橙色：高风险等级，黄色：中风险等级，蓝色：低风险等级</w:t>
            </w:r>
            <w:r>
              <w:rPr>
                <w:color w:val="000000"/>
                <w:sz w:val="24"/>
              </w:rPr>
              <w:t xml:space="preserve"> </w:t>
            </w:r>
            <w:r>
              <w:rPr>
                <w:rFonts w:hint="eastAsia" w:cs="宋体"/>
                <w:color w:val="000000"/>
                <w:sz w:val="24"/>
              </w:rPr>
              <w:t>。</w:t>
            </w:r>
            <w:r>
              <w:rPr>
                <w:color w:val="000000"/>
                <w:sz w:val="24"/>
              </w:rPr>
              <w:t xml:space="preserve">     </w:t>
            </w:r>
          </w:p>
        </w:tc>
      </w:tr>
    </w:tbl>
    <w:p>
      <w:pPr>
        <w:keepNext w:val="0"/>
        <w:keepLines w:val="0"/>
        <w:pageBreakBefore w:val="0"/>
        <w:widowControl w:val="0"/>
        <w:kinsoku/>
        <w:wordWrap/>
        <w:overflowPunct/>
        <w:topLinePunct w:val="0"/>
        <w:autoSpaceDE/>
        <w:autoSpaceDN/>
        <w:bidi w:val="0"/>
        <w:spacing w:line="560" w:lineRule="exact"/>
        <w:outlineLvl w:val="9"/>
        <w:rPr>
          <w:rFonts w:eastAsia="仿宋"/>
          <w:color w:val="000000"/>
          <w:sz w:val="30"/>
          <w:szCs w:val="30"/>
        </w:rPr>
      </w:pPr>
    </w:p>
    <w:p>
      <w:pPr>
        <w:keepNext w:val="0"/>
        <w:keepLines w:val="0"/>
        <w:pageBreakBefore w:val="0"/>
        <w:widowControl w:val="0"/>
        <w:kinsoku/>
        <w:wordWrap/>
        <w:overflowPunct/>
        <w:topLinePunct w:val="0"/>
        <w:autoSpaceDE/>
        <w:autoSpaceDN/>
        <w:bidi w:val="0"/>
        <w:spacing w:line="560" w:lineRule="exact"/>
        <w:outlineLvl w:val="9"/>
        <w:rPr>
          <w:rFonts w:eastAsia="仿宋" w:cs="仿宋"/>
          <w:color w:val="000000"/>
          <w:sz w:val="30"/>
          <w:szCs w:val="30"/>
        </w:rPr>
      </w:pPr>
      <w:r>
        <w:rPr>
          <w:rFonts w:hint="eastAsia" w:eastAsia="仿宋" w:cs="仿宋"/>
          <w:color w:val="000000"/>
          <w:sz w:val="30"/>
          <w:szCs w:val="30"/>
        </w:rPr>
        <w:t>备注：除红、橙、黄、蓝外，其他等级风险不列入清单管理。</w:t>
      </w:r>
    </w:p>
    <w:p>
      <w:pPr>
        <w:pStyle w:val="5"/>
        <w:keepNext w:val="0"/>
        <w:keepLines w:val="0"/>
        <w:pageBreakBefore w:val="0"/>
        <w:widowControl w:val="0"/>
        <w:kinsoku/>
        <w:wordWrap/>
        <w:overflowPunct/>
        <w:topLinePunct w:val="0"/>
        <w:autoSpaceDE/>
        <w:autoSpaceDN/>
        <w:bidi w:val="0"/>
        <w:adjustRightInd w:val="0"/>
        <w:snapToGrid w:val="0"/>
        <w:spacing w:line="560" w:lineRule="exact"/>
        <w:jc w:val="both"/>
        <w:outlineLvl w:val="9"/>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hint="eastAsia" w:ascii="黑体" w:hAnsi="黑体" w:eastAsia="黑体" w:cs="Times New Roman"/>
          <w:color w:val="000000"/>
          <w:sz w:val="32"/>
          <w:szCs w:val="32"/>
        </w:rPr>
        <w:t>6:</w:t>
      </w:r>
    </w:p>
    <w:p>
      <w:pPr>
        <w:pStyle w:val="5"/>
        <w:keepNext w:val="0"/>
        <w:keepLines w:val="0"/>
        <w:pageBreakBefore w:val="0"/>
        <w:widowControl w:val="0"/>
        <w:kinsoku/>
        <w:wordWrap/>
        <w:overflowPunct/>
        <w:topLinePunct w:val="0"/>
        <w:autoSpaceDE/>
        <w:autoSpaceDN/>
        <w:bidi w:val="0"/>
        <w:adjustRightInd w:val="0"/>
        <w:snapToGrid w:val="0"/>
        <w:spacing w:line="560" w:lineRule="exact"/>
        <w:jc w:val="both"/>
        <w:outlineLvl w:val="9"/>
        <w:rPr>
          <w:rFonts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44"/>
          <w:szCs w:val="44"/>
        </w:rPr>
      </w:pPr>
      <w:r>
        <w:rPr>
          <w:rFonts w:hint="eastAsia" w:eastAsia="方正小标宋简体" w:cs="方正小标宋简体"/>
          <w:color w:val="000000"/>
          <w:sz w:val="44"/>
          <w:szCs w:val="44"/>
        </w:rPr>
        <w:t>风险预警分级标准</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hint="eastAsia" w:ascii="宋体" w:hAnsi="宋体" w:cs="宋体"/>
          <w:b/>
          <w:bCs/>
          <w:color w:val="000000"/>
          <w:sz w:val="32"/>
          <w:szCs w:val="32"/>
        </w:rPr>
        <w:t>Ⅰ</w:t>
      </w:r>
      <w:r>
        <w:rPr>
          <w:rFonts w:hint="eastAsia" w:eastAsia="仿宋_GB2312" w:cs="仿宋_GB2312"/>
          <w:b/>
          <w:bCs/>
          <w:color w:val="000000"/>
          <w:sz w:val="32"/>
          <w:szCs w:val="32"/>
        </w:rPr>
        <w:t>级预警：</w:t>
      </w:r>
      <w:r>
        <w:rPr>
          <w:rFonts w:hint="eastAsia" w:eastAsia="仿宋_GB2312" w:cs="仿宋_GB2312"/>
          <w:color w:val="000000"/>
          <w:sz w:val="32"/>
          <w:szCs w:val="32"/>
        </w:rPr>
        <w:t>可能造成</w:t>
      </w:r>
      <w:r>
        <w:rPr>
          <w:rFonts w:eastAsia="仿宋_GB2312"/>
          <w:color w:val="000000"/>
          <w:sz w:val="32"/>
          <w:szCs w:val="32"/>
        </w:rPr>
        <w:t>30</w:t>
      </w:r>
      <w:r>
        <w:rPr>
          <w:rFonts w:hint="eastAsia" w:eastAsia="仿宋_GB2312" w:cs="仿宋_GB2312"/>
          <w:color w:val="000000"/>
          <w:sz w:val="32"/>
          <w:szCs w:val="32"/>
        </w:rPr>
        <w:t>人以上死亡或</w:t>
      </w:r>
      <w:r>
        <w:rPr>
          <w:rFonts w:eastAsia="仿宋_GB2312"/>
          <w:color w:val="000000"/>
          <w:sz w:val="32"/>
          <w:szCs w:val="32"/>
        </w:rPr>
        <w:t>100</w:t>
      </w:r>
      <w:r>
        <w:rPr>
          <w:rFonts w:hint="eastAsia" w:eastAsia="仿宋_GB2312" w:cs="仿宋_GB2312"/>
          <w:color w:val="000000"/>
          <w:sz w:val="32"/>
          <w:szCs w:val="32"/>
        </w:rPr>
        <w:t>人以上重伤（包括急性工业中毒，下同），巨大财产损失，可能造成极其恶劣的社会舆论和政治影响；事故或事件会随时发生，事态正在不断蔓延。</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hint="eastAsia" w:ascii="宋体" w:hAnsi="宋体" w:cs="宋体"/>
          <w:b/>
          <w:bCs/>
          <w:color w:val="000000"/>
          <w:sz w:val="32"/>
          <w:szCs w:val="32"/>
        </w:rPr>
        <w:t>Ⅱ</w:t>
      </w:r>
      <w:r>
        <w:rPr>
          <w:rFonts w:hint="eastAsia" w:eastAsia="仿宋_GB2312" w:cs="仿宋_GB2312"/>
          <w:b/>
          <w:bCs/>
          <w:color w:val="000000"/>
          <w:sz w:val="32"/>
          <w:szCs w:val="32"/>
        </w:rPr>
        <w:t>级预警：</w:t>
      </w:r>
      <w:r>
        <w:rPr>
          <w:rFonts w:hint="eastAsia" w:eastAsia="仿宋_GB2312" w:cs="仿宋_GB2312"/>
          <w:color w:val="000000"/>
          <w:sz w:val="32"/>
          <w:szCs w:val="32"/>
        </w:rPr>
        <w:t>可能造成</w:t>
      </w:r>
      <w:r>
        <w:rPr>
          <w:rFonts w:eastAsia="仿宋_GB2312"/>
          <w:color w:val="000000"/>
          <w:sz w:val="32"/>
          <w:szCs w:val="32"/>
        </w:rPr>
        <w:t>10</w:t>
      </w:r>
      <w:r>
        <w:rPr>
          <w:rFonts w:hint="eastAsia" w:eastAsia="仿宋_GB2312" w:cs="仿宋_GB2312"/>
          <w:color w:val="000000"/>
          <w:sz w:val="32"/>
          <w:szCs w:val="32"/>
        </w:rPr>
        <w:t>人以上</w:t>
      </w:r>
      <w:r>
        <w:rPr>
          <w:rFonts w:eastAsia="仿宋_GB2312"/>
          <w:color w:val="000000"/>
          <w:sz w:val="32"/>
          <w:szCs w:val="32"/>
        </w:rPr>
        <w:t>30</w:t>
      </w:r>
      <w:r>
        <w:rPr>
          <w:rFonts w:hint="eastAsia" w:eastAsia="仿宋_GB2312" w:cs="仿宋_GB2312"/>
          <w:color w:val="000000"/>
          <w:sz w:val="32"/>
          <w:szCs w:val="32"/>
        </w:rPr>
        <w:t>人以下死亡或</w:t>
      </w:r>
      <w:r>
        <w:rPr>
          <w:rFonts w:eastAsia="仿宋_GB2312"/>
          <w:color w:val="000000"/>
          <w:sz w:val="32"/>
          <w:szCs w:val="32"/>
        </w:rPr>
        <w:t>50</w:t>
      </w:r>
      <w:r>
        <w:rPr>
          <w:rFonts w:hint="eastAsia" w:eastAsia="仿宋_GB2312" w:cs="仿宋_GB2312"/>
          <w:color w:val="000000"/>
          <w:sz w:val="32"/>
          <w:szCs w:val="32"/>
        </w:rPr>
        <w:t>人以上</w:t>
      </w:r>
      <w:r>
        <w:rPr>
          <w:rFonts w:eastAsia="仿宋_GB2312"/>
          <w:color w:val="000000"/>
          <w:sz w:val="32"/>
          <w:szCs w:val="32"/>
        </w:rPr>
        <w:t>100</w:t>
      </w:r>
      <w:r>
        <w:rPr>
          <w:rFonts w:hint="eastAsia" w:eastAsia="仿宋_GB2312" w:cs="仿宋_GB2312"/>
          <w:color w:val="000000"/>
          <w:sz w:val="32"/>
          <w:szCs w:val="32"/>
        </w:rPr>
        <w:t>人以下重伤，严重财产损失，可能造成恶劣的社会舆论，产生较大的政治影响；事故或事件即将发生，事态正在逐步扩大。</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hint="eastAsia" w:ascii="宋体" w:hAnsi="宋体" w:cs="宋体"/>
          <w:b/>
          <w:bCs/>
          <w:color w:val="000000"/>
          <w:sz w:val="32"/>
          <w:szCs w:val="32"/>
        </w:rPr>
        <w:t>Ⅲ</w:t>
      </w:r>
      <w:r>
        <w:rPr>
          <w:rFonts w:hint="eastAsia" w:eastAsia="仿宋_GB2312" w:cs="仿宋_GB2312"/>
          <w:b/>
          <w:bCs/>
          <w:color w:val="000000"/>
          <w:sz w:val="32"/>
          <w:szCs w:val="32"/>
        </w:rPr>
        <w:t>级预警：</w:t>
      </w:r>
      <w:r>
        <w:rPr>
          <w:rFonts w:hint="eastAsia" w:eastAsia="仿宋_GB2312" w:cs="仿宋_GB2312"/>
          <w:color w:val="000000"/>
          <w:sz w:val="32"/>
          <w:szCs w:val="32"/>
        </w:rPr>
        <w:t>可能造成</w:t>
      </w:r>
      <w:r>
        <w:rPr>
          <w:rFonts w:eastAsia="仿宋_GB2312"/>
          <w:color w:val="000000"/>
          <w:sz w:val="32"/>
          <w:szCs w:val="32"/>
        </w:rPr>
        <w:t>3</w:t>
      </w:r>
      <w:r>
        <w:rPr>
          <w:rFonts w:hint="eastAsia" w:eastAsia="仿宋_GB2312" w:cs="仿宋_GB2312"/>
          <w:color w:val="000000"/>
          <w:sz w:val="32"/>
          <w:szCs w:val="32"/>
        </w:rPr>
        <w:t>人以上</w:t>
      </w:r>
      <w:r>
        <w:rPr>
          <w:rFonts w:eastAsia="仿宋_GB2312"/>
          <w:color w:val="000000"/>
          <w:sz w:val="32"/>
          <w:szCs w:val="32"/>
        </w:rPr>
        <w:t>10</w:t>
      </w:r>
      <w:r>
        <w:rPr>
          <w:rFonts w:hint="eastAsia" w:eastAsia="仿宋_GB2312" w:cs="仿宋_GB2312"/>
          <w:color w:val="000000"/>
          <w:sz w:val="32"/>
          <w:szCs w:val="32"/>
        </w:rPr>
        <w:t>人以下死亡或</w:t>
      </w:r>
      <w:r>
        <w:rPr>
          <w:rFonts w:eastAsia="仿宋_GB2312"/>
          <w:color w:val="000000"/>
          <w:sz w:val="32"/>
          <w:szCs w:val="32"/>
        </w:rPr>
        <w:t>10</w:t>
      </w:r>
      <w:r>
        <w:rPr>
          <w:rFonts w:hint="eastAsia" w:eastAsia="仿宋_GB2312" w:cs="仿宋_GB2312"/>
          <w:color w:val="000000"/>
          <w:sz w:val="32"/>
          <w:szCs w:val="32"/>
        </w:rPr>
        <w:t>人以上</w:t>
      </w:r>
      <w:r>
        <w:rPr>
          <w:rFonts w:eastAsia="仿宋_GB2312"/>
          <w:color w:val="000000"/>
          <w:sz w:val="32"/>
          <w:szCs w:val="32"/>
        </w:rPr>
        <w:t>50</w:t>
      </w:r>
      <w:r>
        <w:rPr>
          <w:rFonts w:hint="eastAsia" w:eastAsia="仿宋_GB2312" w:cs="仿宋_GB2312"/>
          <w:color w:val="000000"/>
          <w:sz w:val="32"/>
          <w:szCs w:val="32"/>
        </w:rPr>
        <w:t>人以下重伤，需要外部援救才能缓解，较大财产损失或赔偿支付，在一定范围内造成不良的舆论影响，产生一定的政治影响；事故或事件已经临近，事态有扩大的趋势。</w:t>
      </w:r>
    </w:p>
    <w:p>
      <w:pPr>
        <w:keepNext w:val="0"/>
        <w:keepLines w:val="0"/>
        <w:pageBreakBefore w:val="0"/>
        <w:widowControl w:val="0"/>
        <w:kinsoku/>
        <w:wordWrap/>
        <w:overflowPunct/>
        <w:topLinePunct w:val="0"/>
        <w:autoSpaceDE/>
        <w:autoSpaceDN/>
        <w:bidi w:val="0"/>
        <w:spacing w:line="560" w:lineRule="exact"/>
        <w:ind w:firstLine="643" w:firstLineChars="200"/>
        <w:outlineLvl w:val="9"/>
        <w:rPr>
          <w:rFonts w:eastAsia="仿宋_GB2312"/>
          <w:color w:val="000000"/>
          <w:sz w:val="32"/>
          <w:szCs w:val="32"/>
        </w:rPr>
      </w:pPr>
      <w:r>
        <w:rPr>
          <w:rFonts w:hint="eastAsia" w:ascii="宋体" w:hAnsi="宋体" w:cs="宋体"/>
          <w:b/>
          <w:bCs/>
          <w:color w:val="000000"/>
          <w:sz w:val="32"/>
          <w:szCs w:val="32"/>
        </w:rPr>
        <w:t>Ⅳ</w:t>
      </w:r>
      <w:r>
        <w:rPr>
          <w:rFonts w:hint="eastAsia" w:eastAsia="仿宋_GB2312" w:cs="仿宋_GB2312"/>
          <w:b/>
          <w:bCs/>
          <w:color w:val="000000"/>
          <w:sz w:val="32"/>
          <w:szCs w:val="32"/>
        </w:rPr>
        <w:t>级预警：</w:t>
      </w:r>
      <w:r>
        <w:rPr>
          <w:rFonts w:hint="eastAsia" w:eastAsia="仿宋_GB2312" w:cs="仿宋_GB2312"/>
          <w:color w:val="000000"/>
          <w:sz w:val="32"/>
          <w:szCs w:val="32"/>
        </w:rPr>
        <w:t>可能造成</w:t>
      </w:r>
      <w:r>
        <w:rPr>
          <w:rFonts w:eastAsia="仿宋_GB2312"/>
          <w:color w:val="000000"/>
          <w:sz w:val="32"/>
          <w:szCs w:val="32"/>
        </w:rPr>
        <w:t>3</w:t>
      </w:r>
      <w:r>
        <w:rPr>
          <w:rFonts w:hint="eastAsia" w:eastAsia="仿宋_GB2312" w:cs="仿宋_GB2312"/>
          <w:color w:val="000000"/>
          <w:sz w:val="32"/>
          <w:szCs w:val="32"/>
        </w:rPr>
        <w:t>人以下死亡或</w:t>
      </w:r>
      <w:r>
        <w:rPr>
          <w:rFonts w:eastAsia="仿宋_GB2312"/>
          <w:color w:val="000000"/>
          <w:sz w:val="32"/>
          <w:szCs w:val="32"/>
        </w:rPr>
        <w:t>10</w:t>
      </w:r>
      <w:r>
        <w:rPr>
          <w:rFonts w:hint="eastAsia" w:eastAsia="仿宋_GB2312" w:cs="仿宋_GB2312"/>
          <w:color w:val="000000"/>
          <w:sz w:val="32"/>
          <w:szCs w:val="32"/>
        </w:rPr>
        <w:t>人以下重伤，中度财产损失，有较小的社会舆论，一般不会产生政治影响；事故或事件即将临近，事态可能会扩展。</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eastAsia="仿宋_GB2312"/>
          <w:color w:val="000000"/>
          <w:sz w:val="32"/>
          <w:szCs w:val="32"/>
        </w:rPr>
      </w:pPr>
    </w:p>
    <w:p>
      <w:pPr>
        <w:keepNext w:val="0"/>
        <w:keepLines w:val="0"/>
        <w:pageBreakBefore w:val="0"/>
        <w:widowControl w:val="0"/>
        <w:kinsoku/>
        <w:wordWrap/>
        <w:overflowPunct/>
        <w:topLinePunct w:val="0"/>
        <w:autoSpaceDE/>
        <w:autoSpaceDN/>
        <w:bidi w:val="0"/>
        <w:spacing w:line="560" w:lineRule="exact"/>
        <w:outlineLvl w:val="9"/>
        <w:rPr>
          <w:rFonts w:eastAsia="黑体"/>
          <w:sz w:val="32"/>
          <w:szCs w:val="32"/>
        </w:rPr>
      </w:pPr>
    </w:p>
    <w:p>
      <w:pPr>
        <w:keepNext w:val="0"/>
        <w:keepLines w:val="0"/>
        <w:pageBreakBefore w:val="0"/>
        <w:widowControl w:val="0"/>
        <w:kinsoku/>
        <w:wordWrap/>
        <w:overflowPunct/>
        <w:topLinePunct w:val="0"/>
        <w:autoSpaceDE/>
        <w:autoSpaceDN/>
        <w:bidi w:val="0"/>
        <w:spacing w:line="560" w:lineRule="exact"/>
        <w:outlineLvl w:val="9"/>
        <w:rPr>
          <w:rFonts w:eastAsia="黑体"/>
          <w:sz w:val="32"/>
          <w:szCs w:val="32"/>
        </w:rPr>
      </w:pPr>
    </w:p>
    <w:p>
      <w:pPr>
        <w:keepNext w:val="0"/>
        <w:keepLines w:val="0"/>
        <w:pageBreakBefore w:val="0"/>
        <w:widowControl w:val="0"/>
        <w:kinsoku/>
        <w:wordWrap/>
        <w:overflowPunct/>
        <w:topLinePunct w:val="0"/>
        <w:autoSpaceDE/>
        <w:autoSpaceDN/>
        <w:bidi w:val="0"/>
        <w:spacing w:line="560" w:lineRule="exact"/>
        <w:outlineLvl w:val="9"/>
        <w:rPr>
          <w:rFonts w:eastAsia="黑体"/>
          <w:sz w:val="32"/>
          <w:szCs w:val="32"/>
        </w:rPr>
      </w:pPr>
    </w:p>
    <w:p>
      <w:pPr>
        <w:keepNext w:val="0"/>
        <w:keepLines w:val="0"/>
        <w:pageBreakBefore w:val="0"/>
        <w:widowControl w:val="0"/>
        <w:kinsoku/>
        <w:wordWrap/>
        <w:overflowPunct/>
        <w:topLinePunct w:val="0"/>
        <w:autoSpaceDE/>
        <w:autoSpaceDN/>
        <w:bidi w:val="0"/>
        <w:spacing w:after="156" w:afterLines="50" w:line="560" w:lineRule="exact"/>
        <w:outlineLvl w:val="9"/>
        <w:rPr>
          <w:rFonts w:ascii="黑体" w:hAnsi="黑体" w:eastAsia="黑体"/>
          <w:sz w:val="32"/>
          <w:szCs w:val="32"/>
        </w:rPr>
      </w:pPr>
      <w:r>
        <w:rPr>
          <w:rFonts w:hint="eastAsia" w:ascii="黑体" w:hAnsi="黑体" w:eastAsia="黑体" w:cs="黑体"/>
          <w:sz w:val="32"/>
          <w:szCs w:val="32"/>
        </w:rPr>
        <w:t>附件</w:t>
      </w:r>
      <w:r>
        <w:rPr>
          <w:rFonts w:hint="eastAsia" w:ascii="黑体" w:hAnsi="黑体" w:eastAsia="黑体"/>
          <w:sz w:val="32"/>
          <w:szCs w:val="32"/>
        </w:rPr>
        <w:t>7:</w:t>
      </w:r>
    </w:p>
    <w:p>
      <w:pPr>
        <w:keepNext w:val="0"/>
        <w:keepLines w:val="0"/>
        <w:pageBreakBefore w:val="0"/>
        <w:widowControl w:val="0"/>
        <w:kinsoku/>
        <w:wordWrap/>
        <w:overflowPunct/>
        <w:topLinePunct w:val="0"/>
        <w:autoSpaceDE/>
        <w:autoSpaceDN/>
        <w:bidi w:val="0"/>
        <w:spacing w:after="156" w:afterLines="50" w:line="560" w:lineRule="exact"/>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60" w:lineRule="exact"/>
        <w:jc w:val="center"/>
        <w:outlineLvl w:val="9"/>
        <w:rPr>
          <w:rFonts w:eastAsia="方正小标宋简体"/>
          <w:color w:val="000000"/>
          <w:sz w:val="44"/>
          <w:szCs w:val="44"/>
        </w:rPr>
      </w:pPr>
      <w:r>
        <w:rPr>
          <w:rFonts w:hint="eastAsia" w:eastAsia="方正小标宋简体" w:cs="方正小标宋简体"/>
          <w:color w:val="000000"/>
          <w:sz w:val="44"/>
          <w:szCs w:val="44"/>
        </w:rPr>
        <w:t>安全风险管控</w:t>
      </w:r>
      <w:r>
        <w:rPr>
          <w:rFonts w:eastAsia="方正小标宋简体"/>
          <w:color w:val="000000"/>
          <w:sz w:val="44"/>
          <w:szCs w:val="44"/>
        </w:rPr>
        <w:t>“</w:t>
      </w:r>
      <w:r>
        <w:rPr>
          <w:rFonts w:hint="eastAsia" w:eastAsia="方正小标宋简体" w:cs="方正小标宋简体"/>
          <w:color w:val="000000"/>
          <w:sz w:val="44"/>
          <w:szCs w:val="44"/>
        </w:rPr>
        <w:t>六项机制</w:t>
      </w:r>
      <w:r>
        <w:rPr>
          <w:rFonts w:eastAsia="方正小标宋简体"/>
          <w:color w:val="000000"/>
          <w:sz w:val="44"/>
          <w:szCs w:val="44"/>
        </w:rPr>
        <w:t>”</w:t>
      </w:r>
      <w:r>
        <w:rPr>
          <w:rFonts w:hint="eastAsia" w:eastAsia="方正小标宋简体" w:cs="方正小标宋简体"/>
          <w:color w:val="000000"/>
          <w:sz w:val="44"/>
          <w:szCs w:val="44"/>
        </w:rPr>
        <w:t>工作流程图</w:t>
      </w:r>
    </w:p>
    <w:p>
      <w:pPr>
        <w:keepNext w:val="0"/>
        <w:keepLines w:val="0"/>
        <w:pageBreakBefore w:val="0"/>
        <w:widowControl w:val="0"/>
        <w:kinsoku/>
        <w:wordWrap/>
        <w:overflowPunct/>
        <w:topLinePunct w:val="0"/>
        <w:autoSpaceDE/>
        <w:autoSpaceDN/>
        <w:bidi w:val="0"/>
        <w:spacing w:line="560" w:lineRule="exact"/>
        <w:outlineLvl w:val="9"/>
        <w:rPr>
          <w:rFonts w:eastAsia="方正小标宋简体"/>
          <w:color w:val="000000"/>
          <w:sz w:val="36"/>
          <w:szCs w:val="36"/>
        </w:rPr>
      </w:pPr>
      <w:r>
        <w:drawing>
          <wp:anchor distT="0" distB="0" distL="114300" distR="114300" simplePos="0" relativeHeight="251663360" behindDoc="0" locked="0" layoutInCell="1" allowOverlap="1">
            <wp:simplePos x="0" y="0"/>
            <wp:positionH relativeFrom="column">
              <wp:posOffset>-408305</wp:posOffset>
            </wp:positionH>
            <wp:positionV relativeFrom="paragraph">
              <wp:posOffset>197485</wp:posOffset>
            </wp:positionV>
            <wp:extent cx="6172200" cy="6785610"/>
            <wp:effectExtent l="0" t="0" r="0" b="152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6172200" cy="678561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spacing w:line="560" w:lineRule="exact"/>
        <w:outlineLvl w:val="9"/>
        <w:rPr>
          <w:rFonts w:eastAsia="方正小标宋简体"/>
          <w:color w:val="000000"/>
          <w:sz w:val="36"/>
          <w:szCs w:val="36"/>
        </w:rPr>
      </w:pPr>
    </w:p>
    <w:p>
      <w:pPr>
        <w:keepNext w:val="0"/>
        <w:keepLines w:val="0"/>
        <w:pageBreakBefore w:val="0"/>
        <w:widowControl w:val="0"/>
        <w:kinsoku/>
        <w:wordWrap/>
        <w:overflowPunct/>
        <w:topLinePunct w:val="0"/>
        <w:autoSpaceDE/>
        <w:autoSpaceDN/>
        <w:bidi w:val="0"/>
        <w:spacing w:line="560" w:lineRule="exact"/>
        <w:ind w:left="-283" w:leftChars="-135" w:firstLine="2" w:firstLineChars="1"/>
        <w:outlineLvl w:val="9"/>
      </w:pPr>
      <w:r>
        <mc:AlternateContent>
          <mc:Choice Requires="wps">
            <w:drawing>
              <wp:anchor distT="0" distB="0" distL="114300" distR="114300" simplePos="0" relativeHeight="251662336" behindDoc="0" locked="0" layoutInCell="1" allowOverlap="1">
                <wp:simplePos x="0" y="0"/>
                <wp:positionH relativeFrom="column">
                  <wp:posOffset>2360295</wp:posOffset>
                </wp:positionH>
                <wp:positionV relativeFrom="paragraph">
                  <wp:posOffset>2394585</wp:posOffset>
                </wp:positionV>
                <wp:extent cx="635" cy="153670"/>
                <wp:effectExtent l="37465" t="0" r="38100" b="17780"/>
                <wp:wrapNone/>
                <wp:docPr id="5" name="直线 4"/>
                <wp:cNvGraphicFramePr/>
                <a:graphic xmlns:a="http://schemas.openxmlformats.org/drawingml/2006/main">
                  <a:graphicData uri="http://schemas.microsoft.com/office/word/2010/wordprocessingShape">
                    <wps:wsp>
                      <wps:cNvCnPr/>
                      <wps:spPr>
                        <a:xfrm>
                          <a:off x="0" y="0"/>
                          <a:ext cx="635" cy="1536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4" o:spid="_x0000_s1026" o:spt="20" style="position:absolute;left:0pt;margin-left:185.85pt;margin-top:188.55pt;height:12.1pt;width:0.05pt;z-index:251662336;mso-width-relative:page;mso-height-relative:page;" filled="f" stroked="t" coordsize="21600,21600" o:gfxdata="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qckMdoAAAALAQAADwAAAAAAAAABACAAAAAiAAAA&#10;ZHJzL2Rvd25yZXYueG1sUEsBAhQAFAAAAAgAh07iQLWjYGLMAQAAhgMAAA4AAAAAAAAAAQAgAAAA&#10;KQEAAGRycy9lMm9Eb2MueG1sUEsFBgAAAAAGAAYAWQEAAGc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60" w:lineRule="exact"/>
        <w:ind w:left="-283" w:leftChars="-135" w:firstLine="3" w:firstLineChars="1"/>
        <w:outlineLvl w:val="9"/>
        <w:rPr>
          <w:rFonts w:eastAsia="仿宋"/>
          <w:color w:val="000000"/>
          <w:sz w:val="30"/>
          <w:szCs w:val="30"/>
        </w:rPr>
      </w:pPr>
    </w:p>
    <w:p>
      <w:pPr>
        <w:keepNext w:val="0"/>
        <w:keepLines w:val="0"/>
        <w:pageBreakBefore w:val="0"/>
        <w:widowControl w:val="0"/>
        <w:kinsoku/>
        <w:wordWrap/>
        <w:overflowPunct/>
        <w:topLinePunct w:val="0"/>
        <w:autoSpaceDE/>
        <w:autoSpaceDN/>
        <w:bidi w:val="0"/>
        <w:spacing w:line="560" w:lineRule="exact"/>
        <w:ind w:left="-283" w:leftChars="-135" w:firstLine="2" w:firstLineChars="1"/>
        <w:outlineLvl w:val="9"/>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rPr>
          <w:sz w:val="32"/>
          <w:szCs w:val="32"/>
        </w:rPr>
      </w:pPr>
    </w:p>
    <w:p>
      <w:pPr>
        <w:keepNext w:val="0"/>
        <w:keepLines w:val="0"/>
        <w:pageBreakBefore w:val="0"/>
        <w:widowControl w:val="0"/>
        <w:kinsoku/>
        <w:wordWrap/>
        <w:overflowPunct/>
        <w:topLinePunct w:val="0"/>
        <w:autoSpaceDE/>
        <w:autoSpaceDN/>
        <w:bidi w:val="0"/>
        <w:spacing w:line="560" w:lineRule="exact"/>
        <w:outlineLvl w:val="9"/>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ascii="仿宋" w:hAnsi="仿宋" w:eastAsia="仿宋"/>
          <w:sz w:val="28"/>
          <w:szCs w:val="28"/>
        </w:rPr>
      </w:pPr>
    </w:p>
    <w:p>
      <w:pPr>
        <w:keepNext w:val="0"/>
        <w:keepLines w:val="0"/>
        <w:pageBreakBefore w:val="0"/>
        <w:widowControl w:val="0"/>
        <w:tabs>
          <w:tab w:val="left" w:pos="8925"/>
        </w:tabs>
        <w:kinsoku/>
        <w:wordWrap/>
        <w:overflowPunct/>
        <w:topLinePunct w:val="0"/>
        <w:autoSpaceDE/>
        <w:autoSpaceDN/>
        <w:bidi w:val="0"/>
        <w:adjustRightInd w:val="0"/>
        <w:spacing w:line="560" w:lineRule="exact"/>
        <w:ind w:right="294" w:rightChars="140" w:firstLine="280" w:firstLineChars="100"/>
        <w:outlineLvl w:val="9"/>
        <w:rPr>
          <w:rFonts w:eastAsia="仿宋" w:cs="仿宋"/>
          <w:color w:val="000000"/>
          <w:sz w:val="30"/>
          <w:szCs w:val="30"/>
        </w:rPr>
      </w:pPr>
      <w:r>
        <w:rPr>
          <w:rFonts w:ascii="仿宋" w:hAnsi="仿宋" w:eastAsia="仿宋"/>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361315</wp:posOffset>
                </wp:positionV>
                <wp:extent cx="5615940" cy="0"/>
                <wp:effectExtent l="9525" t="8890" r="13335" b="1016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flip:y;margin-top:28.45pt;height:0pt;width:442.2pt;mso-position-horizontal:center;z-index:251665408;mso-width-relative:page;mso-height-relative:page;" filled="f" stroked="t" coordsize="21600,21600" o:gfxdata="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YSU69YAAAAGAQAADwAAAAAAAAABACAAAAAiAAAA&#10;ZHJzL2Rvd25yZXYueG1sUEsBAhQAFAAAAAgAh07iQOfI6OHQAQAAZwMAAA4AAAAAAAAAAQAgAAAA&#10;JQEAAGRycy9lMm9Eb2MueG1sUEsFBgAAAAAGAAYAWQEAAGcFAAAAAA==&#10;">
                <v:fill on="f" focussize="0,0"/>
                <v:stroke weight="1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31115</wp:posOffset>
                </wp:positionV>
                <wp:extent cx="5615940" cy="0"/>
                <wp:effectExtent l="9525" t="12065" r="13335" b="69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017">
                          <a:solidFill>
                            <a:srgbClr val="000000"/>
                          </a:solidFill>
                          <a:round/>
                        </a:ln>
                      </wps:spPr>
                      <wps:bodyPr/>
                    </wps:wsp>
                  </a:graphicData>
                </a:graphic>
              </wp:anchor>
            </w:drawing>
          </mc:Choice>
          <mc:Fallback>
            <w:pict>
              <v:line id="_x0000_s1026" o:spid="_x0000_s1026" o:spt="20" style="position:absolute;left:0pt;margin-top:2.45pt;height:0pt;width:442.2pt;mso-position-horizontal:center;z-index:251664384;mso-width-relative:page;mso-height-relative:page;" filled="f" stroked="t" coordsize="21600,21600" o:gfxdata="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ume0B1AAAAAQBAAAPAAAAAAAAAAEAIAAAACIAAABkcnMvZG93bnJl&#10;di54bWxQSwECFAAUAAAACACHTuJAIqtiuMgBAABcAwAADgAAAAAAAAABACAAAAAjAQAAZHJzL2Uy&#10;b0RvYy54bWxQSwUGAAAAAAYABgBZAQAAXQUAAAAA&#10;">
                <v:fill on="f" focussize="0,0"/>
                <v:stroke weight="0.71pt" color="#000000" joinstyle="round"/>
                <v:imagedata o:title=""/>
                <o:lock v:ext="edit" aspectratio="f"/>
              </v:line>
            </w:pict>
          </mc:Fallback>
        </mc:AlternateContent>
      </w:r>
      <w:r>
        <w:rPr>
          <w:rFonts w:ascii="仿宋" w:hAnsi="仿宋" w:eastAsia="仿宋"/>
          <w:sz w:val="28"/>
          <w:szCs w:val="28"/>
        </w:rPr>
        <w:t xml:space="preserve">合肥市瑶海区人民政府办公室      </w:t>
      </w:r>
      <w:r>
        <w:rPr>
          <w:rFonts w:hint="eastAsia" w:ascii="仿宋" w:hAnsi="仿宋" w:eastAsia="仿宋"/>
          <w:sz w:val="28"/>
          <w:szCs w:val="28"/>
        </w:rPr>
        <w:t xml:space="preserve">     </w:t>
      </w:r>
      <w:r>
        <w:rPr>
          <w:rFonts w:ascii="仿宋" w:hAnsi="仿宋" w:eastAsia="仿宋"/>
          <w:sz w:val="28"/>
          <w:szCs w:val="28"/>
        </w:rPr>
        <w:t>201</w:t>
      </w:r>
      <w:r>
        <w:rPr>
          <w:rFonts w:hint="eastAsia" w:ascii="仿宋" w:hAnsi="仿宋" w:eastAsia="仿宋"/>
          <w:sz w:val="28"/>
          <w:szCs w:val="28"/>
        </w:rPr>
        <w:t>7</w:t>
      </w:r>
      <w:r>
        <w:rPr>
          <w:rFonts w:ascii="仿宋" w:hAnsi="仿宋" w:eastAsia="仿宋"/>
          <w:sz w:val="28"/>
          <w:szCs w:val="28"/>
        </w:rPr>
        <w:t>年</w:t>
      </w:r>
      <w:r>
        <w:rPr>
          <w:rFonts w:hint="eastAsia" w:ascii="仿宋" w:hAnsi="仿宋" w:eastAsia="仿宋"/>
          <w:sz w:val="28"/>
          <w:szCs w:val="28"/>
        </w:rPr>
        <w:t>8</w:t>
      </w:r>
      <w:r>
        <w:rPr>
          <w:rFonts w:ascii="仿宋" w:hAnsi="仿宋" w:eastAsia="仿宋"/>
          <w:sz w:val="28"/>
          <w:szCs w:val="28"/>
        </w:rPr>
        <w:t>月</w:t>
      </w:r>
      <w:r>
        <w:rPr>
          <w:rFonts w:hint="eastAsia" w:ascii="仿宋" w:hAnsi="仿宋" w:eastAsia="仿宋"/>
          <w:sz w:val="28"/>
          <w:szCs w:val="28"/>
        </w:rPr>
        <w:t>8</w:t>
      </w:r>
      <w:r>
        <w:rPr>
          <w:rFonts w:ascii="仿宋" w:hAnsi="仿宋" w:eastAsia="仿宋"/>
          <w:sz w:val="28"/>
          <w:szCs w:val="28"/>
        </w:rPr>
        <w:t>日印</w:t>
      </w:r>
      <w:r>
        <w:rPr>
          <w:rFonts w:hint="eastAsia" w:ascii="仿宋" w:hAnsi="仿宋" w:eastAsia="仿宋"/>
          <w:sz w:val="28"/>
          <w:szCs w:val="28"/>
        </w:rPr>
        <w:t>发</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75849"/>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23 -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812194"/>
    </w:sdtPr>
    <w:sdtEndPr>
      <w:rPr>
        <w:rFonts w:hint="eastAsia" w:ascii="仿宋_GB2312" w:eastAsia="仿宋_GB2312"/>
        <w:sz w:val="28"/>
        <w:szCs w:val="28"/>
      </w:rPr>
    </w:sdtEndPr>
    <w:sdtContent>
      <w:p>
        <w:pPr>
          <w:pStyle w:val="3"/>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32 -</w:t>
        </w:r>
        <w:r>
          <w:rPr>
            <w:rFonts w:hint="eastAsia" w:ascii="仿宋_GB2312" w:eastAsia="仿宋_GB2312"/>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763426"/>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31 -</w:t>
        </w:r>
        <w:r>
          <w:rPr>
            <w:rFonts w:hint="eastAsia" w:ascii="仿宋_GB2312" w:eastAsia="仿宋_GB2312"/>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9332D"/>
    <w:rsid w:val="00070568"/>
    <w:rsid w:val="000B6A51"/>
    <w:rsid w:val="00120292"/>
    <w:rsid w:val="00181F98"/>
    <w:rsid w:val="001E38D1"/>
    <w:rsid w:val="001E4587"/>
    <w:rsid w:val="00247C9C"/>
    <w:rsid w:val="00285BA4"/>
    <w:rsid w:val="00355F1E"/>
    <w:rsid w:val="003B4438"/>
    <w:rsid w:val="003C53A4"/>
    <w:rsid w:val="00465AB3"/>
    <w:rsid w:val="004C390C"/>
    <w:rsid w:val="00510867"/>
    <w:rsid w:val="005265A8"/>
    <w:rsid w:val="006C5168"/>
    <w:rsid w:val="00706E6D"/>
    <w:rsid w:val="007F6F89"/>
    <w:rsid w:val="00800BCB"/>
    <w:rsid w:val="0080524D"/>
    <w:rsid w:val="008A6D22"/>
    <w:rsid w:val="00AA38F0"/>
    <w:rsid w:val="00AC1366"/>
    <w:rsid w:val="00AC7069"/>
    <w:rsid w:val="00AF0EF1"/>
    <w:rsid w:val="00B30F8B"/>
    <w:rsid w:val="00C415D5"/>
    <w:rsid w:val="00C56A86"/>
    <w:rsid w:val="00E67C3C"/>
    <w:rsid w:val="00EB1AFF"/>
    <w:rsid w:val="00EE6B54"/>
    <w:rsid w:val="00F07AAA"/>
    <w:rsid w:val="00F22DCC"/>
    <w:rsid w:val="00F31A71"/>
    <w:rsid w:val="00F92AC1"/>
    <w:rsid w:val="015F6652"/>
    <w:rsid w:val="02066163"/>
    <w:rsid w:val="021E25A7"/>
    <w:rsid w:val="02486D1D"/>
    <w:rsid w:val="03433008"/>
    <w:rsid w:val="05E05A13"/>
    <w:rsid w:val="06DA78E2"/>
    <w:rsid w:val="08541AA5"/>
    <w:rsid w:val="08860E0A"/>
    <w:rsid w:val="08E27987"/>
    <w:rsid w:val="0973000B"/>
    <w:rsid w:val="09BD2848"/>
    <w:rsid w:val="09EF179D"/>
    <w:rsid w:val="0A170E0F"/>
    <w:rsid w:val="0A580463"/>
    <w:rsid w:val="0AA01E25"/>
    <w:rsid w:val="0AA37998"/>
    <w:rsid w:val="0AD175F6"/>
    <w:rsid w:val="0C0E3F0D"/>
    <w:rsid w:val="0C450954"/>
    <w:rsid w:val="0D2C4B44"/>
    <w:rsid w:val="0DF03F7E"/>
    <w:rsid w:val="0EE820F9"/>
    <w:rsid w:val="1009332D"/>
    <w:rsid w:val="105A384A"/>
    <w:rsid w:val="11AD32B5"/>
    <w:rsid w:val="11D9573F"/>
    <w:rsid w:val="12943004"/>
    <w:rsid w:val="13044065"/>
    <w:rsid w:val="13136980"/>
    <w:rsid w:val="13353ABC"/>
    <w:rsid w:val="13402037"/>
    <w:rsid w:val="15457AB1"/>
    <w:rsid w:val="15672C4F"/>
    <w:rsid w:val="161D1949"/>
    <w:rsid w:val="167614E9"/>
    <w:rsid w:val="16922DAE"/>
    <w:rsid w:val="178F67C4"/>
    <w:rsid w:val="1873159D"/>
    <w:rsid w:val="18924FA9"/>
    <w:rsid w:val="18D700C3"/>
    <w:rsid w:val="1908769F"/>
    <w:rsid w:val="1A7A40F2"/>
    <w:rsid w:val="1B161C18"/>
    <w:rsid w:val="1B1A4F5B"/>
    <w:rsid w:val="1C257622"/>
    <w:rsid w:val="1C60601E"/>
    <w:rsid w:val="1EC941E3"/>
    <w:rsid w:val="1F6D749B"/>
    <w:rsid w:val="21060B24"/>
    <w:rsid w:val="218A51E6"/>
    <w:rsid w:val="23295310"/>
    <w:rsid w:val="23347C94"/>
    <w:rsid w:val="23932212"/>
    <w:rsid w:val="24DA6577"/>
    <w:rsid w:val="258F3A8F"/>
    <w:rsid w:val="28866D5C"/>
    <w:rsid w:val="288C029E"/>
    <w:rsid w:val="28AD1AC2"/>
    <w:rsid w:val="2B5A6443"/>
    <w:rsid w:val="2B9860C4"/>
    <w:rsid w:val="2C04435B"/>
    <w:rsid w:val="2DD03ABA"/>
    <w:rsid w:val="2E62198C"/>
    <w:rsid w:val="2EE22CC2"/>
    <w:rsid w:val="2F9B4F1D"/>
    <w:rsid w:val="31F82D51"/>
    <w:rsid w:val="3374647B"/>
    <w:rsid w:val="337E1FD4"/>
    <w:rsid w:val="33AF304C"/>
    <w:rsid w:val="33D42779"/>
    <w:rsid w:val="346121BF"/>
    <w:rsid w:val="35632DB5"/>
    <w:rsid w:val="35692D16"/>
    <w:rsid w:val="35B37382"/>
    <w:rsid w:val="35C7217C"/>
    <w:rsid w:val="36CA33AA"/>
    <w:rsid w:val="36EA4CAC"/>
    <w:rsid w:val="37DE740A"/>
    <w:rsid w:val="384E34B9"/>
    <w:rsid w:val="38C36681"/>
    <w:rsid w:val="38CA0C59"/>
    <w:rsid w:val="38CA4F45"/>
    <w:rsid w:val="39056DC4"/>
    <w:rsid w:val="3AB15CD5"/>
    <w:rsid w:val="3B8138F2"/>
    <w:rsid w:val="3D2E0F5A"/>
    <w:rsid w:val="3DC905DE"/>
    <w:rsid w:val="3F46550D"/>
    <w:rsid w:val="3FC05879"/>
    <w:rsid w:val="3FFF69A1"/>
    <w:rsid w:val="4033186A"/>
    <w:rsid w:val="40527920"/>
    <w:rsid w:val="40AF3C61"/>
    <w:rsid w:val="41667086"/>
    <w:rsid w:val="419D1C56"/>
    <w:rsid w:val="42D97DD8"/>
    <w:rsid w:val="43290E30"/>
    <w:rsid w:val="43AE62C2"/>
    <w:rsid w:val="441B5F9F"/>
    <w:rsid w:val="444D53CD"/>
    <w:rsid w:val="446D2434"/>
    <w:rsid w:val="459A2725"/>
    <w:rsid w:val="46AC6D17"/>
    <w:rsid w:val="46BA2DFF"/>
    <w:rsid w:val="47504000"/>
    <w:rsid w:val="47CE1226"/>
    <w:rsid w:val="47F17FAE"/>
    <w:rsid w:val="480E7628"/>
    <w:rsid w:val="482C20E4"/>
    <w:rsid w:val="48F5220F"/>
    <w:rsid w:val="4A1D2B90"/>
    <w:rsid w:val="4B6E62AA"/>
    <w:rsid w:val="4BAA21EB"/>
    <w:rsid w:val="4C126D94"/>
    <w:rsid w:val="4DD203EE"/>
    <w:rsid w:val="4E2C360D"/>
    <w:rsid w:val="4EB02E73"/>
    <w:rsid w:val="4F874B16"/>
    <w:rsid w:val="4F95275F"/>
    <w:rsid w:val="508E3291"/>
    <w:rsid w:val="50F0304F"/>
    <w:rsid w:val="51847B0C"/>
    <w:rsid w:val="519C71EC"/>
    <w:rsid w:val="52866294"/>
    <w:rsid w:val="53176A7B"/>
    <w:rsid w:val="54340ECB"/>
    <w:rsid w:val="556862A3"/>
    <w:rsid w:val="55C3098F"/>
    <w:rsid w:val="57AE7060"/>
    <w:rsid w:val="582363E0"/>
    <w:rsid w:val="58345D5E"/>
    <w:rsid w:val="59885646"/>
    <w:rsid w:val="59C029F2"/>
    <w:rsid w:val="5A7872AB"/>
    <w:rsid w:val="5A795682"/>
    <w:rsid w:val="5BF50CEB"/>
    <w:rsid w:val="5C625343"/>
    <w:rsid w:val="5C65702A"/>
    <w:rsid w:val="5CC63667"/>
    <w:rsid w:val="5F225374"/>
    <w:rsid w:val="5F6E043E"/>
    <w:rsid w:val="618D7ED9"/>
    <w:rsid w:val="63B45ACE"/>
    <w:rsid w:val="64884DF1"/>
    <w:rsid w:val="652B14D8"/>
    <w:rsid w:val="66126577"/>
    <w:rsid w:val="665E25C8"/>
    <w:rsid w:val="66D062CD"/>
    <w:rsid w:val="6701781B"/>
    <w:rsid w:val="68CA07F4"/>
    <w:rsid w:val="68F42F5F"/>
    <w:rsid w:val="69294599"/>
    <w:rsid w:val="69465B26"/>
    <w:rsid w:val="6A405C44"/>
    <w:rsid w:val="6ABB1F7D"/>
    <w:rsid w:val="6C0F4A11"/>
    <w:rsid w:val="6CC75E47"/>
    <w:rsid w:val="6D9E5F30"/>
    <w:rsid w:val="6DD0697D"/>
    <w:rsid w:val="6E1B49D5"/>
    <w:rsid w:val="6E3970A3"/>
    <w:rsid w:val="6F63579A"/>
    <w:rsid w:val="70E5277E"/>
    <w:rsid w:val="716D5F2C"/>
    <w:rsid w:val="71C87BC1"/>
    <w:rsid w:val="728465A2"/>
    <w:rsid w:val="730B7F09"/>
    <w:rsid w:val="73492ABB"/>
    <w:rsid w:val="73ED0A4B"/>
    <w:rsid w:val="75200023"/>
    <w:rsid w:val="75E95F34"/>
    <w:rsid w:val="7719462D"/>
    <w:rsid w:val="78CD7C8E"/>
    <w:rsid w:val="7948503C"/>
    <w:rsid w:val="798B020F"/>
    <w:rsid w:val="7A121422"/>
    <w:rsid w:val="7A4F7CF2"/>
    <w:rsid w:val="7A577F2D"/>
    <w:rsid w:val="7AEF1D3C"/>
    <w:rsid w:val="7C806A53"/>
    <w:rsid w:val="7E89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ascii="Calibri" w:hAnsi="Calibri" w:cs="Calibri"/>
      <w:kern w:val="0"/>
      <w:sz w:val="24"/>
    </w:rPr>
  </w:style>
  <w:style w:type="character" w:styleId="8">
    <w:name w:val="FollowedHyperlink"/>
    <w:basedOn w:val="7"/>
    <w:qFormat/>
    <w:uiPriority w:val="0"/>
    <w:rPr>
      <w:color w:val="3B3B3B"/>
      <w:sz w:val="21"/>
      <w:szCs w:val="21"/>
      <w:u w:val="none"/>
    </w:rPr>
  </w:style>
  <w:style w:type="character" w:styleId="9">
    <w:name w:val="Hyperlink"/>
    <w:basedOn w:val="7"/>
    <w:qFormat/>
    <w:uiPriority w:val="0"/>
    <w:rPr>
      <w:color w:val="3B3B3B"/>
      <w:sz w:val="21"/>
      <w:szCs w:val="21"/>
      <w:u w:val="none"/>
    </w:rPr>
  </w:style>
  <w:style w:type="character" w:customStyle="1" w:styleId="10">
    <w:name w:val="页脚 Char"/>
    <w:basedOn w:val="7"/>
    <w:link w:val="3"/>
    <w:qFormat/>
    <w:uiPriority w:val="99"/>
    <w:rPr>
      <w:rFonts w:asciiTheme="minorHAnsi" w:hAnsiTheme="minorHAnsi" w:eastAsiaTheme="minorEastAsia" w:cstheme="minorBidi"/>
      <w:kern w:val="2"/>
      <w:sz w:val="18"/>
      <w:szCs w:val="24"/>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2111</Words>
  <Characters>12039</Characters>
  <Lines>100</Lines>
  <Paragraphs>28</Paragraphs>
  <TotalTime>9</TotalTime>
  <ScaleCrop>false</ScaleCrop>
  <LinksUpToDate>false</LinksUpToDate>
  <CharactersWithSpaces>14122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2017-07-10T07:23:00Z</dcterms:created>
  <dc:creator>Administrator</dc:creator>
  <cp:lastModifiedBy>A蚂蚁大腿也是肉</cp:lastModifiedBy>
  <cp:lastPrinted>2017-08-22T02:42:00Z</cp:lastPrinted>
  <dcterms:modified xsi:type="dcterms:W3CDTF">2019-11-20T09:11:42Z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