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spacing w:line="560" w:lineRule="exact"/>
        <w:jc w:val="center"/>
        <w:rPr>
          <w:rFonts w:ascii="仿宋_GB2312" w:eastAsia="仿宋_GB2312"/>
          <w:sz w:val="32"/>
          <w:szCs w:val="32"/>
        </w:rPr>
      </w:pPr>
      <w:r>
        <w:rPr>
          <w:rFonts w:hint="eastAsia" w:ascii="仿宋_GB2312" w:eastAsia="仿宋_GB2312"/>
          <w:sz w:val="32"/>
          <w:szCs w:val="32"/>
        </w:rPr>
        <w:t>瑶民〔2019〕51号</w:t>
      </w:r>
    </w:p>
    <w:p>
      <w:pPr>
        <w:spacing w:line="580" w:lineRule="exact"/>
        <w:rPr>
          <w:rFonts w:ascii="方正小标宋简体" w:hAnsi="方正小标宋简体" w:eastAsia="方正小标宋简体" w:cs="方正小标宋简体"/>
          <w:sz w:val="44"/>
          <w:szCs w:val="44"/>
        </w:rPr>
      </w:pPr>
    </w:p>
    <w:p>
      <w:pPr>
        <w:spacing w:line="580" w:lineRule="exact"/>
        <w:jc w:val="center"/>
        <w:rPr>
          <w:rFonts w:ascii="Times New Roman" w:hAnsi="Times New Roman" w:eastAsia="方正小标宋简体"/>
          <w:sz w:val="44"/>
          <w:szCs w:val="44"/>
        </w:rPr>
      </w:pPr>
      <w:r>
        <w:rPr>
          <w:rFonts w:hint="eastAsia" w:ascii="Times New Roman" w:hAnsi="方正小标宋简体" w:eastAsia="方正小标宋简体"/>
          <w:sz w:val="44"/>
          <w:szCs w:val="44"/>
        </w:rPr>
        <w:t>关于印发《瑶海区养老院服务质量建设</w:t>
      </w:r>
      <w:r>
        <w:rPr>
          <w:rFonts w:ascii="Times New Roman" w:hAnsi="Times New Roman" w:eastAsia="方正小标宋简体"/>
          <w:sz w:val="44"/>
          <w:szCs w:val="44"/>
        </w:rPr>
        <w:t>2019</w:t>
      </w:r>
      <w:r>
        <w:rPr>
          <w:rFonts w:hint="eastAsia" w:ascii="Times New Roman" w:hAnsi="方正小标宋简体" w:eastAsia="方正小标宋简体"/>
          <w:sz w:val="44"/>
          <w:szCs w:val="44"/>
        </w:rPr>
        <w:t>年专项行动实施方案》的通知</w:t>
      </w:r>
    </w:p>
    <w:p>
      <w:pPr>
        <w:spacing w:line="580" w:lineRule="exact"/>
        <w:jc w:val="center"/>
        <w:rPr>
          <w:rFonts w:ascii="Times New Roman" w:hAnsi="Times New Roman"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各镇、街、开发区，</w:t>
      </w:r>
      <w:r>
        <w:rPr>
          <w:rFonts w:hint="eastAsia" w:ascii="Times New Roman" w:hAnsi="仿宋_GB2312" w:eastAsia="仿宋_GB2312"/>
          <w:color w:val="000000"/>
          <w:sz w:val="32"/>
          <w:szCs w:val="32"/>
          <w:shd w:val="clear" w:color="auto" w:fill="FFFFFF"/>
        </w:rPr>
        <w:t>各养老机构：</w:t>
      </w:r>
    </w:p>
    <w:p>
      <w:pPr>
        <w:spacing w:line="580" w:lineRule="exact"/>
        <w:ind w:firstLine="640" w:firstLineChars="200"/>
        <w:rPr>
          <w:rFonts w:ascii="Times New Roman" w:hAnsi="Times New Roman" w:eastAsia="仿宋_GB2312"/>
          <w:color w:val="000000"/>
          <w:sz w:val="32"/>
          <w:szCs w:val="32"/>
          <w:shd w:val="clear" w:color="auto" w:fill="FFFFFF"/>
        </w:rPr>
      </w:pPr>
      <w:r>
        <w:rPr>
          <w:rFonts w:hint="eastAsia" w:ascii="Times New Roman" w:hAnsi="仿宋_GB2312" w:eastAsia="仿宋_GB2312"/>
          <w:color w:val="000000"/>
          <w:sz w:val="32"/>
          <w:szCs w:val="32"/>
          <w:shd w:val="clear" w:color="auto" w:fill="FFFFFF"/>
        </w:rPr>
        <w:t>为持续深入贯彻落实</w:t>
      </w:r>
      <w:r>
        <w:rPr>
          <w:rFonts w:ascii="Times New Roman" w:hAnsi="Times New Roman" w:eastAsia="仿宋_GB2312"/>
          <w:color w:val="000000"/>
          <w:sz w:val="32"/>
          <w:szCs w:val="32"/>
          <w:shd w:val="clear" w:color="auto" w:fill="FFFFFF"/>
        </w:rPr>
        <w:t>2016</w:t>
      </w:r>
      <w:r>
        <w:rPr>
          <w:rFonts w:hint="eastAsia" w:ascii="Times New Roman" w:hAnsi="仿宋_GB2312" w:eastAsia="仿宋_GB2312"/>
          <w:color w:val="000000"/>
          <w:sz w:val="32"/>
          <w:szCs w:val="32"/>
          <w:shd w:val="clear" w:color="auto" w:fill="FFFFFF"/>
        </w:rPr>
        <w:t>年习近平总书记在中央财经领导小组第</w:t>
      </w:r>
      <w:r>
        <w:rPr>
          <w:rFonts w:ascii="Times New Roman" w:hAnsi="Times New Roman" w:eastAsia="仿宋_GB2312"/>
          <w:color w:val="000000"/>
          <w:sz w:val="32"/>
          <w:szCs w:val="32"/>
          <w:shd w:val="clear" w:color="auto" w:fill="FFFFFF"/>
        </w:rPr>
        <w:t>14</w:t>
      </w:r>
      <w:r>
        <w:rPr>
          <w:rFonts w:hint="eastAsia" w:ascii="Times New Roman" w:hAnsi="仿宋_GB2312" w:eastAsia="仿宋_GB2312"/>
          <w:color w:val="000000"/>
          <w:sz w:val="32"/>
          <w:szCs w:val="32"/>
          <w:shd w:val="clear" w:color="auto" w:fill="FFFFFF"/>
        </w:rPr>
        <w:t>次会议上关于提高养老院服务质量的重要指示精神，按照国家、省和市各级文件部署，结合我区实际，</w:t>
      </w:r>
      <w:r>
        <w:rPr>
          <w:rFonts w:hint="eastAsia" w:ascii="Times New Roman" w:hAnsi="仿宋_GB2312" w:eastAsia="仿宋_GB2312"/>
          <w:color w:val="000000" w:themeColor="text1"/>
          <w:sz w:val="32"/>
          <w:szCs w:val="32"/>
          <w:shd w:val="clear" w:color="auto" w:fill="FFFFFF"/>
        </w:rPr>
        <w:t>区民政局、区园林绿化管理中心、区卫健委、区市监局、区应急管理局、区消防救援大队联合制定了《瑶海区养老院服务质量建设</w:t>
      </w:r>
      <w:r>
        <w:rPr>
          <w:rFonts w:ascii="Times New Roman" w:hAnsi="Times New Roman" w:eastAsia="仿宋_GB2312"/>
          <w:color w:val="000000" w:themeColor="text1"/>
          <w:sz w:val="32"/>
          <w:szCs w:val="32"/>
          <w:shd w:val="clear" w:color="auto" w:fill="FFFFFF"/>
        </w:rPr>
        <w:t>2019</w:t>
      </w:r>
      <w:r>
        <w:rPr>
          <w:rFonts w:hint="eastAsia" w:ascii="Times New Roman" w:hAnsi="仿宋_GB2312" w:eastAsia="仿宋_GB2312"/>
          <w:color w:val="000000" w:themeColor="text1"/>
          <w:sz w:val="32"/>
          <w:szCs w:val="32"/>
          <w:shd w:val="clear" w:color="auto" w:fill="FFFFFF"/>
        </w:rPr>
        <w:t>年专项行动实施方案》，现印发给你们，请</w:t>
      </w:r>
      <w:r>
        <w:rPr>
          <w:rFonts w:hint="eastAsia" w:ascii="Times New Roman" w:hAnsi="仿宋_GB2312" w:eastAsia="仿宋_GB2312"/>
          <w:color w:val="000000"/>
          <w:sz w:val="32"/>
          <w:szCs w:val="32"/>
          <w:shd w:val="clear" w:color="auto" w:fill="FFFFFF"/>
        </w:rPr>
        <w:t>认真贯彻落实。</w:t>
      </w:r>
    </w:p>
    <w:p>
      <w:pPr>
        <w:spacing w:line="400" w:lineRule="exact"/>
        <w:ind w:firstLine="646"/>
        <w:rPr>
          <w:rFonts w:ascii="Times New Roman" w:hAnsi="Times New Roman" w:eastAsia="仿宋_GB2312"/>
          <w:color w:val="000000"/>
          <w:sz w:val="32"/>
          <w:szCs w:val="32"/>
          <w:shd w:val="clear" w:color="auto" w:fill="FFFFFF"/>
        </w:rPr>
      </w:pPr>
    </w:p>
    <w:p>
      <w:pPr>
        <w:spacing w:line="400" w:lineRule="exact"/>
        <w:ind w:firstLine="646"/>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r>
        <w:rPr>
          <w:rFonts w:hint="eastAsia" w:ascii="Times New Roman" w:hAnsi="仿宋_GB2312" w:eastAsia="仿宋_GB2312"/>
          <w:color w:val="000000"/>
          <w:sz w:val="32"/>
          <w:szCs w:val="32"/>
          <w:shd w:val="clear" w:color="auto" w:fill="FFFFFF"/>
        </w:rPr>
        <w:t>区民政局</w:t>
      </w:r>
      <w:r>
        <w:rPr>
          <w:rFonts w:ascii="Times New Roman" w:hAnsi="Times New Roman" w:eastAsia="仿宋_GB2312"/>
          <w:color w:val="000000"/>
          <w:sz w:val="32"/>
          <w:szCs w:val="32"/>
          <w:shd w:val="clear" w:color="auto" w:fill="FFFFFF"/>
        </w:rPr>
        <w:t xml:space="preserve">                 </w:t>
      </w:r>
      <w:r>
        <w:rPr>
          <w:rFonts w:hint="eastAsia" w:ascii="Times New Roman" w:hAnsi="仿宋_GB2312" w:eastAsia="仿宋_GB2312"/>
          <w:color w:val="000000"/>
          <w:sz w:val="32"/>
          <w:szCs w:val="32"/>
          <w:shd w:val="clear" w:color="auto" w:fill="FFFFFF"/>
        </w:rPr>
        <w:t>区卫生健康委员会</w:t>
      </w: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r>
        <w:rPr>
          <w:rFonts w:hint="eastAsia" w:ascii="Times New Roman" w:hAnsi="仿宋_GB2312" w:eastAsia="仿宋_GB2312"/>
          <w:color w:val="000000"/>
          <w:sz w:val="32"/>
          <w:szCs w:val="32"/>
          <w:shd w:val="clear" w:color="auto" w:fill="FFFFFF"/>
        </w:rPr>
        <w:t>区市场监督管理局</w:t>
      </w:r>
      <w:r>
        <w:rPr>
          <w:rFonts w:ascii="Times New Roman" w:hAnsi="Times New Roman" w:eastAsia="仿宋_GB2312"/>
          <w:color w:val="000000"/>
          <w:sz w:val="32"/>
          <w:szCs w:val="32"/>
          <w:shd w:val="clear" w:color="auto" w:fill="FFFFFF"/>
        </w:rPr>
        <w:t xml:space="preserve">         </w:t>
      </w:r>
      <w:r>
        <w:rPr>
          <w:rFonts w:hint="eastAsia" w:ascii="Times New Roman" w:hAnsi="仿宋_GB2312" w:eastAsia="仿宋_GB2312"/>
          <w:color w:val="000000"/>
          <w:sz w:val="32"/>
          <w:szCs w:val="32"/>
          <w:shd w:val="clear" w:color="auto" w:fill="FFFFFF"/>
        </w:rPr>
        <w:t>区应急管理局</w:t>
      </w:r>
      <w:r>
        <w:rPr>
          <w:rFonts w:ascii="Times New Roman" w:hAnsi="Times New Roman" w:eastAsia="仿宋_GB2312"/>
          <w:color w:val="000000"/>
          <w:sz w:val="32"/>
          <w:szCs w:val="32"/>
          <w:shd w:val="clear" w:color="auto" w:fill="FFFFFF"/>
        </w:rPr>
        <w:t xml:space="preserve"> </w:t>
      </w: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p>
    <w:p>
      <w:pPr>
        <w:spacing w:line="520" w:lineRule="exact"/>
        <w:ind w:firstLine="960" w:firstLineChars="300"/>
        <w:rPr>
          <w:rFonts w:ascii="Times New Roman" w:hAnsi="Times New Roman" w:eastAsia="仿宋_GB2312"/>
          <w:color w:val="000000"/>
          <w:sz w:val="32"/>
          <w:szCs w:val="32"/>
          <w:shd w:val="clear" w:color="auto" w:fill="FFFFFF"/>
        </w:rPr>
      </w:pPr>
      <w:r>
        <w:rPr>
          <w:rFonts w:hint="eastAsia" w:ascii="Times New Roman" w:hAnsi="仿宋_GB2312" w:eastAsia="仿宋_GB2312"/>
          <w:color w:val="000000"/>
          <w:sz w:val="32"/>
          <w:szCs w:val="32"/>
          <w:shd w:val="clear" w:color="auto" w:fill="FFFFFF"/>
        </w:rPr>
        <w:t>区园林绿化管理中心</w:t>
      </w:r>
      <w:r>
        <w:rPr>
          <w:rFonts w:ascii="Times New Roman" w:hAnsi="Times New Roman" w:eastAsia="仿宋_GB2312"/>
          <w:color w:val="000000"/>
          <w:sz w:val="32"/>
          <w:szCs w:val="32"/>
          <w:shd w:val="clear" w:color="auto" w:fill="FFFFFF"/>
        </w:rPr>
        <w:t xml:space="preserve">      </w:t>
      </w:r>
      <w:bookmarkStart w:id="1" w:name="_GoBack"/>
      <w:bookmarkEnd w:id="1"/>
      <w:r>
        <w:rPr>
          <w:rFonts w:ascii="Times New Roman" w:hAnsi="Times New Roman" w:eastAsia="仿宋_GB2312"/>
          <w:color w:val="000000" w:themeColor="text1"/>
          <w:sz w:val="32"/>
          <w:szCs w:val="32"/>
          <w:shd w:val="clear" w:color="auto" w:fill="FFFFFF"/>
        </w:rPr>
        <w:t xml:space="preserve"> </w:t>
      </w:r>
      <w:r>
        <w:rPr>
          <w:rFonts w:hint="eastAsia" w:ascii="Times New Roman" w:hAnsi="仿宋_GB2312" w:eastAsia="仿宋_GB2312"/>
          <w:color w:val="000000" w:themeColor="text1"/>
          <w:sz w:val="32"/>
          <w:szCs w:val="32"/>
          <w:shd w:val="clear" w:color="auto" w:fill="FFFFFF"/>
        </w:rPr>
        <w:t>区消防救援大队</w:t>
      </w:r>
    </w:p>
    <w:p>
      <w:pPr>
        <w:spacing w:line="520" w:lineRule="exact"/>
        <w:ind w:firstLine="4960" w:firstLineChars="1550"/>
        <w:rPr>
          <w:rFonts w:ascii="Times New Roman" w:hAnsi="Times New Roman" w:eastAsia="仿宋_GB2312"/>
          <w:color w:val="000000"/>
          <w:sz w:val="32"/>
          <w:szCs w:val="32"/>
          <w:shd w:val="clear" w:color="auto" w:fill="FFFFFF"/>
        </w:rPr>
      </w:pPr>
    </w:p>
    <w:p>
      <w:pPr>
        <w:spacing w:line="520" w:lineRule="exact"/>
        <w:ind w:firstLine="4960" w:firstLineChars="1550"/>
        <w:rPr>
          <w:rFonts w:ascii="Times New Roman" w:hAnsi="仿宋_GB2312" w:eastAsia="仿宋_GB2312"/>
          <w:color w:val="000000" w:themeColor="text1"/>
          <w:sz w:val="32"/>
          <w:szCs w:val="32"/>
          <w:shd w:val="clear" w:color="auto" w:fill="FFFFFF"/>
        </w:rPr>
      </w:pP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w:t>
      </w:r>
      <w:r>
        <w:rPr>
          <w:rFonts w:hint="eastAsia" w:ascii="Times New Roman" w:hAnsi="Times New Roman" w:eastAsia="仿宋_GB2312"/>
          <w:color w:val="000000"/>
          <w:sz w:val="32"/>
          <w:szCs w:val="32"/>
          <w:shd w:val="clear" w:color="auto" w:fill="FFFFFF"/>
        </w:rPr>
        <w:t>8</w:t>
      </w:r>
      <w:r>
        <w:rPr>
          <w:rFonts w:hint="eastAsia" w:ascii="Times New Roman" w:hAnsi="仿宋_GB2312" w:eastAsia="仿宋_GB2312"/>
          <w:color w:val="000000"/>
          <w:sz w:val="32"/>
          <w:szCs w:val="32"/>
          <w:shd w:val="clear" w:color="auto" w:fill="FFFFFF"/>
        </w:rPr>
        <w:t>月</w:t>
      </w:r>
      <w:r>
        <w:rPr>
          <w:rFonts w:hint="eastAsia" w:ascii="Times New Roman" w:hAnsi="Times New Roman" w:eastAsia="仿宋_GB2312"/>
          <w:color w:val="000000"/>
          <w:sz w:val="32"/>
          <w:szCs w:val="32"/>
          <w:shd w:val="clear" w:color="auto" w:fill="FFFFFF"/>
        </w:rPr>
        <w:t>7</w:t>
      </w:r>
      <w:r>
        <w:rPr>
          <w:rFonts w:hint="eastAsia" w:ascii="Times New Roman" w:hAnsi="仿宋_GB2312" w:eastAsia="仿宋_GB2312"/>
          <w:color w:val="000000"/>
          <w:sz w:val="32"/>
          <w:szCs w:val="32"/>
          <w:shd w:val="clear" w:color="auto" w:fill="FFFFFF"/>
        </w:rPr>
        <w:t>日</w:t>
      </w: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right"/>
        <w:rPr>
          <w:rFonts w:ascii="Times New Roman" w:hAnsi="仿宋_GB2312" w:eastAsia="仿宋_GB2312"/>
          <w:color w:val="000000"/>
          <w:sz w:val="32"/>
          <w:szCs w:val="32"/>
          <w:shd w:val="clear" w:color="auto" w:fill="FFFFFF"/>
        </w:rPr>
      </w:pPr>
    </w:p>
    <w:p>
      <w:pPr>
        <w:spacing w:line="640" w:lineRule="exact"/>
        <w:jc w:val="both"/>
        <w:rPr>
          <w:rFonts w:ascii="Times New Roman" w:hAnsi="Times New Roman" w:eastAsia="仿宋_GB2312"/>
          <w:color w:val="000000"/>
          <w:sz w:val="32"/>
          <w:szCs w:val="32"/>
          <w:shd w:val="clear" w:color="auto" w:fill="FFFFFF"/>
        </w:rPr>
      </w:pPr>
    </w:p>
    <w:p>
      <w:pPr>
        <w:spacing w:line="580" w:lineRule="exact"/>
        <w:jc w:val="center"/>
        <w:rPr>
          <w:rFonts w:ascii="Times New Roman" w:hAnsi="方正小标宋简体" w:eastAsia="方正小标宋简体"/>
          <w:sz w:val="44"/>
          <w:szCs w:val="44"/>
        </w:rPr>
      </w:pPr>
      <w:r>
        <w:rPr>
          <w:rFonts w:hint="eastAsia" w:ascii="Times New Roman" w:hAnsi="方正小标宋简体" w:eastAsia="方正小标宋简体"/>
          <w:sz w:val="44"/>
          <w:szCs w:val="44"/>
        </w:rPr>
        <w:t>瑶海区养老院服务质量建设</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2019</w:t>
      </w:r>
      <w:r>
        <w:rPr>
          <w:rFonts w:hint="eastAsia" w:ascii="Times New Roman" w:hAnsi="方正小标宋简体" w:eastAsia="方正小标宋简体"/>
          <w:sz w:val="44"/>
          <w:szCs w:val="44"/>
        </w:rPr>
        <w:t>年专项行动实施方案</w:t>
      </w:r>
    </w:p>
    <w:p>
      <w:pPr>
        <w:spacing w:line="580" w:lineRule="exact"/>
        <w:rPr>
          <w:rFonts w:ascii="Times New Roman" w:hAnsi="Times New Roman" w:eastAsia="方正小标宋简体"/>
          <w:sz w:val="44"/>
          <w:szCs w:val="44"/>
        </w:rPr>
      </w:pPr>
    </w:p>
    <w:p>
      <w:pPr>
        <w:spacing w:line="580" w:lineRule="exact"/>
        <w:ind w:firstLine="640" w:firstLineChars="200"/>
        <w:rPr>
          <w:rFonts w:ascii="Times New Roman" w:hAnsi="Times New Roman" w:eastAsia="仿宋_GB2312"/>
          <w:color w:val="000000"/>
          <w:sz w:val="32"/>
          <w:szCs w:val="32"/>
          <w:shd w:val="clear" w:color="auto" w:fill="FFFFFF"/>
        </w:rPr>
      </w:pPr>
      <w:r>
        <w:rPr>
          <w:rFonts w:hint="eastAsia" w:ascii="Times New Roman" w:hAnsi="仿宋_GB2312" w:eastAsia="仿宋_GB2312"/>
          <w:color w:val="000000"/>
          <w:sz w:val="32"/>
          <w:szCs w:val="32"/>
          <w:shd w:val="clear" w:color="auto" w:fill="FFFFFF"/>
        </w:rPr>
        <w:t>为持续深入贯彻落实</w:t>
      </w:r>
      <w:r>
        <w:rPr>
          <w:rFonts w:ascii="Times New Roman" w:hAnsi="Times New Roman" w:eastAsia="仿宋_GB2312"/>
          <w:color w:val="000000"/>
          <w:sz w:val="32"/>
          <w:szCs w:val="32"/>
          <w:shd w:val="clear" w:color="auto" w:fill="FFFFFF"/>
        </w:rPr>
        <w:t>2016</w:t>
      </w:r>
      <w:r>
        <w:rPr>
          <w:rFonts w:hint="eastAsia" w:ascii="Times New Roman" w:hAnsi="仿宋_GB2312" w:eastAsia="仿宋_GB2312"/>
          <w:color w:val="000000"/>
          <w:sz w:val="32"/>
          <w:szCs w:val="32"/>
          <w:shd w:val="clear" w:color="auto" w:fill="FFFFFF"/>
        </w:rPr>
        <w:t>年习近平总书记在中央财经领导小组第</w:t>
      </w:r>
      <w:r>
        <w:rPr>
          <w:rFonts w:ascii="Times New Roman" w:hAnsi="Times New Roman" w:eastAsia="仿宋_GB2312"/>
          <w:color w:val="000000"/>
          <w:sz w:val="32"/>
          <w:szCs w:val="32"/>
          <w:shd w:val="clear" w:color="auto" w:fill="FFFFFF"/>
        </w:rPr>
        <w:t>14</w:t>
      </w:r>
      <w:r>
        <w:rPr>
          <w:rFonts w:hint="eastAsia" w:ascii="Times New Roman" w:hAnsi="仿宋_GB2312" w:eastAsia="仿宋_GB2312"/>
          <w:color w:val="000000"/>
          <w:sz w:val="32"/>
          <w:szCs w:val="32"/>
          <w:shd w:val="clear" w:color="auto" w:fill="FFFFFF"/>
        </w:rPr>
        <w:t>次会议上关于提高养老院服务质量的重要指示精神，根据民政部、国家卫生健康委、应急管理部、市场监管总局《关于做好</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年养老院服务质量建设专项行动工作的通知》（民发〔</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52</w:t>
      </w:r>
      <w:r>
        <w:rPr>
          <w:rFonts w:hint="eastAsia" w:ascii="Times New Roman" w:hAnsi="仿宋_GB2312" w:eastAsia="仿宋_GB2312"/>
          <w:color w:val="000000"/>
          <w:sz w:val="32"/>
          <w:szCs w:val="32"/>
          <w:shd w:val="clear" w:color="auto" w:fill="FFFFFF"/>
        </w:rPr>
        <w:t>号）、《安徽省养老院服务质量建设</w:t>
      </w:r>
      <w:r>
        <w:rPr>
          <w:rFonts w:ascii="Times New Roman" w:hAnsi="仿宋_GB2312"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年行动实施方案》（皖民福字〔</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47</w:t>
      </w:r>
      <w:r>
        <w:rPr>
          <w:rFonts w:hint="eastAsia" w:ascii="Times New Roman" w:hAnsi="仿宋_GB2312" w:eastAsia="仿宋_GB2312"/>
          <w:color w:val="000000"/>
          <w:sz w:val="32"/>
          <w:szCs w:val="32"/>
          <w:shd w:val="clear" w:color="auto" w:fill="FFFFFF"/>
        </w:rPr>
        <w:t>号）、《合肥市养老院服务质量建设</w:t>
      </w:r>
      <w:r>
        <w:rPr>
          <w:rFonts w:ascii="Times New Roman" w:hAnsi="仿宋_GB2312"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年专项行动实施方案》（合民〔</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69号</w:t>
      </w:r>
      <w:r>
        <w:rPr>
          <w:rFonts w:hint="eastAsia" w:ascii="Times New Roman" w:hAnsi="仿宋_GB2312" w:eastAsia="仿宋_GB2312"/>
          <w:color w:val="000000"/>
          <w:sz w:val="32"/>
          <w:szCs w:val="32"/>
          <w:shd w:val="clear" w:color="auto" w:fill="FFFFFF"/>
        </w:rPr>
        <w:t>）等文件，</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年继续在全区开展养老院服务质量建设专项行动，加快建立健全高质量发展长效机制，着力提升全区养老院安全管理和服务水平。为确保专项行动扎实有序推进，结合我区实际，制定如下方案。</w:t>
      </w:r>
    </w:p>
    <w:p>
      <w:pPr>
        <w:spacing w:line="580" w:lineRule="exact"/>
        <w:ind w:firstLine="640" w:firstLineChars="200"/>
        <w:rPr>
          <w:rFonts w:ascii="Times New Roman" w:hAnsi="Times New Roman" w:eastAsia="仿宋_GB2312"/>
          <w:color w:val="000000"/>
          <w:sz w:val="32"/>
          <w:szCs w:val="32"/>
          <w:shd w:val="clear" w:color="auto" w:fill="FFFFFF"/>
        </w:rPr>
      </w:pPr>
      <w:r>
        <w:rPr>
          <w:rFonts w:hint="eastAsia" w:ascii="Times New Roman" w:hAnsi="仿宋_GB2312" w:eastAsia="仿宋_GB2312"/>
          <w:color w:val="000000"/>
          <w:sz w:val="32"/>
          <w:szCs w:val="32"/>
          <w:shd w:val="clear" w:color="auto" w:fill="FFFFFF"/>
        </w:rPr>
        <w:t>本方案所指养老院，是指为老年人提供集中居住和照料服务的机构。</w:t>
      </w:r>
    </w:p>
    <w:p>
      <w:pPr>
        <w:spacing w:line="580" w:lineRule="exact"/>
        <w:ind w:firstLine="640"/>
        <w:rPr>
          <w:rFonts w:ascii="Times New Roman" w:hAnsi="Times New Roman" w:eastAsia="黑体"/>
          <w:color w:val="000000"/>
          <w:sz w:val="32"/>
          <w:szCs w:val="32"/>
          <w:shd w:val="clear" w:color="auto" w:fill="FFFFFF"/>
        </w:rPr>
      </w:pPr>
      <w:r>
        <w:rPr>
          <w:rFonts w:hint="eastAsia" w:ascii="Times New Roman" w:hAnsi="Times New Roman" w:eastAsia="黑体"/>
          <w:color w:val="000000"/>
          <w:sz w:val="32"/>
          <w:szCs w:val="32"/>
          <w:shd w:val="clear" w:color="auto" w:fill="FFFFFF"/>
        </w:rPr>
        <w:t>一、总体目标</w:t>
      </w:r>
    </w:p>
    <w:p>
      <w:pPr>
        <w:spacing w:line="580" w:lineRule="exact"/>
        <w:ind w:firstLine="640"/>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以习近平新时代中国特色社会主义思想为指导，坚决贯彻落实习近平总书记关于养老院服务质量建设重要指示精神和党中央、国务院、省委省政府高质量发展决策部署，以</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清隐患、防风险，补短板、促达标，转机制、提质量</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为主要任务，着力防范和化解养老服务领域重大风险，持续推进全区养老机构服务质量迈入长效机制建设新阶段。具体目标是：到</w:t>
      </w:r>
      <w:r>
        <w:rPr>
          <w:rFonts w:ascii="Times New Roman" w:hAnsi="Times New Roman" w:eastAsia="仿宋_GB2312"/>
          <w:color w:val="000000"/>
          <w:sz w:val="32"/>
          <w:szCs w:val="32"/>
          <w:shd w:val="clear" w:color="auto" w:fill="FFFFFF"/>
        </w:rPr>
        <w:t>2019</w:t>
      </w:r>
      <w:r>
        <w:rPr>
          <w:rFonts w:hint="eastAsia" w:ascii="Times New Roman" w:hAnsi="Times New Roman" w:eastAsia="仿宋_GB2312"/>
          <w:color w:val="000000"/>
          <w:sz w:val="32"/>
          <w:szCs w:val="32"/>
          <w:shd w:val="clear" w:color="auto" w:fill="FFFFFF"/>
        </w:rPr>
        <w:t>年</w:t>
      </w:r>
      <w:r>
        <w:rPr>
          <w:rFonts w:ascii="Times New Roman" w:hAnsi="Times New Roman" w:eastAsia="仿宋_GB2312"/>
          <w:color w:val="000000"/>
          <w:sz w:val="32"/>
          <w:szCs w:val="32"/>
          <w:shd w:val="clear" w:color="auto" w:fill="FFFFFF"/>
        </w:rPr>
        <w:t>9</w:t>
      </w:r>
      <w:r>
        <w:rPr>
          <w:rFonts w:hint="eastAsia" w:ascii="Times New Roman" w:hAnsi="Times New Roman" w:eastAsia="仿宋_GB2312"/>
          <w:color w:val="000000"/>
          <w:sz w:val="32"/>
          <w:szCs w:val="32"/>
          <w:shd w:val="clear" w:color="auto" w:fill="FFFFFF"/>
        </w:rPr>
        <w:t>月底，养老机构涉及消防安全重大风险隐患全部整治到位；年底前，全面清除养老机构已排查出的重大风险隐患，在此基础上实现</w:t>
      </w:r>
      <w:r>
        <w:rPr>
          <w:rFonts w:ascii="Times New Roman" w:hAnsi="Times New Roman" w:eastAsia="仿宋_GB2312"/>
          <w:color w:val="000000"/>
          <w:sz w:val="32"/>
          <w:szCs w:val="32"/>
          <w:shd w:val="clear" w:color="auto" w:fill="FFFFFF"/>
        </w:rPr>
        <w:t>60%</w:t>
      </w:r>
      <w:r>
        <w:rPr>
          <w:rFonts w:hint="eastAsia" w:ascii="Times New Roman" w:hAnsi="Times New Roman" w:eastAsia="仿宋_GB2312"/>
          <w:color w:val="000000"/>
          <w:sz w:val="32"/>
          <w:szCs w:val="32"/>
          <w:shd w:val="clear" w:color="auto" w:fill="FFFFFF"/>
        </w:rPr>
        <w:t>养老机构符合《养老机构服务质量基本规范》（</w:t>
      </w:r>
      <w:r>
        <w:rPr>
          <w:rFonts w:ascii="Times New Roman" w:hAnsi="Times New Roman" w:eastAsia="仿宋_GB2312"/>
          <w:color w:val="000000"/>
          <w:sz w:val="32"/>
          <w:szCs w:val="32"/>
          <w:shd w:val="clear" w:color="auto" w:fill="FFFFFF"/>
        </w:rPr>
        <w:t>GB/T35796-2017</w:t>
      </w:r>
      <w:r>
        <w:rPr>
          <w:rFonts w:hint="eastAsia" w:ascii="Times New Roman" w:hAnsi="Times New Roman" w:eastAsia="仿宋_GB2312"/>
          <w:color w:val="000000"/>
          <w:sz w:val="32"/>
          <w:szCs w:val="32"/>
          <w:shd w:val="clear" w:color="auto" w:fill="FFFFFF"/>
        </w:rPr>
        <w:t>）国家标准；启动实施养老机构等级评价示范工程，推出一批星级示范养老机构，全区养老机构服务质量持续改善。</w:t>
      </w:r>
    </w:p>
    <w:p>
      <w:pPr>
        <w:spacing w:line="580" w:lineRule="exact"/>
        <w:ind w:firstLine="640"/>
        <w:rPr>
          <w:rFonts w:ascii="Times New Roman" w:hAnsi="Times New Roman" w:eastAsia="仿宋_GB2312"/>
          <w:color w:val="000000"/>
          <w:sz w:val="32"/>
          <w:szCs w:val="32"/>
          <w:shd w:val="clear" w:color="auto" w:fill="FFFFFF"/>
        </w:rPr>
      </w:pPr>
      <w:r>
        <w:rPr>
          <w:rFonts w:hint="eastAsia" w:ascii="Times New Roman" w:hAnsi="Times New Roman" w:eastAsia="黑体"/>
          <w:color w:val="000000"/>
          <w:sz w:val="32"/>
          <w:szCs w:val="32"/>
          <w:shd w:val="clear" w:color="auto" w:fill="FFFFFF"/>
        </w:rPr>
        <w:t>二、主要任务</w:t>
      </w:r>
    </w:p>
    <w:p>
      <w:pPr>
        <w:spacing w:line="580" w:lineRule="exact"/>
        <w:ind w:firstLine="472" w:firstLineChars="147"/>
        <w:rPr>
          <w:rFonts w:ascii="Times New Roman" w:hAnsi="Times New Roman" w:eastAsia="仿宋_GB2312"/>
          <w:color w:val="000000"/>
          <w:sz w:val="32"/>
          <w:szCs w:val="32"/>
          <w:shd w:val="clear" w:color="auto" w:fill="FFFFFF"/>
        </w:rPr>
      </w:pPr>
      <w:r>
        <w:rPr>
          <w:rFonts w:hint="eastAsia" w:ascii="楷体_GB2312" w:hAnsi="楷体" w:eastAsia="楷体_GB2312"/>
          <w:b/>
          <w:color w:val="000000"/>
          <w:sz w:val="32"/>
          <w:szCs w:val="32"/>
          <w:shd w:val="clear" w:color="auto" w:fill="FFFFFF"/>
        </w:rPr>
        <w:t>（一）着力开展重大风险隐患清除攻坚行动。</w:t>
      </w:r>
      <w:r>
        <w:rPr>
          <w:rFonts w:hint="eastAsia" w:ascii="Times New Roman" w:hAnsi="仿宋_GB2312" w:eastAsia="仿宋_GB2312"/>
          <w:color w:val="000000"/>
          <w:sz w:val="32"/>
          <w:szCs w:val="32"/>
          <w:shd w:val="clear" w:color="auto" w:fill="FFFFFF"/>
        </w:rPr>
        <w:t>各养老机构要针对《全国养老院服务质量大检查指南》中</w:t>
      </w:r>
      <w:r>
        <w:rPr>
          <w:rFonts w:ascii="Times New Roman" w:hAnsi="Times New Roman" w:eastAsia="仿宋_GB2312"/>
          <w:color w:val="000000"/>
          <w:sz w:val="32"/>
          <w:szCs w:val="32"/>
          <w:shd w:val="clear" w:color="auto" w:fill="FFFFFF"/>
        </w:rPr>
        <w:t>28</w:t>
      </w:r>
      <w:r>
        <w:rPr>
          <w:rFonts w:hint="eastAsia" w:ascii="Times New Roman" w:hAnsi="仿宋_GB2312" w:eastAsia="仿宋_GB2312"/>
          <w:color w:val="000000"/>
          <w:sz w:val="32"/>
          <w:szCs w:val="32"/>
          <w:shd w:val="clear" w:color="auto" w:fill="FFFFFF"/>
        </w:rPr>
        <w:t>项指标涉及养老机构运营服务中的重大风险隐患（见附件</w:t>
      </w:r>
      <w:r>
        <w:rPr>
          <w:rFonts w:ascii="Times New Roman" w:hAnsi="仿宋_GB2312" w:eastAsia="仿宋_GB2312"/>
          <w:color w:val="000000"/>
          <w:sz w:val="32"/>
          <w:szCs w:val="32"/>
          <w:shd w:val="clear" w:color="auto" w:fill="FFFFFF"/>
        </w:rPr>
        <w:t>1</w:t>
      </w:r>
      <w:r>
        <w:rPr>
          <w:rFonts w:hint="eastAsia" w:ascii="Times New Roman" w:hAnsi="仿宋_GB2312" w:eastAsia="仿宋_GB2312"/>
          <w:color w:val="000000"/>
          <w:sz w:val="32"/>
          <w:szCs w:val="32"/>
          <w:shd w:val="clear" w:color="auto" w:fill="FFFFFF"/>
        </w:rPr>
        <w:t>），开展安全隐患排查，列出不合格的隐患清单，由区民政部门通报相关部门。</w:t>
      </w:r>
      <w:r>
        <w:rPr>
          <w:rFonts w:hint="eastAsia" w:ascii="Times New Roman" w:eastAsia="仿宋_GB2312"/>
          <w:sz w:val="32"/>
          <w:szCs w:val="32"/>
        </w:rPr>
        <w:t>养老机构应配备消防安全管理人员；有消防控制室的，应配备足量的值班人员且值班人员应持证上岗。养老机构应重视燃气安全管理，配备燃气管理人员，具备条件的养老机构宜优先使用管道天然气。</w:t>
      </w:r>
      <w:r>
        <w:rPr>
          <w:rFonts w:hint="eastAsia" w:ascii="Times New Roman" w:hAnsi="仿宋_GB2312" w:eastAsia="仿宋_GB2312"/>
          <w:color w:val="000000"/>
          <w:sz w:val="32"/>
          <w:szCs w:val="32"/>
          <w:shd w:val="clear" w:color="auto" w:fill="FFFFFF"/>
        </w:rPr>
        <w:t>同时，要按照省、市安委会及民政系统关于</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防风险保平安迎大庆</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消防安全执法检查专项行动部署要求，落实消防</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三自主两公开一承诺</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主体责任，上报消防安全自查情况和整改措施。对存在</w:t>
      </w:r>
      <w:r>
        <w:rPr>
          <w:rFonts w:ascii="Times New Roman" w:hAnsi="Times New Roman" w:eastAsia="仿宋_GB2312"/>
          <w:color w:val="000000"/>
          <w:sz w:val="32"/>
          <w:szCs w:val="32"/>
          <w:shd w:val="clear" w:color="auto" w:fill="FFFFFF"/>
        </w:rPr>
        <w:t>9</w:t>
      </w:r>
      <w:r>
        <w:rPr>
          <w:rFonts w:hint="eastAsia" w:ascii="Times New Roman" w:hAnsi="仿宋_GB2312" w:eastAsia="仿宋_GB2312"/>
          <w:color w:val="000000"/>
          <w:sz w:val="32"/>
          <w:szCs w:val="32"/>
          <w:shd w:val="clear" w:color="auto" w:fill="FFFFFF"/>
        </w:rPr>
        <w:t>类突出消防安全问题及专项行动中涉及的消防安全指标不达标的养老机构，民政部门、消防救援部门及属地街镇开发区按照“一地一策”</w:t>
      </w:r>
      <w:r>
        <w:rPr>
          <w:rFonts w:hint="eastAsia"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一院一案</w:t>
      </w:r>
      <w:r>
        <w:rPr>
          <w:rFonts w:hint="eastAsia"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要求进行整治，对存在重大风险隐患、逾期不改正的养老机构，责令停业整顿；情节严重的，依法取缔、关停、撤并。</w:t>
      </w:r>
      <w:r>
        <w:rPr>
          <w:rFonts w:hint="eastAsia" w:ascii="Times New Roman" w:eastAsia="仿宋_GB2312"/>
          <w:sz w:val="32"/>
          <w:szCs w:val="32"/>
        </w:rPr>
        <w:t>按照</w:t>
      </w:r>
      <w:r>
        <w:rPr>
          <w:rFonts w:ascii="Times New Roman" w:eastAsia="仿宋_GB2312"/>
          <w:sz w:val="32"/>
          <w:szCs w:val="32"/>
        </w:rPr>
        <w:t>“</w:t>
      </w:r>
      <w:r>
        <w:rPr>
          <w:rFonts w:hint="eastAsia" w:ascii="Times New Roman" w:eastAsia="仿宋_GB2312"/>
          <w:sz w:val="32"/>
          <w:szCs w:val="32"/>
        </w:rPr>
        <w:t>市不漏乡</w:t>
      </w:r>
      <w:r>
        <w:rPr>
          <w:rFonts w:ascii="Times New Roman" w:eastAsia="仿宋_GB2312"/>
          <w:sz w:val="32"/>
          <w:szCs w:val="32"/>
        </w:rPr>
        <w:t>(</w:t>
      </w:r>
      <w:r>
        <w:rPr>
          <w:rFonts w:hint="eastAsia" w:ascii="Times New Roman" w:eastAsia="仿宋_GB2312"/>
          <w:sz w:val="32"/>
          <w:szCs w:val="32"/>
        </w:rPr>
        <w:t>街</w:t>
      </w:r>
      <w:r>
        <w:rPr>
          <w:rFonts w:ascii="Times New Roman" w:eastAsia="仿宋_GB2312"/>
          <w:sz w:val="32"/>
          <w:szCs w:val="32"/>
        </w:rPr>
        <w:t>)</w:t>
      </w:r>
      <w:r>
        <w:rPr>
          <w:rFonts w:hint="eastAsia" w:ascii="Times New Roman" w:eastAsia="仿宋_GB2312"/>
          <w:sz w:val="32"/>
          <w:szCs w:val="32"/>
        </w:rPr>
        <w:t>、县不漏院、乡</w:t>
      </w:r>
      <w:r>
        <w:rPr>
          <w:rFonts w:ascii="Times New Roman" w:eastAsia="仿宋_GB2312"/>
          <w:sz w:val="32"/>
          <w:szCs w:val="32"/>
        </w:rPr>
        <w:t>(</w:t>
      </w:r>
      <w:r>
        <w:rPr>
          <w:rFonts w:hint="eastAsia" w:ascii="Times New Roman" w:eastAsia="仿宋_GB2312"/>
          <w:sz w:val="32"/>
          <w:szCs w:val="32"/>
        </w:rPr>
        <w:t>街</w:t>
      </w:r>
      <w:r>
        <w:rPr>
          <w:rFonts w:ascii="Times New Roman" w:eastAsia="仿宋_GB2312"/>
          <w:sz w:val="32"/>
          <w:szCs w:val="32"/>
        </w:rPr>
        <w:t>)</w:t>
      </w:r>
      <w:r>
        <w:rPr>
          <w:rFonts w:hint="eastAsia" w:ascii="Times New Roman" w:eastAsia="仿宋_GB2312"/>
          <w:sz w:val="32"/>
          <w:szCs w:val="32"/>
        </w:rPr>
        <w:t>不漏项</w:t>
      </w:r>
      <w:r>
        <w:rPr>
          <w:rFonts w:ascii="Times New Roman" w:eastAsia="仿宋_GB2312"/>
          <w:sz w:val="32"/>
          <w:szCs w:val="32"/>
        </w:rPr>
        <w:t>”</w:t>
      </w:r>
      <w:r>
        <w:rPr>
          <w:rFonts w:hint="eastAsia" w:ascii="Times New Roman" w:eastAsia="仿宋_GB2312"/>
          <w:sz w:val="32"/>
          <w:szCs w:val="32"/>
        </w:rPr>
        <w:t>的要求，市级民政部门、消防救援部门将通过组织联合督查、交叉检查等方式，开展养老机构重大消防风险</w:t>
      </w:r>
      <w:r>
        <w:rPr>
          <w:rFonts w:ascii="Times New Roman" w:eastAsia="仿宋_GB2312"/>
          <w:sz w:val="32"/>
          <w:szCs w:val="32"/>
        </w:rPr>
        <w:t>“</w:t>
      </w:r>
      <w:r>
        <w:rPr>
          <w:rFonts w:hint="eastAsia" w:ascii="Times New Roman" w:eastAsia="仿宋_GB2312"/>
          <w:sz w:val="32"/>
          <w:szCs w:val="32"/>
        </w:rPr>
        <w:t>百日会战</w:t>
      </w:r>
      <w:r>
        <w:rPr>
          <w:rFonts w:ascii="Times New Roman" w:eastAsia="仿宋_GB2312"/>
          <w:sz w:val="32"/>
          <w:szCs w:val="32"/>
        </w:rPr>
        <w:t>”</w:t>
      </w:r>
      <w:r>
        <w:rPr>
          <w:rFonts w:hint="eastAsia" w:ascii="Times New Roman" w:eastAsia="仿宋_GB2312"/>
          <w:sz w:val="32"/>
          <w:szCs w:val="32"/>
        </w:rPr>
        <w:t>，对各养老院消防安</w:t>
      </w:r>
      <w:r>
        <w:rPr>
          <w:rFonts w:hint="eastAsia" w:ascii="Times New Roman" w:hAnsi="仿宋_GB2312" w:eastAsia="仿宋_GB2312"/>
          <w:color w:val="000000"/>
          <w:sz w:val="32"/>
          <w:szCs w:val="32"/>
          <w:shd w:val="clear" w:color="auto" w:fill="FFFFFF"/>
        </w:rPr>
        <w:t>全隐患整治情况进行督查，确保</w:t>
      </w:r>
      <w:r>
        <w:rPr>
          <w:rFonts w:ascii="Times New Roman" w:hAnsi="Times New Roman" w:eastAsia="仿宋_GB2312"/>
          <w:color w:val="000000"/>
          <w:sz w:val="32"/>
          <w:szCs w:val="32"/>
          <w:shd w:val="clear" w:color="auto" w:fill="FFFFFF"/>
        </w:rPr>
        <w:t>9</w:t>
      </w:r>
      <w:r>
        <w:rPr>
          <w:rFonts w:hint="eastAsia" w:ascii="Times New Roman" w:hAnsi="仿宋_GB2312" w:eastAsia="仿宋_GB2312"/>
          <w:color w:val="000000"/>
          <w:sz w:val="32"/>
          <w:szCs w:val="32"/>
          <w:shd w:val="clear" w:color="auto" w:fill="FFFFFF"/>
        </w:rPr>
        <w:t>月底前全部整治到位。</w:t>
      </w:r>
    </w:p>
    <w:p>
      <w:pPr>
        <w:spacing w:line="580" w:lineRule="exact"/>
        <w:ind w:firstLine="472" w:firstLineChars="147"/>
        <w:rPr>
          <w:rFonts w:ascii="Times New Roman" w:hAnsi="Times New Roman" w:eastAsia="仿宋_GB2312"/>
          <w:color w:val="000000"/>
          <w:sz w:val="32"/>
          <w:szCs w:val="32"/>
          <w:shd w:val="clear" w:color="auto" w:fill="FFFFFF"/>
        </w:rPr>
      </w:pPr>
      <w:r>
        <w:rPr>
          <w:rFonts w:hint="eastAsia" w:ascii="楷体_GB2312" w:hAnsi="楷体" w:eastAsia="楷体_GB2312"/>
          <w:b/>
          <w:color w:val="000000"/>
          <w:sz w:val="32"/>
          <w:szCs w:val="32"/>
          <w:shd w:val="clear" w:color="auto" w:fill="FFFFFF"/>
        </w:rPr>
        <w:t>（二）实施《养老机构服务质量基本规范》达标工程。</w:t>
      </w:r>
      <w:r>
        <w:rPr>
          <w:rFonts w:hint="eastAsia" w:ascii="Times New Roman" w:hAnsi="Times New Roman" w:eastAsia="仿宋_GB2312"/>
          <w:color w:val="000000"/>
          <w:sz w:val="32"/>
          <w:szCs w:val="32"/>
        </w:rPr>
        <w:t>已经清除重大风险隐患的养老机构</w:t>
      </w:r>
      <w:r>
        <w:rPr>
          <w:rFonts w:hint="eastAsia" w:ascii="Times New Roman" w:eastAsia="仿宋_GB2312"/>
          <w:color w:val="000000"/>
          <w:sz w:val="32"/>
          <w:szCs w:val="32"/>
        </w:rPr>
        <w:t>，要对照《</w:t>
      </w:r>
      <w:r>
        <w:rPr>
          <w:rFonts w:hint="eastAsia" w:ascii="Times New Roman" w:hAnsi="Times New Roman" w:eastAsia="仿宋_GB2312"/>
          <w:color w:val="000000"/>
          <w:sz w:val="32"/>
          <w:szCs w:val="32"/>
        </w:rPr>
        <w:t>养老机构服务质量基本规范》</w:t>
      </w:r>
      <w:r>
        <w:rPr>
          <w:rFonts w:hint="eastAsia" w:ascii="Times New Roman" w:eastAsia="仿宋_GB2312"/>
          <w:sz w:val="32"/>
          <w:szCs w:val="32"/>
        </w:rPr>
        <w:t>（</w:t>
      </w:r>
      <w:r>
        <w:rPr>
          <w:rFonts w:ascii="Times New Roman" w:hAnsi="Times New Roman" w:eastAsia="仿宋_GB2312"/>
          <w:sz w:val="32"/>
          <w:szCs w:val="32"/>
        </w:rPr>
        <w:t>GB/T35796-2017</w:t>
      </w:r>
      <w:r>
        <w:rPr>
          <w:rFonts w:hint="eastAsia" w:ascii="Times New Roman" w:eastAsia="仿宋_GB2312"/>
          <w:sz w:val="32"/>
          <w:szCs w:val="32"/>
        </w:rPr>
        <w:t>）国家标准开展自查整改，提升服务质量。</w:t>
      </w:r>
      <w:r>
        <w:rPr>
          <w:rFonts w:hint="eastAsia" w:ascii="Times New Roman" w:hAnsi="Times New Roman" w:eastAsia="仿宋_GB2312"/>
          <w:color w:val="000000"/>
          <w:sz w:val="32"/>
          <w:szCs w:val="32"/>
        </w:rPr>
        <w:t>经相关部门或第三方评估验收后，公布达标养老机构，不达标养老</w:t>
      </w:r>
      <w:r>
        <w:rPr>
          <w:rFonts w:hint="eastAsia" w:ascii="Times New Roman" w:eastAsia="仿宋_GB2312"/>
          <w:color w:val="000000"/>
          <w:sz w:val="32"/>
          <w:szCs w:val="32"/>
        </w:rPr>
        <w:t>机构须进一步整治提升。</w:t>
      </w:r>
      <w:r>
        <w:rPr>
          <w:rFonts w:hint="eastAsia" w:ascii="Times New Roman" w:eastAsia="仿宋_GB2312"/>
          <w:sz w:val="32"/>
          <w:szCs w:val="32"/>
        </w:rPr>
        <w:t>年底前，要实现</w:t>
      </w:r>
      <w:r>
        <w:rPr>
          <w:rFonts w:ascii="Times New Roman" w:hAnsi="Times New Roman" w:eastAsia="仿宋_GB2312"/>
          <w:sz w:val="32"/>
          <w:szCs w:val="32"/>
        </w:rPr>
        <w:t>60%</w:t>
      </w:r>
      <w:r>
        <w:rPr>
          <w:rFonts w:hint="eastAsia" w:ascii="Times New Roman" w:eastAsia="仿宋_GB2312"/>
          <w:sz w:val="32"/>
          <w:szCs w:val="32"/>
        </w:rPr>
        <w:t>养老机构符合《养老机构服务质量基本规范》（</w:t>
      </w:r>
      <w:r>
        <w:rPr>
          <w:rFonts w:ascii="Times New Roman" w:hAnsi="Times New Roman" w:eastAsia="仿宋_GB2312"/>
          <w:sz w:val="32"/>
          <w:szCs w:val="32"/>
        </w:rPr>
        <w:t>GB/T35796-2017</w:t>
      </w:r>
      <w:r>
        <w:rPr>
          <w:rFonts w:hint="eastAsia" w:ascii="Times New Roman" w:eastAsia="仿宋_GB2312"/>
          <w:sz w:val="32"/>
          <w:szCs w:val="32"/>
        </w:rPr>
        <w:t>）国家标准。</w:t>
      </w:r>
    </w:p>
    <w:p>
      <w:pPr>
        <w:spacing w:line="580" w:lineRule="exact"/>
        <w:ind w:firstLine="479" w:firstLineChars="149"/>
        <w:rPr>
          <w:rFonts w:ascii="Times New Roman" w:hAnsi="Times New Roman" w:eastAsia="仿宋_GB2312"/>
          <w:color w:val="000000"/>
          <w:sz w:val="32"/>
          <w:szCs w:val="32"/>
          <w:shd w:val="clear" w:color="auto" w:fill="FFFFFF"/>
        </w:rPr>
      </w:pPr>
      <w:r>
        <w:rPr>
          <w:rFonts w:hint="eastAsia" w:ascii="楷体_GB2312" w:hAnsi="楷体" w:eastAsia="楷体_GB2312"/>
          <w:b/>
          <w:color w:val="000000"/>
          <w:sz w:val="32"/>
          <w:szCs w:val="32"/>
          <w:shd w:val="clear" w:color="auto" w:fill="FFFFFF"/>
        </w:rPr>
        <w:t>（三）启动实施养老机构等级评价示范工程。</w:t>
      </w:r>
      <w:r>
        <w:rPr>
          <w:rFonts w:hint="eastAsia" w:ascii="Times New Roman" w:hAnsi="仿宋_GB2312" w:eastAsia="仿宋_GB2312"/>
          <w:color w:val="000000"/>
          <w:sz w:val="32"/>
          <w:szCs w:val="32"/>
          <w:shd w:val="clear" w:color="auto" w:fill="FFFFFF"/>
        </w:rPr>
        <w:t>按照民政部和市场监管总局统一部署，贯彻落实《养老机构等级划分与评定》国家标准。</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下半年，启动养老机构等级评价工作，鼓励符合条件的养老机构参加等级评价。组织相关人员参加省级开展的对等级评价标准、细则和相关政策的培训。加强对参评养老机构的培训指导，涉及消防安全、医疗卫生、特种设备安全、食品安全等专业的，消防救援、卫生健康、市场监管等部门应予以支持。力争培育一家五星级养老机构、一到两家四星或三星级养老机构、一家二星级养老机构，发挥等级评定示范效应，推动形成养老机构等级管理长效机制。</w:t>
      </w:r>
    </w:p>
    <w:p>
      <w:pPr>
        <w:spacing w:line="580" w:lineRule="exact"/>
        <w:ind w:firstLine="479" w:firstLineChars="149"/>
        <w:rPr>
          <w:rFonts w:ascii="Times New Roman" w:hAnsi="Times New Roman" w:eastAsia="仿宋_GB2312"/>
          <w:color w:val="000000"/>
          <w:sz w:val="32"/>
          <w:szCs w:val="32"/>
          <w:shd w:val="clear" w:color="auto" w:fill="FFFFFF"/>
        </w:rPr>
      </w:pPr>
      <w:r>
        <w:rPr>
          <w:rFonts w:hint="eastAsia" w:ascii="楷体_GB2312" w:hAnsi="楷体" w:eastAsia="楷体_GB2312"/>
          <w:b/>
          <w:color w:val="000000"/>
          <w:sz w:val="32"/>
          <w:szCs w:val="32"/>
          <w:shd w:val="clear" w:color="auto" w:fill="FFFFFF"/>
        </w:rPr>
        <w:t>（四）开展“保健”市场乱象整治和非法集资风险排查。</w:t>
      </w:r>
      <w:r>
        <w:rPr>
          <w:rFonts w:ascii="Times New Roman" w:hAnsi="Times New Roman" w:eastAsia="楷体"/>
          <w:b/>
          <w:color w:val="000000"/>
          <w:sz w:val="32"/>
          <w:szCs w:val="32"/>
          <w:shd w:val="clear" w:color="auto" w:fill="FFFFFF"/>
        </w:rPr>
        <w:t xml:space="preserve"> </w:t>
      </w:r>
      <w:r>
        <w:rPr>
          <w:rFonts w:hint="eastAsia" w:ascii="Times New Roman" w:hAnsi="仿宋_GB2312" w:eastAsia="仿宋_GB2312"/>
          <w:color w:val="000000"/>
          <w:sz w:val="32"/>
          <w:szCs w:val="32"/>
          <w:shd w:val="clear" w:color="auto" w:fill="FFFFFF"/>
        </w:rPr>
        <w:t>养老机构要主动开展</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保健</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市场乱象整治、非法集资风险自查，严禁向老年人推销</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保健</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产品服务或为其他经营主体推销活动提供支持。养老机构应向入住老年人经常开展</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保健</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知识宣传，鼓励养老机构和入住老年人投诉举报反映</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保健</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产品虚假宣传及非法集资问题线索，及时通报有关部门依法处置。严禁养老机构向入住老年人非法集资。市场监管部门要加强对养老机构和老年人</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保健</w:t>
      </w:r>
      <w:r>
        <w:rPr>
          <w:rFonts w:ascii="Times New Roman" w:hAnsi="Times New Roman" w:eastAsia="仿宋_GB2312"/>
          <w:color w:val="000000"/>
          <w:sz w:val="32"/>
          <w:szCs w:val="32"/>
          <w:shd w:val="clear" w:color="auto" w:fill="FFFFFF"/>
        </w:rPr>
        <w:t>”</w:t>
      </w:r>
      <w:r>
        <w:rPr>
          <w:rFonts w:hint="eastAsia" w:ascii="Times New Roman" w:hAnsi="仿宋_GB2312" w:eastAsia="仿宋_GB2312"/>
          <w:color w:val="000000"/>
          <w:sz w:val="32"/>
          <w:szCs w:val="32"/>
          <w:shd w:val="clear" w:color="auto" w:fill="FFFFFF"/>
        </w:rPr>
        <w:t>产品消费欺诈行为的查处力度，切实保护入住老年人合法权益。</w:t>
      </w:r>
    </w:p>
    <w:p>
      <w:pPr>
        <w:spacing w:line="580" w:lineRule="exact"/>
        <w:ind w:firstLine="482" w:firstLineChars="150"/>
        <w:rPr>
          <w:rFonts w:ascii="Times New Roman" w:hAnsi="Times New Roman" w:eastAsia="仿宋_GB2312"/>
          <w:color w:val="000000"/>
          <w:sz w:val="32"/>
          <w:szCs w:val="32"/>
        </w:rPr>
      </w:pPr>
      <w:r>
        <w:rPr>
          <w:rFonts w:hint="eastAsia" w:ascii="楷体_GB2312" w:hAnsi="楷体" w:eastAsia="楷体_GB2312"/>
          <w:b/>
          <w:color w:val="000000"/>
          <w:sz w:val="32"/>
          <w:szCs w:val="32"/>
          <w:shd w:val="clear" w:color="auto" w:fill="FFFFFF"/>
        </w:rPr>
        <w:t>（五）进一步提升养老机构医疗卫生服务质量。</w:t>
      </w:r>
      <w:r>
        <w:rPr>
          <w:rFonts w:hint="eastAsia" w:ascii="Times New Roman" w:hAnsi="Times New Roman" w:eastAsia="仿宋_GB2312"/>
          <w:color w:val="000000"/>
          <w:sz w:val="32"/>
          <w:szCs w:val="32"/>
        </w:rPr>
        <w:t>卫生健康部门要根据医养结合机构医疗卫生服务质量检查及养老院服务质量专项行动中排查出来的问题，下大力气逐一整改，消除隐患，确保养老机构内设医疗机构医疗卫生服务质量和安全。完善各类养老机构与各级医疗机构建立合作机制，</w:t>
      </w:r>
      <w:r>
        <w:rPr>
          <w:rFonts w:ascii="Times New Roman" w:hAnsi="Times New Roman" w:eastAsia="仿宋_GB2312"/>
          <w:color w:val="000000"/>
          <w:sz w:val="32"/>
          <w:szCs w:val="32"/>
        </w:rPr>
        <w:t>150</w:t>
      </w:r>
      <w:r>
        <w:rPr>
          <w:rFonts w:hint="eastAsia" w:ascii="Times New Roman" w:hAnsi="Times New Roman" w:eastAsia="仿宋_GB2312"/>
          <w:color w:val="000000"/>
          <w:sz w:val="32"/>
          <w:szCs w:val="32"/>
        </w:rPr>
        <w:t>张床位的养老机构内设医务室或护理站比例达到</w:t>
      </w:r>
      <w:r>
        <w:rPr>
          <w:rFonts w:ascii="Times New Roman" w:hAnsi="Times New Roman" w:eastAsia="仿宋_GB2312"/>
          <w:color w:val="000000"/>
          <w:sz w:val="32"/>
          <w:szCs w:val="32"/>
        </w:rPr>
        <w:t>80%</w:t>
      </w:r>
      <w:r>
        <w:rPr>
          <w:rFonts w:hint="eastAsia" w:ascii="Times New Roman" w:hAnsi="Times New Roman" w:eastAsia="仿宋_GB2312"/>
          <w:color w:val="000000"/>
          <w:sz w:val="32"/>
          <w:szCs w:val="32"/>
        </w:rPr>
        <w:t>以上，确保入住养老机构的老年人得到及时有效的医疗卫生服务。</w:t>
      </w:r>
    </w:p>
    <w:p>
      <w:pPr>
        <w:spacing w:line="580" w:lineRule="exact"/>
        <w:ind w:firstLine="643" w:firstLineChars="200"/>
        <w:rPr>
          <w:rFonts w:ascii="Times New Roman" w:hAnsi="仿宋_GB2312" w:eastAsia="仿宋_GB2312"/>
          <w:sz w:val="32"/>
          <w:szCs w:val="32"/>
          <w:shd w:val="clear" w:color="auto" w:fill="FFFFFF"/>
        </w:rPr>
      </w:pPr>
      <w:r>
        <w:rPr>
          <w:rFonts w:hint="eastAsia" w:ascii="楷体_GB2312" w:hAnsi="楷体" w:eastAsia="楷体_GB2312"/>
          <w:b/>
          <w:color w:val="000000"/>
          <w:sz w:val="32"/>
          <w:szCs w:val="32"/>
          <w:shd w:val="clear" w:color="auto" w:fill="FFFFFF"/>
        </w:rPr>
        <w:t>（六）进一步加强养老服务队伍建设。</w:t>
      </w:r>
      <w:r>
        <w:rPr>
          <w:rFonts w:hint="eastAsia" w:ascii="Times New Roman" w:hAnsi="仿宋_GB2312" w:eastAsia="仿宋_GB2312"/>
          <w:color w:val="000000"/>
          <w:sz w:val="32"/>
          <w:szCs w:val="32"/>
          <w:shd w:val="clear" w:color="auto" w:fill="FFFFFF"/>
        </w:rPr>
        <w:t>完善养老服务人才的培养、使用、评估和激励机制，提升养老服务人才队伍素质。组织参加省市养老服务从业人员</w:t>
      </w:r>
      <w:r>
        <w:rPr>
          <w:rFonts w:hint="eastAsia" w:eastAsia="仿宋_GB2312"/>
          <w:sz w:val="32"/>
          <w:szCs w:val="32"/>
        </w:rPr>
        <w:t>消防安全、医疗卫生、特种设备安全、食品安全等</w:t>
      </w:r>
      <w:r>
        <w:rPr>
          <w:rFonts w:hint="eastAsia" w:ascii="Times New Roman" w:hAnsi="仿宋_GB2312" w:eastAsia="仿宋_GB2312"/>
          <w:color w:val="000000"/>
          <w:sz w:val="32"/>
          <w:szCs w:val="32"/>
          <w:shd w:val="clear" w:color="auto" w:fill="FFFFFF"/>
        </w:rPr>
        <w:t>各类</w:t>
      </w:r>
      <w:r>
        <w:rPr>
          <w:rFonts w:hint="eastAsia" w:eastAsia="仿宋_GB2312"/>
          <w:sz w:val="32"/>
          <w:szCs w:val="32"/>
        </w:rPr>
        <w:t>专业</w:t>
      </w:r>
      <w:r>
        <w:rPr>
          <w:rFonts w:hint="eastAsia" w:ascii="Times New Roman" w:hAnsi="仿宋_GB2312" w:eastAsia="仿宋_GB2312"/>
          <w:color w:val="000000"/>
          <w:sz w:val="32"/>
          <w:szCs w:val="32"/>
          <w:shd w:val="clear" w:color="auto" w:fill="FFFFFF"/>
        </w:rPr>
        <w:t>培训学习。</w:t>
      </w:r>
      <w:r>
        <w:rPr>
          <w:rFonts w:hint="eastAsia" w:eastAsia="仿宋_GB2312"/>
          <w:sz w:val="32"/>
          <w:szCs w:val="32"/>
        </w:rPr>
        <w:t>区相关部门在组织本系统业务培训时，应将养老机构相关人员纳入培训范围。按照《合肥市养老护理岗位工作人员学费补偿和入职奖补试行办法》（合民</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2018</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274</w:t>
      </w:r>
      <w:r>
        <w:rPr>
          <w:rFonts w:hint="eastAsia" w:eastAsia="仿宋_GB2312"/>
          <w:sz w:val="32"/>
          <w:szCs w:val="32"/>
        </w:rPr>
        <w:t>号），落实养老机构中从事康复护理等养老服务一线工作满</w:t>
      </w:r>
      <w:r>
        <w:rPr>
          <w:rFonts w:ascii="Times New Roman" w:hAnsi="Times New Roman" w:eastAsia="仿宋_GB2312"/>
          <w:color w:val="000000"/>
          <w:sz w:val="32"/>
          <w:szCs w:val="32"/>
          <w:shd w:val="clear" w:color="auto" w:fill="FFFFFF"/>
        </w:rPr>
        <w:t>3</w:t>
      </w:r>
      <w:r>
        <w:rPr>
          <w:rFonts w:hint="eastAsia" w:eastAsia="仿宋_GB2312"/>
          <w:sz w:val="32"/>
          <w:szCs w:val="32"/>
        </w:rPr>
        <w:t>年的中等职业技术学校（技工学校）毕业生，高等院校全日制毕业生，技工院校全日制高级工班、预备技师班毕业生，从事一线养老护理工作累计满</w:t>
      </w:r>
      <w:r>
        <w:rPr>
          <w:rFonts w:ascii="Times New Roman" w:hAnsi="Times New Roman" w:eastAsia="仿宋_GB2312"/>
          <w:color w:val="000000"/>
          <w:sz w:val="32"/>
          <w:szCs w:val="32"/>
          <w:shd w:val="clear" w:color="auto" w:fill="FFFFFF"/>
        </w:rPr>
        <w:t>4</w:t>
      </w:r>
      <w:r>
        <w:rPr>
          <w:rFonts w:hint="eastAsia" w:eastAsia="仿宋_GB2312"/>
          <w:sz w:val="32"/>
          <w:szCs w:val="32"/>
        </w:rPr>
        <w:t>年以上（含</w:t>
      </w:r>
      <w:r>
        <w:rPr>
          <w:rFonts w:ascii="Times New Roman" w:hAnsi="Times New Roman" w:eastAsia="仿宋_GB2312"/>
          <w:color w:val="000000"/>
          <w:sz w:val="32"/>
          <w:szCs w:val="32"/>
          <w:shd w:val="clear" w:color="auto" w:fill="FFFFFF"/>
        </w:rPr>
        <w:t>4</w:t>
      </w:r>
      <w:r>
        <w:rPr>
          <w:rFonts w:hint="eastAsia" w:eastAsia="仿宋_GB2312"/>
          <w:sz w:val="32"/>
          <w:szCs w:val="32"/>
        </w:rPr>
        <w:t>年）的养老护理岗位工作人员的学费补偿、入职奖补。</w:t>
      </w:r>
    </w:p>
    <w:p>
      <w:pPr>
        <w:spacing w:line="580" w:lineRule="exact"/>
        <w:ind w:firstLine="643" w:firstLineChars="200"/>
        <w:rPr>
          <w:rFonts w:ascii="Times New Roman" w:hAnsi="仿宋_GB2312" w:eastAsia="仿宋_GB2312"/>
          <w:sz w:val="32"/>
          <w:szCs w:val="32"/>
          <w:shd w:val="clear" w:color="auto" w:fill="FFFFFF"/>
        </w:rPr>
      </w:pPr>
      <w:r>
        <w:rPr>
          <w:rFonts w:hint="eastAsia" w:ascii="楷体_GB2312" w:hAnsi="楷体" w:eastAsia="楷体_GB2312"/>
          <w:b/>
          <w:color w:val="000000"/>
          <w:sz w:val="32"/>
          <w:szCs w:val="32"/>
          <w:shd w:val="clear" w:color="auto" w:fill="FFFFFF"/>
        </w:rPr>
        <w:t>（七）加快特困人员护理能力建设。</w:t>
      </w:r>
      <w:r>
        <w:rPr>
          <w:rFonts w:hint="eastAsia" w:ascii="Times New Roman" w:hAnsi="仿宋_GB2312" w:eastAsia="仿宋_GB2312"/>
          <w:color w:val="000000"/>
          <w:sz w:val="32"/>
          <w:szCs w:val="32"/>
          <w:shd w:val="clear" w:color="auto" w:fill="FFFFFF"/>
        </w:rPr>
        <w:t>进一步落实安徽省《加快提升失能半失能特困人员养护能力建设行动计划（</w:t>
      </w:r>
      <w:r>
        <w:rPr>
          <w:rFonts w:ascii="Times New Roman" w:hAnsi="Times New Roman" w:eastAsia="仿宋_GB2312"/>
          <w:color w:val="000000"/>
          <w:sz w:val="32"/>
          <w:szCs w:val="32"/>
          <w:shd w:val="clear" w:color="auto" w:fill="FFFFFF"/>
        </w:rPr>
        <w:t>2018-2020</w:t>
      </w:r>
      <w:r>
        <w:rPr>
          <w:rFonts w:hint="eastAsia" w:ascii="Times New Roman" w:hAnsi="仿宋_GB2312" w:eastAsia="仿宋_GB2312"/>
          <w:color w:val="000000"/>
          <w:sz w:val="32"/>
          <w:szCs w:val="32"/>
          <w:shd w:val="clear" w:color="auto" w:fill="FFFFFF"/>
        </w:rPr>
        <w:t>年）》和合肥市《聚焦弱有所扶加快提升失能半失能特困人员养护能力建设行动计划（</w:t>
      </w:r>
      <w:r>
        <w:rPr>
          <w:rFonts w:ascii="Times New Roman" w:hAnsi="Times New Roman" w:eastAsia="仿宋_GB2312"/>
          <w:color w:val="000000"/>
          <w:sz w:val="32"/>
          <w:szCs w:val="32"/>
          <w:shd w:val="clear" w:color="auto" w:fill="FFFFFF"/>
        </w:rPr>
        <w:t>2018-2020</w:t>
      </w:r>
      <w:r>
        <w:rPr>
          <w:rFonts w:hint="eastAsia" w:ascii="Times New Roman" w:hAnsi="仿宋_GB2312" w:eastAsia="仿宋_GB2312"/>
          <w:color w:val="000000"/>
          <w:sz w:val="32"/>
          <w:szCs w:val="32"/>
          <w:shd w:val="clear" w:color="auto" w:fill="FFFFFF"/>
        </w:rPr>
        <w:t>年）》，推进现有设施改造升级，以满足生活不能自理特困人员养护需求为目标，整体提升护理型床位、无障碍设施、应急呼叫系统等水平，提升特困人员照料护理能力和水平。</w:t>
      </w:r>
      <w:r>
        <w:rPr>
          <w:rFonts w:hint="eastAsia" w:eastAsia="仿宋_GB2312"/>
          <w:sz w:val="32"/>
          <w:szCs w:val="32"/>
        </w:rPr>
        <w:t>属地街道办事处（镇政府）要加大农村特困供养服务机构（农村敬老院）安全设施设备投入，促进特困供养机构护理能力地区间均衡发展，提高农村敬老院兜底保障能</w:t>
      </w:r>
      <w:r>
        <w:rPr>
          <w:rFonts w:hint="eastAsia" w:eastAsia="仿宋_GB2312"/>
          <w:color w:val="000000"/>
          <w:sz w:val="32"/>
          <w:szCs w:val="32"/>
        </w:rPr>
        <w:t>力。</w:t>
      </w:r>
      <w:r>
        <w:rPr>
          <w:rFonts w:ascii="Times New Roman" w:hAnsi="Times New Roman" w:eastAsia="仿宋_GB2312"/>
          <w:color w:val="000000"/>
          <w:sz w:val="32"/>
          <w:szCs w:val="32"/>
          <w:shd w:val="clear" w:color="auto" w:fill="FFFFFF"/>
        </w:rPr>
        <w:t>2019</w:t>
      </w:r>
      <w:r>
        <w:rPr>
          <w:rFonts w:hint="eastAsia" w:ascii="Times New Roman" w:hAnsi="仿宋_GB2312" w:eastAsia="仿宋_GB2312"/>
          <w:color w:val="000000"/>
          <w:sz w:val="32"/>
          <w:szCs w:val="32"/>
          <w:shd w:val="clear" w:color="auto" w:fill="FFFFFF"/>
        </w:rPr>
        <w:t>年底，全区生活不能自理特困人员集中供养率达到</w:t>
      </w:r>
      <w:r>
        <w:rPr>
          <w:rFonts w:ascii="Times New Roman" w:hAnsi="Times New Roman" w:eastAsia="仿宋_GB2312"/>
          <w:color w:val="000000"/>
          <w:sz w:val="32"/>
          <w:szCs w:val="32"/>
          <w:shd w:val="clear" w:color="auto" w:fill="FFFFFF"/>
        </w:rPr>
        <w:t>50%</w:t>
      </w:r>
      <w:r>
        <w:rPr>
          <w:rFonts w:hint="eastAsia" w:ascii="Times New Roman" w:hAnsi="仿宋_GB2312" w:eastAsia="仿宋_GB2312"/>
          <w:color w:val="000000"/>
          <w:sz w:val="32"/>
          <w:szCs w:val="32"/>
          <w:shd w:val="clear" w:color="auto" w:fill="FFFFFF"/>
        </w:rPr>
        <w:t>。</w:t>
      </w:r>
    </w:p>
    <w:p>
      <w:pPr>
        <w:spacing w:line="580" w:lineRule="exact"/>
        <w:ind w:firstLine="640"/>
        <w:rPr>
          <w:rFonts w:ascii="Times New Roman" w:hAnsi="Times New Roman" w:eastAsia="仿宋_GB2312"/>
          <w:color w:val="000000"/>
          <w:sz w:val="32"/>
          <w:szCs w:val="32"/>
          <w:shd w:val="clear" w:color="auto" w:fill="FFFFFF"/>
        </w:rPr>
      </w:pPr>
      <w:r>
        <w:rPr>
          <w:rFonts w:hint="eastAsia" w:ascii="楷体_GB2312" w:hAnsi="楷体" w:eastAsia="楷体_GB2312"/>
          <w:b/>
          <w:color w:val="000000"/>
          <w:sz w:val="32"/>
          <w:szCs w:val="32"/>
          <w:shd w:val="clear" w:color="auto" w:fill="FFFFFF"/>
        </w:rPr>
        <w:t>（八）实施民办养老机构消防安全达标工程。</w:t>
      </w:r>
      <w:r>
        <w:rPr>
          <w:rFonts w:hint="eastAsia" w:ascii="Times New Roman" w:hAnsi="仿宋_GB2312" w:eastAsia="仿宋_GB2312"/>
          <w:color w:val="000000"/>
          <w:sz w:val="32"/>
          <w:szCs w:val="32"/>
          <w:shd w:val="clear" w:color="auto" w:fill="FFFFFF"/>
        </w:rPr>
        <w:t>启动实施民办养老机构消防安全达标工程，各级福利彩票公益金对社会办养老机构消防改造达标给予适当奖补。建立完善消防安全责任体系，明确民办养老机构消防安全主体责任。消防救援机构要认真履行对养老机构消防监督管理责任，依法对养老机构消防安全工作开展执法监督，及时督促养老机构整改消防安全隐患。</w:t>
      </w:r>
    </w:p>
    <w:p>
      <w:pPr>
        <w:spacing w:line="580" w:lineRule="exact"/>
        <w:ind w:firstLine="640"/>
        <w:rPr>
          <w:rFonts w:ascii="Times New Roman" w:hAnsi="Times New Roman" w:eastAsia="仿宋_GB2312"/>
          <w:color w:val="000000"/>
          <w:sz w:val="32"/>
          <w:szCs w:val="32"/>
          <w:shd w:val="clear" w:color="auto" w:fill="FFFFFF"/>
        </w:rPr>
      </w:pPr>
      <w:r>
        <w:rPr>
          <w:rFonts w:hint="eastAsia" w:ascii="Times New Roman" w:hAnsi="楷体" w:eastAsia="楷体"/>
          <w:b/>
          <w:color w:val="000000"/>
          <w:sz w:val="32"/>
          <w:szCs w:val="32"/>
          <w:shd w:val="clear" w:color="auto" w:fill="FFFFFF"/>
        </w:rPr>
        <w:t>（</w:t>
      </w:r>
      <w:r>
        <w:rPr>
          <w:rFonts w:hint="eastAsia" w:ascii="楷体_GB2312" w:hAnsi="楷体" w:eastAsia="楷体_GB2312"/>
          <w:b/>
          <w:color w:val="000000"/>
          <w:sz w:val="32"/>
          <w:szCs w:val="32"/>
          <w:shd w:val="clear" w:color="auto" w:fill="FFFFFF"/>
        </w:rPr>
        <w:t>九）加强养老机构综合监管。</w:t>
      </w:r>
      <w:r>
        <w:rPr>
          <w:rFonts w:hint="eastAsia" w:ascii="Times New Roman" w:hAnsi="仿宋_GB2312" w:eastAsia="仿宋_GB2312"/>
          <w:color w:val="000000"/>
          <w:sz w:val="32"/>
          <w:szCs w:val="32"/>
          <w:shd w:val="clear" w:color="auto" w:fill="FFFFFF"/>
        </w:rPr>
        <w:t>做好养老机构备案工作，切实加强养老机构的事中事后监管，同时将相关优惠政策与备案、基本规范达标、强制性标准达标挂钩。建立信息互通机制，市场监管部门要及时将养老机构新设立信息通过市场监管共享平台推送给民政部门，民政部门通过查询共享平台、备案及其他渠道掌握的新成立养老机构，在掌握相关信息后</w:t>
      </w:r>
      <w:r>
        <w:rPr>
          <w:rFonts w:ascii="Times New Roman" w:hAnsi="Times New Roman" w:eastAsia="仿宋_GB2312"/>
          <w:color w:val="000000"/>
          <w:sz w:val="32"/>
          <w:szCs w:val="32"/>
          <w:shd w:val="clear" w:color="auto" w:fill="FFFFFF"/>
        </w:rPr>
        <w:t>10</w:t>
      </w:r>
      <w:r>
        <w:rPr>
          <w:rFonts w:hint="eastAsia" w:ascii="Times New Roman" w:hAnsi="仿宋_GB2312" w:eastAsia="仿宋_GB2312"/>
          <w:color w:val="000000"/>
          <w:sz w:val="32"/>
          <w:szCs w:val="32"/>
          <w:shd w:val="clear" w:color="auto" w:fill="FFFFFF"/>
        </w:rPr>
        <w:t>个工作日内，对其开展现场检查指导，指导督促其在全国养老机构业务管理系统填报相关情况；不具备消防、医疗卫生、食品经营许可条件的，及时通报相关部门依法处置；不符合《养老机构管理办法》或存在风险隐患的，立即督促整改。</w:t>
      </w:r>
    </w:p>
    <w:p>
      <w:pPr>
        <w:spacing w:line="580" w:lineRule="exact"/>
        <w:ind w:firstLine="479" w:firstLineChars="149"/>
        <w:rPr>
          <w:rFonts w:ascii="Times New Roman" w:hAnsi="Times New Roman" w:eastAsia="仿宋_GB2312"/>
          <w:color w:val="000000"/>
          <w:sz w:val="32"/>
          <w:szCs w:val="32"/>
          <w:shd w:val="clear" w:color="auto" w:fill="FFFFFF"/>
        </w:rPr>
      </w:pPr>
      <w:r>
        <w:rPr>
          <w:rFonts w:hint="eastAsia" w:ascii="楷体_GB2312" w:hAnsi="楷体" w:eastAsia="楷体_GB2312"/>
          <w:b/>
          <w:color w:val="000000"/>
          <w:sz w:val="32"/>
          <w:szCs w:val="32"/>
          <w:shd w:val="clear" w:color="auto" w:fill="FFFFFF"/>
        </w:rPr>
        <w:t>（十）及时更新全国养老机构业务管理系统数据。</w:t>
      </w:r>
      <w:r>
        <w:rPr>
          <w:rFonts w:hint="eastAsia" w:ascii="Times New Roman" w:hAnsi="Times New Roman" w:eastAsia="仿宋_GB2312"/>
          <w:color w:val="000000"/>
          <w:sz w:val="32"/>
        </w:rPr>
        <w:t>各养老机构要高度重视系统数据填报工作，及时将</w:t>
      </w:r>
      <w:r>
        <w:rPr>
          <w:rFonts w:hint="eastAsia" w:ascii="Times New Roman" w:hAnsi="Times New Roman" w:eastAsia="仿宋_GB2312"/>
          <w:sz w:val="32"/>
        </w:rPr>
        <w:t>整改情况录入系统，确保整改涉及的指标及</w:t>
      </w:r>
      <w:r>
        <w:rPr>
          <w:rFonts w:hint="eastAsia" w:ascii="Times New Roman" w:hAnsi="Times New Roman" w:eastAsia="仿宋_GB2312"/>
          <w:color w:val="000000"/>
          <w:sz w:val="32"/>
        </w:rPr>
        <w:t>时更新；民政部门安排专人负责将养老机构的核查结果在</w:t>
      </w:r>
      <w:r>
        <w:rPr>
          <w:rFonts w:ascii="Times New Roman" w:hAnsi="Times New Roman" w:eastAsia="仿宋_GB2312"/>
          <w:color w:val="000000"/>
          <w:sz w:val="32"/>
        </w:rPr>
        <w:t>2</w:t>
      </w:r>
      <w:r>
        <w:rPr>
          <w:rFonts w:hint="eastAsia" w:ascii="Times New Roman" w:hAnsi="Times New Roman" w:eastAsia="仿宋_GB2312"/>
          <w:color w:val="000000"/>
          <w:sz w:val="32"/>
        </w:rPr>
        <w:t>日内录入系统，体现整治成效。</w:t>
      </w:r>
      <w:r>
        <w:rPr>
          <w:rFonts w:hint="eastAsia" w:ascii="Times New Roman" w:hAnsi="Times New Roman" w:eastAsia="仿宋_GB2312"/>
          <w:sz w:val="32"/>
          <w:szCs w:val="32"/>
        </w:rPr>
        <w:t>新成立养老机构要设立账户并填报数据，已撤并和暂停服务的养老机构要及时更新运营状态，严格审核养老机构填报信息。</w:t>
      </w:r>
    </w:p>
    <w:p>
      <w:pPr>
        <w:spacing w:line="580" w:lineRule="exact"/>
        <w:ind w:firstLine="480" w:firstLineChars="15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 xml:space="preserve"> </w:t>
      </w:r>
      <w:r>
        <w:rPr>
          <w:rFonts w:hint="eastAsia" w:ascii="Times New Roman" w:hAnsi="Times New Roman" w:eastAsia="黑体"/>
          <w:color w:val="000000"/>
          <w:sz w:val="32"/>
          <w:szCs w:val="32"/>
          <w:shd w:val="clear" w:color="auto" w:fill="FFFFFF"/>
        </w:rPr>
        <w:t>三、实施步骤</w:t>
      </w:r>
    </w:p>
    <w:p>
      <w:pPr>
        <w:spacing w:line="580" w:lineRule="exact"/>
        <w:ind w:firstLine="482" w:firstLineChars="150"/>
        <w:rPr>
          <w:rFonts w:ascii="Times New Roman" w:hAnsi="Times New Roman" w:eastAsia="楷体_GB2312"/>
          <w:b/>
          <w:sz w:val="32"/>
          <w:szCs w:val="32"/>
        </w:rPr>
      </w:pPr>
      <w:r>
        <w:rPr>
          <w:rFonts w:hint="eastAsia" w:ascii="Times New Roman" w:hAnsi="Times New Roman" w:eastAsia="楷体_GB2312"/>
          <w:b/>
          <w:sz w:val="32"/>
          <w:szCs w:val="32"/>
        </w:rPr>
        <w:t>（一）安排部署阶段（</w:t>
      </w:r>
      <w:r>
        <w:rPr>
          <w:rFonts w:ascii="Times New Roman" w:hAnsi="Times New Roman" w:eastAsia="楷体_GB2312"/>
          <w:b/>
          <w:sz w:val="32"/>
          <w:szCs w:val="32"/>
        </w:rPr>
        <w:t>6</w:t>
      </w:r>
      <w:r>
        <w:rPr>
          <w:rFonts w:hint="eastAsia" w:ascii="Times New Roman" w:hAnsi="Times New Roman" w:eastAsia="楷体_GB2312"/>
          <w:b/>
          <w:sz w:val="32"/>
          <w:szCs w:val="32"/>
        </w:rPr>
        <w:t>月</w:t>
      </w:r>
      <w:r>
        <w:rPr>
          <w:rFonts w:ascii="Times New Roman" w:hAnsi="Times New Roman" w:eastAsia="楷体_GB2312"/>
          <w:b/>
          <w:sz w:val="32"/>
          <w:szCs w:val="32"/>
        </w:rPr>
        <w:t>30</w:t>
      </w:r>
      <w:r>
        <w:rPr>
          <w:rFonts w:hint="eastAsia" w:ascii="Times New Roman" w:hAnsi="Times New Roman" w:eastAsia="楷体_GB2312"/>
          <w:b/>
          <w:sz w:val="32"/>
          <w:szCs w:val="32"/>
        </w:rPr>
        <w:t>日前）</w:t>
      </w:r>
    </w:p>
    <w:p>
      <w:pPr>
        <w:spacing w:line="580" w:lineRule="exact"/>
        <w:ind w:firstLine="640" w:firstLineChars="200"/>
        <w:rPr>
          <w:rFonts w:ascii="Times New Roman" w:hAnsi="Times New Roman" w:eastAsia="黑体"/>
          <w:color w:val="000000"/>
          <w:sz w:val="32"/>
          <w:szCs w:val="32"/>
          <w:shd w:val="clear" w:color="auto" w:fill="FFFFFF"/>
        </w:rPr>
      </w:pPr>
      <w:r>
        <w:rPr>
          <w:rFonts w:hint="eastAsia" w:ascii="Times New Roman" w:hAnsi="仿宋_GB2312" w:eastAsia="仿宋_GB2312"/>
          <w:sz w:val="32"/>
          <w:szCs w:val="32"/>
          <w:shd w:val="clear" w:color="auto" w:fill="FFFFFF"/>
        </w:rPr>
        <w:t>制定实施方案，</w:t>
      </w:r>
      <w:r>
        <w:rPr>
          <w:rFonts w:hint="eastAsia" w:ascii="Times New Roman" w:hAnsi="Times New Roman" w:eastAsia="仿宋_GB2312"/>
          <w:sz w:val="32"/>
          <w:szCs w:val="32"/>
          <w:shd w:val="clear" w:color="auto" w:fill="FFFFFF"/>
        </w:rPr>
        <w:t>进行全区养老院服务质量建设专项行动动员。养老机构服务质量建设专项行动领导小组按实施方案要求，明确各部门任务分工、细化工作措施、广泛组织发动养老机构，结合实际迅即开展专项行动。</w:t>
      </w:r>
    </w:p>
    <w:p>
      <w:pPr>
        <w:autoSpaceDN w:val="0"/>
        <w:spacing w:line="580" w:lineRule="exact"/>
        <w:ind w:firstLine="630" w:firstLineChars="196"/>
        <w:rPr>
          <w:rFonts w:ascii="Times New Roman" w:hAnsi="Times New Roman" w:eastAsia="楷体_GB2312"/>
          <w:b/>
          <w:sz w:val="32"/>
          <w:szCs w:val="32"/>
        </w:rPr>
      </w:pPr>
      <w:r>
        <w:rPr>
          <w:rFonts w:hint="eastAsia" w:ascii="Times New Roman" w:hAnsi="Times New Roman" w:eastAsia="楷体_GB2312"/>
          <w:b/>
          <w:sz w:val="32"/>
          <w:szCs w:val="32"/>
        </w:rPr>
        <w:t>（二）组织实施阶段（</w:t>
      </w:r>
      <w:r>
        <w:rPr>
          <w:rFonts w:ascii="Times New Roman" w:hAnsi="Times New Roman" w:eastAsia="楷体_GB2312"/>
          <w:b/>
          <w:sz w:val="32"/>
          <w:szCs w:val="32"/>
        </w:rPr>
        <w:t>6</w:t>
      </w:r>
      <w:r>
        <w:rPr>
          <w:rFonts w:hint="eastAsia" w:ascii="Times New Roman" w:hAnsi="Times New Roman" w:eastAsia="楷体_GB2312"/>
          <w:b/>
          <w:sz w:val="32"/>
          <w:szCs w:val="32"/>
        </w:rPr>
        <w:t>月下旬至</w:t>
      </w:r>
      <w:r>
        <w:rPr>
          <w:rFonts w:ascii="Times New Roman" w:hAnsi="Times New Roman" w:eastAsia="楷体_GB2312"/>
          <w:b/>
          <w:sz w:val="32"/>
          <w:szCs w:val="32"/>
        </w:rPr>
        <w:t>9</w:t>
      </w:r>
      <w:r>
        <w:rPr>
          <w:rFonts w:hint="eastAsia" w:ascii="Times New Roman" w:hAnsi="Times New Roman" w:eastAsia="楷体_GB2312"/>
          <w:b/>
          <w:sz w:val="32"/>
          <w:szCs w:val="32"/>
        </w:rPr>
        <w:t>月底）</w:t>
      </w:r>
    </w:p>
    <w:p>
      <w:pPr>
        <w:autoSpaceDN w:val="0"/>
        <w:spacing w:line="580" w:lineRule="exact"/>
        <w:ind w:firstLine="627" w:firstLineChars="196"/>
        <w:rPr>
          <w:rFonts w:ascii="Times New Roman" w:hAnsi="Times New Roman" w:eastAsia="楷体_GB2312"/>
          <w:b/>
          <w:sz w:val="32"/>
          <w:szCs w:val="32"/>
        </w:rPr>
      </w:pPr>
      <w:r>
        <w:rPr>
          <w:rFonts w:ascii="Times New Roman" w:hAnsi="Times New Roman" w:eastAsia="仿宋_GB2312"/>
          <w:color w:val="000000"/>
          <w:sz w:val="32"/>
          <w:szCs w:val="32"/>
          <w:shd w:val="clear" w:color="auto" w:fill="FFFFFF"/>
        </w:rPr>
        <w:t>1.6</w:t>
      </w:r>
      <w:r>
        <w:rPr>
          <w:rFonts w:hint="eastAsia" w:ascii="Times New Roman" w:hAnsi="仿宋_GB2312" w:eastAsia="仿宋_GB2312"/>
          <w:color w:val="000000"/>
          <w:sz w:val="32"/>
          <w:szCs w:val="32"/>
          <w:shd w:val="clear" w:color="auto" w:fill="FFFFFF"/>
        </w:rPr>
        <w:t>月</w:t>
      </w:r>
      <w:r>
        <w:rPr>
          <w:rFonts w:ascii="Times New Roman" w:hAnsi="Times New Roman" w:eastAsia="仿宋_GB2312"/>
          <w:color w:val="000000"/>
          <w:sz w:val="32"/>
          <w:szCs w:val="32"/>
          <w:shd w:val="clear" w:color="auto" w:fill="FFFFFF"/>
        </w:rPr>
        <w:t>30</w:t>
      </w:r>
      <w:r>
        <w:rPr>
          <w:rFonts w:hint="eastAsia" w:ascii="Times New Roman" w:hAnsi="仿宋_GB2312" w:eastAsia="仿宋_GB2312"/>
          <w:color w:val="000000"/>
          <w:sz w:val="32"/>
          <w:szCs w:val="32"/>
          <w:shd w:val="clear" w:color="auto" w:fill="FFFFFF"/>
        </w:rPr>
        <w:t>日之前完成养老机构重大风险隐患排查汇总，形成隐患清单、整改清单，报送卫生健康、消防救援、市场监管部门。</w:t>
      </w:r>
    </w:p>
    <w:p>
      <w:pPr>
        <w:pStyle w:val="4"/>
        <w:widowControl/>
        <w:shd w:val="clear" w:color="auto" w:fill="FFFFFF"/>
        <w:spacing w:beforeAutospacing="0" w:afterAutospacing="0" w:line="580" w:lineRule="exact"/>
        <w:ind w:firstLine="640"/>
        <w:rPr>
          <w:rFonts w:ascii="Times New Roman" w:hAnsi="Times New Roman" w:eastAsia="仿宋_GB2312"/>
          <w:color w:val="000000"/>
          <w:sz w:val="32"/>
          <w:szCs w:val="32"/>
          <w:shd w:val="clear" w:color="auto" w:fill="FFFFFF"/>
        </w:rPr>
      </w:pPr>
      <w:r>
        <w:rPr>
          <w:rFonts w:ascii="Times New Roman" w:hAnsi="Times New Roman" w:eastAsia="仿宋_GB2312"/>
          <w:color w:val="000000"/>
          <w:kern w:val="2"/>
          <w:sz w:val="32"/>
          <w:szCs w:val="32"/>
          <w:shd w:val="clear" w:color="auto" w:fill="FFFFFF"/>
        </w:rPr>
        <w:t>2</w:t>
      </w:r>
      <w:r>
        <w:rPr>
          <w:rFonts w:hint="eastAsia" w:ascii="Times New Roman" w:hAnsi="仿宋_GB2312" w:eastAsia="仿宋_GB2312"/>
          <w:color w:val="000000"/>
          <w:kern w:val="2"/>
          <w:sz w:val="32"/>
          <w:szCs w:val="32"/>
          <w:shd w:val="clear" w:color="auto" w:fill="FFFFFF"/>
        </w:rPr>
        <w:t>．</w:t>
      </w:r>
      <w:r>
        <w:rPr>
          <w:rFonts w:ascii="Times New Roman" w:hAnsi="Times New Roman" w:eastAsia="仿宋_GB2312"/>
          <w:color w:val="000000"/>
          <w:kern w:val="2"/>
          <w:sz w:val="32"/>
          <w:szCs w:val="32"/>
          <w:shd w:val="clear" w:color="auto" w:fill="FFFFFF"/>
        </w:rPr>
        <w:t>6</w:t>
      </w:r>
      <w:r>
        <w:rPr>
          <w:rFonts w:hint="eastAsia" w:ascii="Times New Roman" w:hAnsi="仿宋_GB2312" w:eastAsia="仿宋_GB2312"/>
          <w:color w:val="000000"/>
          <w:kern w:val="2"/>
          <w:sz w:val="32"/>
          <w:szCs w:val="32"/>
          <w:shd w:val="clear" w:color="auto" w:fill="FFFFFF"/>
        </w:rPr>
        <w:t>月底之前会同相关部门研究清除养老院重大风险隐患整治方案，列出时间表、责任人，对难以整治达标的养老机构，提请政府</w:t>
      </w:r>
      <w:r>
        <w:rPr>
          <w:rFonts w:hint="eastAsia" w:ascii="Times New Roman" w:hAnsi="仿宋_GB2312" w:eastAsia="仿宋_GB2312"/>
          <w:color w:val="000000"/>
          <w:sz w:val="32"/>
          <w:szCs w:val="32"/>
          <w:shd w:val="clear" w:color="auto" w:fill="FFFFFF"/>
        </w:rPr>
        <w:t>依法取缔、关停、撤并。</w:t>
      </w:r>
    </w:p>
    <w:p>
      <w:pPr>
        <w:pStyle w:val="4"/>
        <w:widowControl/>
        <w:shd w:val="clear" w:color="auto" w:fill="FFFFFF"/>
        <w:spacing w:beforeAutospacing="0" w:afterAutospacing="0" w:line="580" w:lineRule="exact"/>
        <w:ind w:firstLine="640"/>
        <w:jc w:val="both"/>
        <w:rPr>
          <w:rFonts w:ascii="Times New Roman" w:hAnsi="Times New Roman" w:eastAsia="仿宋_GB2312"/>
          <w:kern w:val="2"/>
          <w:sz w:val="32"/>
          <w:szCs w:val="32"/>
          <w:shd w:val="clear" w:color="auto" w:fill="FFFFFF"/>
        </w:rPr>
      </w:pPr>
      <w:r>
        <w:rPr>
          <w:rFonts w:ascii="Times New Roman" w:hAnsi="Times New Roman" w:eastAsia="仿宋_GB2312"/>
          <w:color w:val="000000"/>
          <w:sz w:val="32"/>
          <w:szCs w:val="32"/>
          <w:shd w:val="clear" w:color="auto" w:fill="FFFFFF"/>
        </w:rPr>
        <w:t>3</w:t>
      </w:r>
      <w:r>
        <w:rPr>
          <w:rFonts w:hint="eastAsia" w:ascii="Times New Roman" w:hAnsi="仿宋_GB2312" w:eastAsia="仿宋_GB2312"/>
          <w:color w:val="000000"/>
          <w:sz w:val="32"/>
          <w:szCs w:val="32"/>
          <w:shd w:val="clear" w:color="auto" w:fill="FFFFFF"/>
        </w:rPr>
        <w:t>．</w:t>
      </w:r>
      <w:r>
        <w:rPr>
          <w:rFonts w:ascii="Times New Roman" w:hAnsi="Times New Roman" w:eastAsia="仿宋_GB2312"/>
          <w:color w:val="000000"/>
          <w:kern w:val="2"/>
          <w:sz w:val="32"/>
          <w:szCs w:val="32"/>
          <w:shd w:val="clear" w:color="auto" w:fill="FFFFFF"/>
        </w:rPr>
        <w:t>8</w:t>
      </w:r>
      <w:r>
        <w:rPr>
          <w:rFonts w:hint="eastAsia" w:ascii="Times New Roman" w:hAnsi="仿宋_GB2312" w:eastAsia="仿宋_GB2312"/>
          <w:color w:val="000000"/>
          <w:kern w:val="2"/>
          <w:sz w:val="32"/>
          <w:szCs w:val="32"/>
          <w:shd w:val="clear" w:color="auto" w:fill="FFFFFF"/>
        </w:rPr>
        <w:t>月上中旬联合消防救援部门完成对辖区内养老机构消防安全隐患整改情况进行督查，并适时组织互查；</w:t>
      </w:r>
      <w:r>
        <w:rPr>
          <w:rFonts w:ascii="Times New Roman" w:hAnsi="Times New Roman" w:eastAsia="仿宋_GB2312"/>
          <w:color w:val="000000"/>
          <w:kern w:val="2"/>
          <w:sz w:val="32"/>
          <w:szCs w:val="32"/>
          <w:shd w:val="clear" w:color="auto" w:fill="FFFFFF"/>
        </w:rPr>
        <w:t>8</w:t>
      </w:r>
      <w:r>
        <w:rPr>
          <w:rFonts w:hint="eastAsia" w:ascii="Times New Roman" w:hAnsi="仿宋_GB2312" w:eastAsia="仿宋_GB2312"/>
          <w:color w:val="000000"/>
          <w:kern w:val="2"/>
          <w:sz w:val="32"/>
          <w:szCs w:val="32"/>
          <w:shd w:val="clear" w:color="auto" w:fill="FFFFFF"/>
        </w:rPr>
        <w:t>月中下旬按照省级部署接受消防安全隐患整治市市互查。</w:t>
      </w:r>
      <w:r>
        <w:rPr>
          <w:rFonts w:ascii="Times New Roman" w:hAnsi="仿宋_GB2312" w:eastAsia="仿宋_GB2312"/>
          <w:color w:val="000000"/>
          <w:kern w:val="2"/>
          <w:sz w:val="32"/>
          <w:szCs w:val="32"/>
          <w:shd w:val="clear" w:color="auto" w:fill="FFFFFF"/>
        </w:rPr>
        <w:t>9</w:t>
      </w:r>
      <w:r>
        <w:rPr>
          <w:rFonts w:hint="eastAsia" w:ascii="Times New Roman" w:hAnsi="仿宋_GB2312" w:eastAsia="仿宋_GB2312"/>
          <w:color w:val="000000"/>
          <w:kern w:val="2"/>
          <w:sz w:val="32"/>
          <w:szCs w:val="32"/>
          <w:shd w:val="clear" w:color="auto" w:fill="FFFFFF"/>
        </w:rPr>
        <w:t>月</w:t>
      </w:r>
      <w:r>
        <w:rPr>
          <w:rFonts w:ascii="Times New Roman" w:hAnsi="Times New Roman" w:eastAsia="仿宋_GB2312"/>
          <w:kern w:val="2"/>
          <w:sz w:val="32"/>
          <w:szCs w:val="32"/>
          <w:shd w:val="clear" w:color="auto" w:fill="FFFFFF"/>
        </w:rPr>
        <w:t>10</w:t>
      </w:r>
      <w:r>
        <w:rPr>
          <w:rFonts w:hint="eastAsia" w:ascii="Times New Roman" w:hAnsi="仿宋_GB2312" w:eastAsia="仿宋_GB2312"/>
          <w:kern w:val="2"/>
          <w:sz w:val="32"/>
          <w:szCs w:val="32"/>
          <w:shd w:val="clear" w:color="auto" w:fill="FFFFFF"/>
        </w:rPr>
        <w:t>日前，区民政部门、消防救援部门向市级部门上报养老院消防安全隐患整治完成情况，以及需要提请省级人民政府集中研究解决消防前置问题的辖区内养老机构台账。</w:t>
      </w:r>
    </w:p>
    <w:p>
      <w:pPr>
        <w:pStyle w:val="4"/>
        <w:widowControl/>
        <w:shd w:val="clear" w:color="auto" w:fill="FFFFFF"/>
        <w:spacing w:beforeAutospacing="0" w:afterAutospacing="0" w:line="580" w:lineRule="exact"/>
        <w:ind w:firstLine="640"/>
        <w:rPr>
          <w:rFonts w:ascii="Times New Roman" w:hAnsi="Times New Roman" w:eastAsia="仿宋_GB2312"/>
          <w:kern w:val="2"/>
          <w:sz w:val="32"/>
          <w:szCs w:val="32"/>
          <w:shd w:val="clear" w:color="auto" w:fill="FFFFFF"/>
        </w:rPr>
      </w:pPr>
      <w:r>
        <w:rPr>
          <w:rFonts w:ascii="Times New Roman" w:hAnsi="Times New Roman" w:eastAsia="仿宋_GB2312"/>
          <w:kern w:val="2"/>
          <w:sz w:val="32"/>
          <w:szCs w:val="32"/>
          <w:shd w:val="clear" w:color="auto" w:fill="FFFFFF"/>
        </w:rPr>
        <w:t>4. 6</w:t>
      </w:r>
      <w:r>
        <w:rPr>
          <w:rFonts w:hint="eastAsia" w:ascii="Times New Roman" w:hAnsi="仿宋_GB2312" w:eastAsia="仿宋_GB2312"/>
          <w:kern w:val="2"/>
          <w:sz w:val="32"/>
          <w:szCs w:val="32"/>
          <w:shd w:val="clear" w:color="auto" w:fill="FFFFFF"/>
        </w:rPr>
        <w:t>月</w:t>
      </w:r>
      <w:r>
        <w:rPr>
          <w:rFonts w:ascii="Times New Roman" w:hAnsi="Times New Roman" w:eastAsia="仿宋_GB2312"/>
          <w:kern w:val="2"/>
          <w:sz w:val="32"/>
          <w:szCs w:val="32"/>
          <w:shd w:val="clear" w:color="auto" w:fill="FFFFFF"/>
        </w:rPr>
        <w:t>20</w:t>
      </w:r>
      <w:r>
        <w:rPr>
          <w:rFonts w:hint="eastAsia" w:ascii="Times New Roman" w:hAnsi="仿宋_GB2312" w:eastAsia="仿宋_GB2312"/>
          <w:kern w:val="2"/>
          <w:sz w:val="32"/>
          <w:szCs w:val="32"/>
          <w:shd w:val="clear" w:color="auto" w:fill="FFFFFF"/>
        </w:rPr>
        <w:t>日前将开展非法集资排查整治情况报市级民政部门（内容主要包括排查整治工作及成效、行业现状、风险情况、存在突出问题和意见建议）。</w:t>
      </w:r>
    </w:p>
    <w:p>
      <w:pPr>
        <w:pStyle w:val="4"/>
        <w:widowControl/>
        <w:shd w:val="clear" w:color="auto" w:fill="FFFFFF"/>
        <w:spacing w:beforeAutospacing="0" w:afterAutospacing="0" w:line="580" w:lineRule="exact"/>
        <w:ind w:firstLine="640"/>
        <w:rPr>
          <w:rFonts w:ascii="Times New Roman" w:hAnsi="Times New Roman" w:eastAsia="仿宋_GB2312"/>
          <w:kern w:val="2"/>
          <w:sz w:val="32"/>
          <w:szCs w:val="32"/>
          <w:shd w:val="clear" w:color="auto" w:fill="FFFFFF"/>
        </w:rPr>
      </w:pPr>
      <w:r>
        <w:rPr>
          <w:rFonts w:ascii="Times New Roman" w:hAnsi="仿宋_GB2312" w:eastAsia="仿宋_GB2312"/>
          <w:kern w:val="2"/>
          <w:sz w:val="32"/>
          <w:szCs w:val="32"/>
          <w:shd w:val="clear" w:color="auto" w:fill="FFFFFF"/>
        </w:rPr>
        <w:t>5.9</w:t>
      </w:r>
      <w:r>
        <w:rPr>
          <w:rFonts w:hint="eastAsia" w:ascii="Times New Roman" w:hAnsi="仿宋_GB2312" w:eastAsia="仿宋_GB2312"/>
          <w:kern w:val="2"/>
          <w:sz w:val="32"/>
          <w:szCs w:val="32"/>
          <w:shd w:val="clear" w:color="auto" w:fill="FFFFFF"/>
        </w:rPr>
        <w:t>月底前市级民政部门将向社会公布第一批符合《养老机构服务质量基本规范》国家标准的养老机构名单。</w:t>
      </w:r>
    </w:p>
    <w:p>
      <w:pPr>
        <w:autoSpaceDN w:val="0"/>
        <w:spacing w:line="580" w:lineRule="exact"/>
        <w:ind w:firstLine="630" w:firstLineChars="196"/>
        <w:rPr>
          <w:rFonts w:ascii="Times New Roman" w:hAnsi="Times New Roman" w:eastAsia="楷体_GB2312"/>
          <w:b/>
          <w:sz w:val="32"/>
          <w:szCs w:val="32"/>
        </w:rPr>
      </w:pPr>
      <w:r>
        <w:rPr>
          <w:rFonts w:hint="eastAsia" w:ascii="Times New Roman" w:hAnsi="Times New Roman" w:eastAsia="楷体_GB2312"/>
          <w:b/>
          <w:sz w:val="32"/>
          <w:szCs w:val="32"/>
        </w:rPr>
        <w:t>（三）总结推广阶段（</w:t>
      </w:r>
      <w:r>
        <w:rPr>
          <w:rFonts w:ascii="Times New Roman" w:hAnsi="Times New Roman" w:eastAsia="楷体_GB2312"/>
          <w:b/>
          <w:sz w:val="32"/>
          <w:szCs w:val="32"/>
        </w:rPr>
        <w:t>10</w:t>
      </w:r>
      <w:r>
        <w:rPr>
          <w:rFonts w:hint="eastAsia" w:ascii="Times New Roman" w:hAnsi="Times New Roman" w:eastAsia="楷体_GB2312"/>
          <w:b/>
          <w:sz w:val="32"/>
          <w:szCs w:val="32"/>
        </w:rPr>
        <w:t>月至年底）</w:t>
      </w:r>
    </w:p>
    <w:p>
      <w:pPr>
        <w:pStyle w:val="4"/>
        <w:widowControl/>
        <w:shd w:val="clear" w:color="auto" w:fill="FFFFFF"/>
        <w:spacing w:beforeAutospacing="0" w:afterAutospacing="0" w:line="580" w:lineRule="exact"/>
        <w:ind w:firstLine="640"/>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1.10</w:t>
      </w:r>
      <w:r>
        <w:rPr>
          <w:rFonts w:hint="eastAsia" w:ascii="Times New Roman" w:hAnsi="仿宋_GB2312" w:eastAsia="仿宋_GB2312"/>
          <w:color w:val="000000"/>
          <w:kern w:val="2"/>
          <w:sz w:val="32"/>
          <w:szCs w:val="32"/>
          <w:shd w:val="clear" w:color="auto" w:fill="FFFFFF"/>
        </w:rPr>
        <w:t>月底前，接受市民政部门结合“双随机、一公开”工作对养老机构整改情况进行抽检，向社会公布第二批</w:t>
      </w:r>
      <w:r>
        <w:rPr>
          <w:rFonts w:hint="eastAsia" w:ascii="Times New Roman" w:hAnsi="仿宋_GB2312" w:eastAsia="仿宋_GB2312"/>
          <w:color w:val="000000"/>
          <w:sz w:val="32"/>
          <w:szCs w:val="32"/>
          <w:shd w:val="clear" w:color="auto" w:fill="FFFFFF"/>
        </w:rPr>
        <w:t>符合《养老机构服务质量基本规范》国家标准的养老机构名单</w:t>
      </w:r>
      <w:r>
        <w:rPr>
          <w:rFonts w:hint="eastAsia" w:ascii="Times New Roman" w:hAnsi="仿宋_GB2312" w:eastAsia="仿宋_GB2312"/>
          <w:color w:val="000000"/>
          <w:kern w:val="2"/>
          <w:sz w:val="32"/>
          <w:szCs w:val="32"/>
          <w:shd w:val="clear" w:color="auto" w:fill="FFFFFF"/>
        </w:rPr>
        <w:t>。</w:t>
      </w:r>
    </w:p>
    <w:p>
      <w:pPr>
        <w:pStyle w:val="4"/>
        <w:widowControl/>
        <w:shd w:val="clear" w:color="auto" w:fill="FFFFFF"/>
        <w:spacing w:beforeAutospacing="0" w:afterAutospacing="0" w:line="580" w:lineRule="exact"/>
        <w:ind w:firstLine="640"/>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2</w:t>
      </w:r>
      <w:r>
        <w:rPr>
          <w:rFonts w:hint="eastAsia" w:ascii="Times New Roman" w:hAnsi="仿宋_GB2312" w:eastAsia="仿宋_GB2312"/>
          <w:color w:val="000000"/>
          <w:kern w:val="2"/>
          <w:sz w:val="32"/>
          <w:szCs w:val="32"/>
          <w:shd w:val="clear" w:color="auto" w:fill="FFFFFF"/>
        </w:rPr>
        <w:t>．</w:t>
      </w:r>
      <w:r>
        <w:rPr>
          <w:rFonts w:ascii="Times New Roman" w:hAnsi="Times New Roman" w:eastAsia="仿宋_GB2312"/>
          <w:color w:val="000000"/>
          <w:kern w:val="2"/>
          <w:sz w:val="32"/>
          <w:szCs w:val="32"/>
          <w:shd w:val="clear" w:color="auto" w:fill="FFFFFF"/>
        </w:rPr>
        <w:t>11</w:t>
      </w:r>
      <w:r>
        <w:rPr>
          <w:rFonts w:hint="eastAsia" w:ascii="Times New Roman" w:hAnsi="仿宋_GB2312" w:eastAsia="仿宋_GB2312"/>
          <w:color w:val="000000"/>
          <w:kern w:val="2"/>
          <w:sz w:val="32"/>
          <w:szCs w:val="32"/>
          <w:shd w:val="clear" w:color="auto" w:fill="FFFFFF"/>
        </w:rPr>
        <w:t>月中旬根据权限公布</w:t>
      </w:r>
      <w:r>
        <w:rPr>
          <w:rFonts w:hint="eastAsia" w:ascii="Times New Roman" w:hAnsi="仿宋_GB2312" w:eastAsia="仿宋_GB2312"/>
          <w:color w:val="000000"/>
          <w:sz w:val="32"/>
          <w:szCs w:val="32"/>
          <w:shd w:val="clear" w:color="auto" w:fill="FFFFFF"/>
        </w:rPr>
        <w:t>符合《养老机构等级划分与评定》国家标准的等级养老机构名单。</w:t>
      </w:r>
    </w:p>
    <w:p>
      <w:pPr>
        <w:pStyle w:val="4"/>
        <w:widowControl/>
        <w:shd w:val="clear" w:color="auto" w:fill="FFFFFF"/>
        <w:spacing w:beforeAutospacing="0" w:afterAutospacing="0" w:line="580" w:lineRule="exact"/>
        <w:rPr>
          <w:rFonts w:ascii="Times New Roman" w:hAnsi="Times New Roman" w:eastAsia="仿宋_GB2312"/>
          <w:color w:val="000000"/>
          <w:kern w:val="2"/>
          <w:sz w:val="32"/>
          <w:szCs w:val="32"/>
          <w:shd w:val="clear" w:color="auto" w:fill="FFFFFF"/>
        </w:rPr>
      </w:pPr>
      <w:r>
        <w:rPr>
          <w:rFonts w:hint="eastAsia" w:ascii="Times New Roman" w:hAnsi="仿宋_GB2312" w:eastAsia="仿宋_GB2312"/>
          <w:color w:val="000000"/>
          <w:kern w:val="2"/>
          <w:sz w:val="32"/>
          <w:szCs w:val="32"/>
          <w:shd w:val="clear" w:color="auto" w:fill="FFFFFF"/>
        </w:rPr>
        <w:t>　　</w:t>
      </w:r>
      <w:r>
        <w:rPr>
          <w:rFonts w:ascii="Times New Roman" w:hAnsi="Times New Roman" w:eastAsia="仿宋_GB2312"/>
          <w:color w:val="000000"/>
          <w:kern w:val="2"/>
          <w:sz w:val="32"/>
          <w:szCs w:val="32"/>
          <w:shd w:val="clear" w:color="auto" w:fill="FFFFFF"/>
        </w:rPr>
        <w:t>3.11</w:t>
      </w:r>
      <w:r>
        <w:rPr>
          <w:rFonts w:hint="eastAsia" w:ascii="Times New Roman" w:hAnsi="仿宋_GB2312" w:eastAsia="仿宋_GB2312"/>
          <w:color w:val="000000"/>
          <w:kern w:val="2"/>
          <w:sz w:val="32"/>
          <w:szCs w:val="32"/>
          <w:shd w:val="clear" w:color="auto" w:fill="FFFFFF"/>
        </w:rPr>
        <w:t>月</w:t>
      </w:r>
      <w:r>
        <w:rPr>
          <w:rFonts w:ascii="Times New Roman" w:hAnsi="Times New Roman" w:eastAsia="仿宋_GB2312"/>
          <w:color w:val="000000"/>
          <w:kern w:val="2"/>
          <w:sz w:val="32"/>
          <w:szCs w:val="32"/>
          <w:shd w:val="clear" w:color="auto" w:fill="FFFFFF"/>
        </w:rPr>
        <w:t>15</w:t>
      </w:r>
      <w:r>
        <w:rPr>
          <w:rFonts w:hint="eastAsia" w:ascii="Times New Roman" w:hAnsi="仿宋_GB2312" w:eastAsia="仿宋_GB2312"/>
          <w:color w:val="000000"/>
          <w:kern w:val="2"/>
          <w:sz w:val="32"/>
          <w:szCs w:val="32"/>
          <w:shd w:val="clear" w:color="auto" w:fill="FFFFFF"/>
        </w:rPr>
        <w:t>日前，将专项行动情况进行全面总结，形成总结报告报市级民政部门。</w:t>
      </w:r>
    </w:p>
    <w:p>
      <w:pPr>
        <w:pStyle w:val="4"/>
        <w:widowControl/>
        <w:shd w:val="clear" w:color="auto" w:fill="FFFFFF"/>
        <w:spacing w:beforeAutospacing="0" w:afterAutospacing="0" w:line="580" w:lineRule="exact"/>
        <w:ind w:firstLine="645"/>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4.12</w:t>
      </w:r>
      <w:r>
        <w:rPr>
          <w:rFonts w:hint="eastAsia" w:ascii="Times New Roman" w:hAnsi="仿宋_GB2312" w:eastAsia="仿宋_GB2312"/>
          <w:color w:val="000000"/>
          <w:kern w:val="2"/>
          <w:sz w:val="32"/>
          <w:szCs w:val="32"/>
          <w:shd w:val="clear" w:color="auto" w:fill="FFFFFF"/>
        </w:rPr>
        <w:t>月上旬，总结分析工作成效，宣传推广一批先进典型。</w:t>
      </w:r>
    </w:p>
    <w:p>
      <w:pPr>
        <w:adjustRightInd w:val="0"/>
        <w:snapToGrid w:val="0"/>
        <w:spacing w:line="580" w:lineRule="exact"/>
        <w:ind w:firstLine="640" w:firstLineChars="200"/>
        <w:rPr>
          <w:rFonts w:ascii="Times New Roman" w:hAnsi="Times New Roman" w:eastAsia="黑体"/>
          <w:sz w:val="32"/>
          <w:szCs w:val="32"/>
        </w:rPr>
      </w:pPr>
      <w:r>
        <w:rPr>
          <w:rFonts w:hint="eastAsia" w:ascii="Times New Roman" w:eastAsia="黑体"/>
          <w:sz w:val="32"/>
          <w:szCs w:val="32"/>
        </w:rPr>
        <w:t>四、职责分工</w:t>
      </w:r>
    </w:p>
    <w:p>
      <w:pPr>
        <w:adjustRightInd w:val="0"/>
        <w:snapToGrid w:val="0"/>
        <w:spacing w:line="58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（一）养老院</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对照《全国养老院服务质量大检查指南》中</w:t>
      </w:r>
      <w:r>
        <w:rPr>
          <w:rFonts w:ascii="Times New Roman" w:hAnsi="Times New Roman" w:eastAsia="仿宋_GB2312"/>
          <w:sz w:val="32"/>
          <w:szCs w:val="32"/>
        </w:rPr>
        <w:t>28</w:t>
      </w:r>
      <w:r>
        <w:rPr>
          <w:rFonts w:hint="eastAsia" w:ascii="Times New Roman" w:hAnsi="Times New Roman" w:eastAsia="仿宋_GB2312"/>
          <w:sz w:val="32"/>
          <w:szCs w:val="32"/>
        </w:rPr>
        <w:t>项涉及重大安全隐患指标、</w:t>
      </w:r>
      <w:r>
        <w:rPr>
          <w:rFonts w:ascii="Times New Roman" w:hAnsi="Times New Roman" w:eastAsia="仿宋_GB2312"/>
          <w:sz w:val="32"/>
          <w:szCs w:val="32"/>
        </w:rPr>
        <w:t>9</w:t>
      </w:r>
      <w:r>
        <w:rPr>
          <w:rFonts w:hint="eastAsia" w:ascii="Times New Roman" w:hAnsi="Times New Roman" w:eastAsia="仿宋_GB2312"/>
          <w:sz w:val="32"/>
          <w:szCs w:val="32"/>
        </w:rPr>
        <w:t>类消防安全突出问题及《养老机构服务质量基本规范》，逐项自查整改，属于自身整改的，明确整改措施、时限和责任人；自身难以整改且属于政府管理部门职责的，如实向主管部门报告；如实填报</w:t>
      </w:r>
      <w:r>
        <w:rPr>
          <w:rFonts w:ascii="Times New Roman" w:hAnsi="Times New Roman" w:eastAsia="仿宋_GB2312"/>
          <w:sz w:val="32"/>
          <w:szCs w:val="32"/>
        </w:rPr>
        <w:t>“</w:t>
      </w:r>
      <w:r>
        <w:rPr>
          <w:rFonts w:hint="eastAsia" w:ascii="Times New Roman" w:hAnsi="Times New Roman" w:eastAsia="仿宋_GB2312"/>
          <w:sz w:val="32"/>
          <w:szCs w:val="32"/>
        </w:rPr>
        <w:t>全国养老机构业务管理系统</w:t>
      </w:r>
      <w:r>
        <w:rPr>
          <w:rFonts w:ascii="Times New Roman" w:hAnsi="Times New Roman" w:eastAsia="仿宋_GB2312"/>
          <w:sz w:val="32"/>
          <w:szCs w:val="32"/>
        </w:rPr>
        <w:t>”</w:t>
      </w:r>
      <w:r>
        <w:rPr>
          <w:rFonts w:hint="eastAsia" w:ascii="Times New Roman" w:hAnsi="Times New Roman" w:eastAsia="仿宋_GB2312"/>
          <w:sz w:val="32"/>
          <w:szCs w:val="32"/>
        </w:rPr>
        <w:t>并实时更新。</w:t>
      </w:r>
    </w:p>
    <w:p>
      <w:pPr>
        <w:adjustRightInd w:val="0"/>
        <w:snapToGrid w:val="0"/>
        <w:spacing w:line="58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（二）属地街道办事处（镇政府、开发区管委会）</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负责对本级举办的养老院存在的安全隐患、服务质量问题整改进行督查，属于本级解决的问题，明确整改措施、时限和责任人；对辖区内未经许可的养老院有关情况如实上报区级工作协调小组；配合有关部门取缔、关停非法养老院。</w:t>
      </w:r>
    </w:p>
    <w:p>
      <w:pPr>
        <w:adjustRightInd w:val="0"/>
        <w:snapToGrid w:val="0"/>
        <w:spacing w:line="58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（三）区级工作协调小组</w:t>
      </w:r>
    </w:p>
    <w:p>
      <w:pPr>
        <w:autoSpaceDN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负责对辖区内养老院存在的安全隐患、服务质量问题整改情况进行核查评估，督促整改落实，将核查情况填报</w:t>
      </w:r>
      <w:r>
        <w:rPr>
          <w:rFonts w:ascii="Times New Roman" w:hAnsi="Times New Roman" w:eastAsia="仿宋_GB2312"/>
          <w:sz w:val="32"/>
          <w:szCs w:val="32"/>
        </w:rPr>
        <w:t>“</w:t>
      </w:r>
      <w:r>
        <w:rPr>
          <w:rFonts w:hint="eastAsia" w:ascii="Times New Roman" w:hAnsi="Times New Roman" w:eastAsia="仿宋_GB2312"/>
          <w:sz w:val="32"/>
          <w:szCs w:val="32"/>
        </w:rPr>
        <w:t>全国养老机构业务管理系统</w:t>
      </w:r>
      <w:r>
        <w:rPr>
          <w:rFonts w:ascii="Times New Roman" w:hAnsi="Times New Roman" w:eastAsia="仿宋_GB2312"/>
          <w:sz w:val="32"/>
          <w:szCs w:val="32"/>
        </w:rPr>
        <w:t>”</w:t>
      </w:r>
      <w:r>
        <w:rPr>
          <w:rFonts w:hint="eastAsia" w:ascii="Times New Roman" w:hAnsi="Times New Roman" w:eastAsia="仿宋_GB2312"/>
          <w:sz w:val="32"/>
          <w:szCs w:val="32"/>
        </w:rPr>
        <w:t>；对养老院自查自纠的问题进行分析梳理，属于区级层面的问题，明确整改措施、时限和责任人；属于市、省解决的问题，如实逐级上报；召开协调会议解决消防许可前置手续问题和其他问题；组织进行检查互查，对整改后仍达不到许可条件的养老院，组织部门联合执法予以关停并转；工作情况及时报上级工作协调小组和区委区政府。</w:t>
      </w:r>
    </w:p>
    <w:p>
      <w:pPr>
        <w:adjustRightInd w:val="0"/>
        <w:snapToGrid w:val="0"/>
        <w:spacing w:line="58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（四）各相关部门</w:t>
      </w:r>
    </w:p>
    <w:p>
      <w:pPr>
        <w:autoSpaceDN w:val="0"/>
        <w:spacing w:line="580" w:lineRule="exact"/>
        <w:ind w:firstLine="640" w:firstLineChars="200"/>
        <w:rPr>
          <w:rFonts w:eastAsia="仿宋_GB2312"/>
          <w:sz w:val="32"/>
          <w:szCs w:val="32"/>
        </w:rPr>
      </w:pPr>
      <w:r>
        <w:rPr>
          <w:rFonts w:hint="eastAsia" w:eastAsia="仿宋_GB2312"/>
          <w:sz w:val="32"/>
          <w:szCs w:val="32"/>
        </w:rPr>
        <w:t>各相关部门按照职责分工，对照检查指标，做好有关业务指导和培训、日常监管和查处、集中督查检查等项工作。</w:t>
      </w:r>
    </w:p>
    <w:p>
      <w:pPr>
        <w:autoSpaceDN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民政部门按照权限负责养老院法人登记、备案和日常监管工作，牵头组织开展养老院服务质量检查和整治，对违反违法违规的行为依法进行处罚。牵头开展养老机构等级评价。</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绿化园林管理部门负责养老院燃气安全监管工作，加强养老院燃气安全检查和安全隐患整治工作。配合民政部门开展养老机构等级评价。</w:t>
      </w:r>
    </w:p>
    <w:p>
      <w:pPr>
        <w:autoSpaceDN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卫生健康部门负责养老院开办医疗机构的许可（备案）和日常监管工作，加强养老机构内设医疗机构的业务指导和培训，与民政部门联合推动建立健全医疗机构与养老院合作机制。配合民政部门开展养老机构等级评价。</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应急管理部门、消防救援部门依法对养老院进行消防监督检查，加强对民政部门业务指导和培训，依法查处消防违法行为。配合民政部门开展养老机构消防安全隐患检查、养老机构等级评价。</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市场监管部门负责养老院食品经营许可工作，加强养老院食品药品日常监管。配合民政部门开展养老机构等级评价，查处对养老机构和老年人</w:t>
      </w:r>
      <w:r>
        <w:rPr>
          <w:rFonts w:ascii="Times New Roman" w:hAnsi="Times New Roman" w:eastAsia="仿宋_GB2312"/>
          <w:sz w:val="32"/>
          <w:szCs w:val="32"/>
        </w:rPr>
        <w:t>“</w:t>
      </w:r>
      <w:r>
        <w:rPr>
          <w:rFonts w:hint="eastAsia" w:ascii="Times New Roman" w:hAnsi="Times New Roman" w:eastAsia="仿宋_GB2312"/>
          <w:sz w:val="32"/>
          <w:szCs w:val="32"/>
        </w:rPr>
        <w:t>保健</w:t>
      </w:r>
      <w:r>
        <w:rPr>
          <w:rFonts w:ascii="Times New Roman" w:hAnsi="Times New Roman" w:eastAsia="仿宋_GB2312"/>
          <w:sz w:val="32"/>
          <w:szCs w:val="32"/>
        </w:rPr>
        <w:t>”</w:t>
      </w:r>
      <w:r>
        <w:rPr>
          <w:rFonts w:hint="eastAsia" w:ascii="Times New Roman" w:hAnsi="Times New Roman" w:eastAsia="仿宋_GB2312"/>
          <w:sz w:val="32"/>
          <w:szCs w:val="32"/>
        </w:rPr>
        <w:t>产品消费欺诈行为。</w:t>
      </w:r>
    </w:p>
    <w:p>
      <w:pPr>
        <w:adjustRightInd w:val="0"/>
        <w:snapToGrid w:val="0"/>
        <w:spacing w:line="580" w:lineRule="exact"/>
        <w:ind w:firstLine="640" w:firstLineChars="200"/>
        <w:rPr>
          <w:rFonts w:ascii="Times New Roman" w:eastAsia="黑体"/>
          <w:sz w:val="32"/>
          <w:szCs w:val="32"/>
        </w:rPr>
      </w:pPr>
      <w:r>
        <w:rPr>
          <w:rFonts w:hint="eastAsia" w:ascii="Times New Roman" w:eastAsia="黑体"/>
          <w:sz w:val="32"/>
          <w:szCs w:val="32"/>
        </w:rPr>
        <w:t>五、保障措施</w:t>
      </w:r>
    </w:p>
    <w:p>
      <w:pPr>
        <w:adjustRightInd w:val="0"/>
        <w:snapToGrid w:val="0"/>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（一）加强领导，协同配合。</w:t>
      </w:r>
      <w:r>
        <w:rPr>
          <w:rFonts w:hint="eastAsia" w:ascii="Times New Roman" w:hAnsi="Times New Roman" w:eastAsia="仿宋_GB2312"/>
          <w:sz w:val="32"/>
          <w:szCs w:val="32"/>
        </w:rPr>
        <w:t>养老院服务质量建设专项行动是习近平总书记亲自部署的一项关系广大老年人福祉的大事。区专项行动协调小组要充分发挥协调作用，各相关单位要积极配合与支持，形成工作合力，在不折不扣完成</w:t>
      </w:r>
      <w:r>
        <w:rPr>
          <w:rFonts w:ascii="Times New Roman" w:hAnsi="Times New Roman" w:eastAsia="仿宋_GB2312"/>
          <w:sz w:val="32"/>
          <w:szCs w:val="32"/>
        </w:rPr>
        <w:t>“</w:t>
      </w:r>
      <w:r>
        <w:rPr>
          <w:rFonts w:hint="eastAsia" w:ascii="Times New Roman" w:hAnsi="Times New Roman" w:eastAsia="仿宋_GB2312"/>
          <w:sz w:val="32"/>
          <w:szCs w:val="32"/>
        </w:rPr>
        <w:t>规定动作</w:t>
      </w:r>
      <w:r>
        <w:rPr>
          <w:rFonts w:ascii="Times New Roman" w:hAnsi="Times New Roman" w:eastAsia="仿宋_GB2312"/>
          <w:sz w:val="32"/>
          <w:szCs w:val="32"/>
        </w:rPr>
        <w:t>”</w:t>
      </w:r>
      <w:r>
        <w:rPr>
          <w:rFonts w:hint="eastAsia" w:ascii="Times New Roman" w:hAnsi="Times New Roman" w:eastAsia="仿宋_GB2312"/>
          <w:sz w:val="32"/>
          <w:szCs w:val="32"/>
        </w:rPr>
        <w:t>的基础上，加大对本辖区内养老院服务质量中存在的突出问题整治与养老院服务质量的提升。</w:t>
      </w:r>
    </w:p>
    <w:p>
      <w:pPr>
        <w:adjustRightInd w:val="0"/>
        <w:snapToGrid w:val="0"/>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（二）经费支持，积极创建。</w:t>
      </w:r>
      <w:r>
        <w:rPr>
          <w:rFonts w:hint="eastAsia" w:eastAsia="仿宋_GB2312"/>
          <w:sz w:val="32"/>
          <w:szCs w:val="32"/>
        </w:rPr>
        <w:t>彩票公益金优先用于专项行动，同时争取财政资金、慈善捐赠资金、社会力量投资等对专项行动的支持。相关经费要优先保障特困人员供养服务机构（敬老院），重点支持养老机构消防设施硬件改造。将相关扶持政策与质量建设挂钩，对达标养老机构给予优惠政策倾斜。</w:t>
      </w:r>
    </w:p>
    <w:p>
      <w:pPr>
        <w:adjustRightInd w:val="0"/>
        <w:snapToGrid w:val="0"/>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（三）监督检查，务求成效。</w:t>
      </w:r>
      <w:r>
        <w:rPr>
          <w:rFonts w:hint="eastAsia" w:ascii="Times New Roman" w:hAnsi="Times New Roman" w:eastAsia="仿宋_GB2312"/>
          <w:sz w:val="32"/>
          <w:szCs w:val="32"/>
        </w:rPr>
        <w:t>落实专项行动联系点制度，区协调小组各成员单位分别联系包点</w:t>
      </w:r>
      <w:r>
        <w:rPr>
          <w:rFonts w:ascii="Times New Roman" w:hAnsi="Times New Roman" w:eastAsia="仿宋_GB2312"/>
          <w:sz w:val="32"/>
          <w:szCs w:val="32"/>
        </w:rPr>
        <w:t>1-2</w:t>
      </w:r>
      <w:r>
        <w:rPr>
          <w:rFonts w:hint="eastAsia" w:ascii="Times New Roman" w:hAnsi="Times New Roman" w:eastAsia="仿宋_GB2312"/>
          <w:sz w:val="32"/>
          <w:szCs w:val="32"/>
        </w:rPr>
        <w:t>家养老院，按照</w:t>
      </w:r>
      <w:r>
        <w:rPr>
          <w:rFonts w:ascii="Times New Roman" w:hAnsi="Times New Roman" w:eastAsia="仿宋_GB2312"/>
          <w:sz w:val="32"/>
          <w:szCs w:val="32"/>
        </w:rPr>
        <w:t>2019</w:t>
      </w:r>
      <w:r>
        <w:rPr>
          <w:rFonts w:hint="eastAsia" w:ascii="Times New Roman" w:hAnsi="Times New Roman" w:eastAsia="仿宋_GB2312"/>
          <w:sz w:val="32"/>
          <w:szCs w:val="32"/>
        </w:rPr>
        <w:t>年专项行动目标任务要求，督促包点单位开展专项行动，务求取得实效。检查督查可采取实地调研、问卷调查、明察暗访、召开座谈会等形式，与包点养老院、入住老年人及家属进行走访调研，了解具体情况，掌握详细需求。</w:t>
      </w:r>
    </w:p>
    <w:p>
      <w:pPr>
        <w:adjustRightInd w:val="0"/>
        <w:snapToGrid w:val="0"/>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（四）强化整改，加大处罚。</w:t>
      </w:r>
      <w:r>
        <w:rPr>
          <w:rFonts w:hint="eastAsia" w:ascii="Times New Roman" w:hAnsi="Times New Roman" w:eastAsia="仿宋_GB2312"/>
          <w:sz w:val="32"/>
          <w:szCs w:val="32"/>
        </w:rPr>
        <w:t>对不达标养老院进行督促指导整改，对存在违法违纪违规的养老院依法处置，坚决查处侵害老年人人身财产权益的违法行为，杜绝安全生产责任事故；对因不履行或不正确履行职责，造成严重后果或不良影响的部门和个人，提请相关部门依法依规处置。</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各相关街镇开发区要严格按照属地管理工作职责要求，做好辖区内养老院服务质量专项行动相关工作。</w:t>
      </w:r>
      <w:r>
        <w:rPr>
          <w:rFonts w:ascii="Times New Roman" w:hAnsi="Times New Roman" w:eastAsia="仿宋_GB2312"/>
          <w:sz w:val="32"/>
          <w:szCs w:val="32"/>
        </w:rPr>
        <w:t>2019</w:t>
      </w:r>
      <w:r>
        <w:rPr>
          <w:rFonts w:hint="eastAsia" w:ascii="Times New Roman" w:hAnsi="Times New Roman" w:eastAsia="仿宋_GB2312"/>
          <w:sz w:val="32"/>
          <w:szCs w:val="32"/>
        </w:rPr>
        <w:t>年专项行动开展情况纳入年度民政工作目标考核范围。</w:t>
      </w:r>
    </w:p>
    <w:p>
      <w:pPr>
        <w:adjustRightInd w:val="0"/>
        <w:snapToGrid w:val="0"/>
        <w:spacing w:line="580" w:lineRule="exact"/>
        <w:ind w:firstLine="640" w:firstLineChars="200"/>
        <w:rPr>
          <w:rFonts w:ascii="Times New Roman" w:hAnsi="Times New Roman" w:eastAsia="仿宋_GB2312"/>
          <w:sz w:val="32"/>
          <w:szCs w:val="32"/>
        </w:rPr>
      </w:pP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eastAsia="仿宋_GB2312"/>
          <w:sz w:val="32"/>
          <w:szCs w:val="32"/>
        </w:rPr>
        <w:t>附件：</w:t>
      </w:r>
      <w:r>
        <w:rPr>
          <w:rFonts w:ascii="Times New Roman" w:hAnsi="Times New Roman" w:eastAsia="仿宋_GB2312"/>
          <w:sz w:val="32"/>
          <w:szCs w:val="32"/>
        </w:rPr>
        <w:t>1.</w:t>
      </w:r>
      <w:r>
        <w:rPr>
          <w:rFonts w:hint="eastAsia" w:ascii="Times New Roman" w:eastAsia="仿宋_GB2312"/>
          <w:sz w:val="32"/>
          <w:szCs w:val="32"/>
        </w:rPr>
        <w:t>养老机构重大风险隐患检查指标及整治建议</w:t>
      </w:r>
    </w:p>
    <w:p>
      <w:pPr>
        <w:adjustRightInd w:val="0"/>
        <w:snapToGrid w:val="0"/>
        <w:spacing w:line="580" w:lineRule="exact"/>
        <w:ind w:left="1818" w:leftChars="304" w:hanging="1180" w:hangingChars="369"/>
        <w:rPr>
          <w:rFonts w:ascii="Times New Roman" w:hAnsi="Times New Roman" w:eastAsia="仿宋_GB2312"/>
          <w:sz w:val="32"/>
          <w:szCs w:val="32"/>
        </w:rPr>
      </w:pPr>
      <w:r>
        <w:rPr>
          <w:rFonts w:ascii="Times New Roman" w:hAnsi="Times New Roman" w:eastAsia="仿宋_GB2312"/>
          <w:sz w:val="32"/>
          <w:szCs w:val="32"/>
        </w:rPr>
        <w:t xml:space="preserve">      2.</w:t>
      </w:r>
      <w:r>
        <w:rPr>
          <w:rFonts w:hint="eastAsia" w:ascii="Times New Roman" w:eastAsia="仿宋_GB2312"/>
          <w:sz w:val="32"/>
          <w:szCs w:val="32"/>
        </w:rPr>
        <w:t>养老机构重大风险隐患检查台账（全区养老院消防排查登记表）</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3.2019</w:t>
      </w:r>
      <w:r>
        <w:rPr>
          <w:rFonts w:hint="eastAsia" w:ascii="Times New Roman" w:eastAsia="仿宋_GB2312"/>
          <w:sz w:val="32"/>
          <w:szCs w:val="32"/>
        </w:rPr>
        <w:t>年养老院服务质量建设专项行动通报要点</w:t>
      </w:r>
    </w:p>
    <w:p>
      <w:pPr>
        <w:adjustRightInd w:val="0"/>
        <w:snapToGrid w:val="0"/>
        <w:spacing w:line="580" w:lineRule="exact"/>
        <w:ind w:firstLine="640" w:firstLineChars="200"/>
        <w:rPr>
          <w:rFonts w:ascii="仿宋_GB2312" w:eastAsia="仿宋_GB2312"/>
          <w:sz w:val="32"/>
          <w:szCs w:val="32"/>
        </w:rPr>
      </w:pPr>
    </w:p>
    <w:p>
      <w:pPr>
        <w:autoSpaceDN w:val="0"/>
        <w:spacing w:line="580" w:lineRule="exact"/>
        <w:ind w:firstLine="470" w:firstLineChars="147"/>
        <w:rPr>
          <w:rFonts w:ascii="仿宋_GB2312" w:hAnsi="仿宋_GB2312" w:eastAsia="仿宋_GB2312" w:cs="仿宋_GB2312"/>
          <w:color w:val="000000"/>
          <w:sz w:val="32"/>
          <w:szCs w:val="32"/>
        </w:rPr>
      </w:pPr>
    </w:p>
    <w:p>
      <w:pPr>
        <w:autoSpaceDN w:val="0"/>
        <w:spacing w:line="580" w:lineRule="exact"/>
        <w:ind w:firstLine="470" w:firstLineChars="147"/>
        <w:rPr>
          <w:rFonts w:ascii="仿宋_GB2312" w:hAnsi="仿宋_GB2312" w:eastAsia="仿宋_GB2312" w:cs="仿宋_GB2312"/>
          <w:color w:val="000000"/>
          <w:sz w:val="32"/>
          <w:szCs w:val="32"/>
        </w:rPr>
      </w:pPr>
    </w:p>
    <w:p>
      <w:pPr>
        <w:spacing w:line="580" w:lineRule="exact"/>
      </w:pPr>
    </w:p>
    <w:p>
      <w:pPr>
        <w:spacing w:line="580" w:lineRule="exact"/>
      </w:pPr>
    </w:p>
    <w:p>
      <w:pPr>
        <w:spacing w:line="580" w:lineRule="exact"/>
      </w:pPr>
    </w:p>
    <w:p>
      <w:pPr>
        <w:spacing w:line="600" w:lineRule="exact"/>
        <w:sectPr>
          <w:footerReference r:id="rId5" w:type="first"/>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p>
      <w:pPr>
        <w:spacing w:line="5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p>
    <w:p>
      <w:pPr>
        <w:jc w:val="center"/>
        <w:rPr>
          <w:rFonts w:ascii="黑体" w:hAnsi="黑体" w:eastAsia="黑体" w:cs="黑体"/>
          <w:sz w:val="32"/>
          <w:szCs w:val="32"/>
        </w:rPr>
      </w:pPr>
      <w:r>
        <w:rPr>
          <w:rFonts w:hint="eastAsia" w:ascii="黑体" w:hAnsi="黑体" w:eastAsia="黑体" w:cs="黑体"/>
          <w:sz w:val="32"/>
          <w:szCs w:val="32"/>
        </w:rPr>
        <w:t>养老机构重大风险隐患检查指标及整治建议</w:t>
      </w:r>
    </w:p>
    <w:tbl>
      <w:tblPr>
        <w:tblStyle w:val="5"/>
        <w:tblW w:w="143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1065"/>
        <w:gridCol w:w="3880"/>
        <w:gridCol w:w="3365"/>
        <w:gridCol w:w="5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753" w:type="dxa"/>
            <w:vAlign w:val="center"/>
          </w:tcPr>
          <w:p>
            <w:pPr>
              <w:jc w:val="center"/>
              <w:rPr>
                <w:b/>
                <w:bCs/>
                <w:sz w:val="24"/>
              </w:rPr>
            </w:pPr>
            <w:r>
              <w:rPr>
                <w:rFonts w:hint="eastAsia"/>
                <w:b/>
                <w:bCs/>
                <w:sz w:val="24"/>
              </w:rPr>
              <w:t>序号</w:t>
            </w:r>
          </w:p>
        </w:tc>
        <w:tc>
          <w:tcPr>
            <w:tcW w:w="1065" w:type="dxa"/>
            <w:vAlign w:val="center"/>
          </w:tcPr>
          <w:p>
            <w:pPr>
              <w:spacing w:line="360" w:lineRule="exact"/>
              <w:jc w:val="center"/>
              <w:rPr>
                <w:b/>
                <w:bCs/>
                <w:sz w:val="24"/>
              </w:rPr>
            </w:pPr>
            <w:r>
              <w:rPr>
                <w:rFonts w:hint="eastAsia"/>
                <w:b/>
                <w:bCs/>
                <w:sz w:val="24"/>
              </w:rPr>
              <w:t>原序号</w:t>
            </w:r>
          </w:p>
        </w:tc>
        <w:tc>
          <w:tcPr>
            <w:tcW w:w="3880" w:type="dxa"/>
            <w:vAlign w:val="center"/>
          </w:tcPr>
          <w:p>
            <w:pPr>
              <w:tabs>
                <w:tab w:val="left" w:pos="243"/>
              </w:tabs>
              <w:spacing w:line="360" w:lineRule="exact"/>
              <w:jc w:val="center"/>
              <w:rPr>
                <w:rFonts w:ascii="黑体" w:hAnsi="黑体" w:eastAsia="黑体" w:cs="黑体"/>
                <w:color w:val="000000"/>
                <w:sz w:val="24"/>
              </w:rPr>
            </w:pPr>
            <w:r>
              <w:rPr>
                <w:rFonts w:hint="eastAsia" w:ascii="黑体" w:hAnsi="黑体" w:eastAsia="黑体" w:cs="黑体"/>
                <w:color w:val="000000"/>
                <w:sz w:val="24"/>
              </w:rPr>
              <w:t>指标内容</w:t>
            </w:r>
          </w:p>
        </w:tc>
        <w:tc>
          <w:tcPr>
            <w:tcW w:w="3365" w:type="dxa"/>
            <w:vAlign w:val="center"/>
          </w:tcPr>
          <w:p>
            <w:pPr>
              <w:tabs>
                <w:tab w:val="left" w:pos="243"/>
              </w:tabs>
              <w:spacing w:line="360" w:lineRule="exact"/>
              <w:jc w:val="center"/>
              <w:rPr>
                <w:rFonts w:ascii="黑体" w:hAnsi="黑体" w:eastAsia="黑体" w:cs="黑体"/>
                <w:color w:val="000000"/>
                <w:sz w:val="24"/>
              </w:rPr>
            </w:pPr>
            <w:r>
              <w:rPr>
                <w:rFonts w:hint="eastAsia" w:ascii="黑体" w:hAnsi="黑体" w:eastAsia="黑体" w:cs="黑体"/>
                <w:color w:val="000000"/>
                <w:sz w:val="24"/>
              </w:rPr>
              <w:t>检查细则</w:t>
            </w:r>
          </w:p>
        </w:tc>
        <w:tc>
          <w:tcPr>
            <w:tcW w:w="5265" w:type="dxa"/>
            <w:vAlign w:val="center"/>
          </w:tcPr>
          <w:p>
            <w:pPr>
              <w:tabs>
                <w:tab w:val="left" w:pos="243"/>
              </w:tabs>
              <w:spacing w:line="360" w:lineRule="exact"/>
              <w:jc w:val="center"/>
              <w:rPr>
                <w:sz w:val="24"/>
              </w:rPr>
            </w:pPr>
            <w:r>
              <w:rPr>
                <w:rFonts w:hint="eastAsia" w:ascii="黑体" w:hAnsi="黑体" w:eastAsia="黑体" w:cs="黑体"/>
                <w:color w:val="000000"/>
                <w:sz w:val="24"/>
              </w:rPr>
              <w:t>不符合指标的整治建议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3" w:type="dxa"/>
            <w:vAlign w:val="center"/>
          </w:tcPr>
          <w:p>
            <w:pPr>
              <w:spacing w:line="360" w:lineRule="exact"/>
              <w:jc w:val="center"/>
              <w:rPr>
                <w:b/>
                <w:bCs/>
                <w:szCs w:val="21"/>
              </w:rPr>
            </w:pPr>
            <w:r>
              <w:rPr>
                <w:b/>
                <w:bCs/>
                <w:szCs w:val="21"/>
              </w:rPr>
              <w:t>1</w:t>
            </w:r>
          </w:p>
        </w:tc>
        <w:tc>
          <w:tcPr>
            <w:tcW w:w="1065" w:type="dxa"/>
            <w:vAlign w:val="center"/>
          </w:tcPr>
          <w:p>
            <w:pPr>
              <w:spacing w:line="360" w:lineRule="exact"/>
              <w:jc w:val="center"/>
              <w:rPr>
                <w:b/>
                <w:bCs/>
                <w:szCs w:val="21"/>
              </w:rPr>
            </w:pPr>
            <w:r>
              <w:rPr>
                <w:b/>
                <w:bCs/>
                <w:szCs w:val="21"/>
              </w:rPr>
              <w:t>2</w:t>
            </w:r>
          </w:p>
        </w:tc>
        <w:tc>
          <w:tcPr>
            <w:tcW w:w="3880" w:type="dxa"/>
            <w:vAlign w:val="center"/>
          </w:tcPr>
          <w:p>
            <w:pPr>
              <w:spacing w:line="360" w:lineRule="exact"/>
              <w:rPr>
                <w:szCs w:val="21"/>
              </w:rPr>
            </w:pPr>
            <w:r>
              <w:rPr>
                <w:rFonts w:hint="eastAsia"/>
                <w:szCs w:val="21"/>
              </w:rPr>
              <w:t>提供餐饮服务的养老院，应当依法办理市场监督管理部门颁发的《食品经营许可证》。</w:t>
            </w:r>
          </w:p>
        </w:tc>
        <w:tc>
          <w:tcPr>
            <w:tcW w:w="3365" w:type="dxa"/>
            <w:vAlign w:val="center"/>
          </w:tcPr>
          <w:p>
            <w:pPr>
              <w:spacing w:line="360" w:lineRule="exact"/>
              <w:rPr>
                <w:szCs w:val="21"/>
              </w:rPr>
            </w:pPr>
            <w:r>
              <w:rPr>
                <w:rFonts w:hint="eastAsia"/>
                <w:szCs w:val="21"/>
              </w:rPr>
              <w:t>自主提供餐饮服务的，不具备许可证或许可证过期的，不符合；委托餐饮服务企业提供餐饮服务的，未签订协议或餐饮服务企业不具备有效许可证，不符合。</w:t>
            </w:r>
          </w:p>
        </w:tc>
        <w:tc>
          <w:tcPr>
            <w:tcW w:w="5265" w:type="dxa"/>
            <w:vAlign w:val="center"/>
          </w:tcPr>
          <w:p>
            <w:pPr>
              <w:spacing w:line="360" w:lineRule="exact"/>
              <w:rPr>
                <w:szCs w:val="21"/>
              </w:rPr>
            </w:pPr>
            <w:bookmarkStart w:id="0" w:name="45"/>
            <w:bookmarkEnd w:id="0"/>
            <w:r>
              <w:rPr>
                <w:szCs w:val="21"/>
              </w:rPr>
              <w:t>1.</w:t>
            </w:r>
            <w:r>
              <w:rPr>
                <w:rFonts w:hint="eastAsia"/>
                <w:szCs w:val="21"/>
              </w:rPr>
              <w:t>依据市场监管部门意见整治。</w:t>
            </w:r>
          </w:p>
          <w:p>
            <w:pPr>
              <w:spacing w:line="360" w:lineRule="exact"/>
            </w:pPr>
            <w:r>
              <w:t>2.</w:t>
            </w:r>
            <w:r>
              <w:rPr>
                <w:rFonts w:hint="eastAsia"/>
              </w:rPr>
              <w:t>受</w:t>
            </w:r>
            <w:r>
              <w:rPr>
                <w:rFonts w:hint="eastAsia"/>
                <w:szCs w:val="21"/>
              </w:rPr>
              <w:t>委托餐饮服务企业不具备有效许可证的，须更换为有资质的企业。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5" w:hRule="atLeast"/>
          <w:jc w:val="center"/>
        </w:trPr>
        <w:tc>
          <w:tcPr>
            <w:tcW w:w="753" w:type="dxa"/>
            <w:vAlign w:val="center"/>
          </w:tcPr>
          <w:p>
            <w:pPr>
              <w:spacing w:line="360" w:lineRule="exact"/>
              <w:jc w:val="center"/>
              <w:rPr>
                <w:b/>
                <w:bCs/>
                <w:szCs w:val="21"/>
              </w:rPr>
            </w:pPr>
            <w:r>
              <w:rPr>
                <w:b/>
                <w:bCs/>
                <w:szCs w:val="21"/>
              </w:rPr>
              <w:t>2</w:t>
            </w:r>
          </w:p>
        </w:tc>
        <w:tc>
          <w:tcPr>
            <w:tcW w:w="1065" w:type="dxa"/>
            <w:vAlign w:val="center"/>
          </w:tcPr>
          <w:p>
            <w:pPr>
              <w:spacing w:line="360" w:lineRule="exact"/>
              <w:jc w:val="center"/>
              <w:rPr>
                <w:b/>
                <w:bCs/>
                <w:szCs w:val="21"/>
              </w:rPr>
            </w:pPr>
            <w:r>
              <w:rPr>
                <w:b/>
                <w:bCs/>
                <w:szCs w:val="21"/>
              </w:rPr>
              <w:t>3</w:t>
            </w:r>
          </w:p>
        </w:tc>
        <w:tc>
          <w:tcPr>
            <w:tcW w:w="3880" w:type="dxa"/>
            <w:vAlign w:val="center"/>
          </w:tcPr>
          <w:p>
            <w:pPr>
              <w:spacing w:line="360" w:lineRule="exact"/>
              <w:rPr>
                <w:szCs w:val="21"/>
              </w:rPr>
            </w:pPr>
            <w:r>
              <w:rPr>
                <w:rFonts w:hint="eastAsia"/>
                <w:szCs w:val="21"/>
              </w:rPr>
              <w:t>如有内设医疗机构，应取得医疗机构执业许可证。</w:t>
            </w:r>
          </w:p>
        </w:tc>
        <w:tc>
          <w:tcPr>
            <w:tcW w:w="3365" w:type="dxa"/>
            <w:vAlign w:val="center"/>
          </w:tcPr>
          <w:p>
            <w:pPr>
              <w:spacing w:line="360" w:lineRule="exact"/>
              <w:rPr>
                <w:szCs w:val="21"/>
              </w:rPr>
            </w:pPr>
            <w:r>
              <w:rPr>
                <w:rFonts w:hint="eastAsia"/>
                <w:szCs w:val="21"/>
              </w:rPr>
              <w:t>有内设医疗机构的，但不具备许可证或许可证过期的，不符合。</w:t>
            </w:r>
          </w:p>
        </w:tc>
        <w:tc>
          <w:tcPr>
            <w:tcW w:w="5265" w:type="dxa"/>
            <w:vAlign w:val="center"/>
          </w:tcPr>
          <w:p>
            <w:pPr>
              <w:spacing w:line="360" w:lineRule="exact"/>
              <w:rPr>
                <w:szCs w:val="21"/>
              </w:rPr>
            </w:pPr>
            <w:r>
              <w:rPr>
                <w:rFonts w:hint="eastAsia"/>
                <w:szCs w:val="21"/>
              </w:rPr>
              <w:t>依据卫生健康部门意见整治。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3</w:t>
            </w:r>
          </w:p>
        </w:tc>
        <w:tc>
          <w:tcPr>
            <w:tcW w:w="1065" w:type="dxa"/>
            <w:vAlign w:val="center"/>
          </w:tcPr>
          <w:p>
            <w:pPr>
              <w:spacing w:line="360" w:lineRule="exact"/>
              <w:jc w:val="center"/>
              <w:rPr>
                <w:b/>
                <w:bCs/>
                <w:szCs w:val="21"/>
              </w:rPr>
            </w:pPr>
            <w:r>
              <w:rPr>
                <w:b/>
                <w:bCs/>
                <w:szCs w:val="21"/>
              </w:rPr>
              <w:t>5</w:t>
            </w:r>
          </w:p>
        </w:tc>
        <w:tc>
          <w:tcPr>
            <w:tcW w:w="3880" w:type="dxa"/>
            <w:vAlign w:val="center"/>
          </w:tcPr>
          <w:p>
            <w:pPr>
              <w:spacing w:line="360" w:lineRule="exact"/>
              <w:rPr>
                <w:szCs w:val="21"/>
              </w:rPr>
            </w:pPr>
            <w:r>
              <w:rPr>
                <w:rFonts w:hint="eastAsia"/>
                <w:szCs w:val="21"/>
              </w:rPr>
              <w:t>养老护理员应接受岗前培训。</w:t>
            </w:r>
          </w:p>
        </w:tc>
        <w:tc>
          <w:tcPr>
            <w:tcW w:w="3365" w:type="dxa"/>
            <w:vAlign w:val="center"/>
          </w:tcPr>
          <w:p>
            <w:pPr>
              <w:spacing w:line="360" w:lineRule="exact"/>
              <w:rPr>
                <w:szCs w:val="21"/>
              </w:rPr>
            </w:pPr>
            <w:r>
              <w:rPr>
                <w:rFonts w:hint="eastAsia"/>
                <w:szCs w:val="21"/>
              </w:rPr>
              <w:t>有养老护理员未经过专业机构或养老机构内部培训合格上岗，不符合。</w:t>
            </w:r>
          </w:p>
        </w:tc>
        <w:tc>
          <w:tcPr>
            <w:tcW w:w="5265" w:type="dxa"/>
            <w:vAlign w:val="center"/>
          </w:tcPr>
          <w:p>
            <w:pPr>
              <w:numPr>
                <w:ilvl w:val="0"/>
                <w:numId w:val="1"/>
              </w:numPr>
              <w:spacing w:line="360" w:lineRule="exact"/>
              <w:rPr>
                <w:szCs w:val="21"/>
              </w:rPr>
            </w:pPr>
            <w:r>
              <w:rPr>
                <w:rFonts w:hint="eastAsia"/>
                <w:szCs w:val="21"/>
              </w:rPr>
              <w:t>养老机构建立内部岗前培训制度，未经岗前培训合格的养老护理员应停止上岗。</w:t>
            </w:r>
          </w:p>
          <w:p>
            <w:pPr>
              <w:numPr>
                <w:ilvl w:val="0"/>
                <w:numId w:val="1"/>
              </w:numPr>
              <w:spacing w:line="360" w:lineRule="exact"/>
              <w:rPr>
                <w:szCs w:val="21"/>
              </w:rPr>
            </w:pPr>
            <w:r>
              <w:rPr>
                <w:rFonts w:hint="eastAsia"/>
                <w:szCs w:val="21"/>
              </w:rPr>
              <w:t>民政部门通过购买服务等形式支持养老护理员培训。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4</w:t>
            </w:r>
          </w:p>
        </w:tc>
        <w:tc>
          <w:tcPr>
            <w:tcW w:w="1065" w:type="dxa"/>
            <w:vAlign w:val="center"/>
          </w:tcPr>
          <w:p>
            <w:pPr>
              <w:spacing w:line="360" w:lineRule="exact"/>
              <w:jc w:val="center"/>
              <w:rPr>
                <w:b/>
                <w:bCs/>
                <w:szCs w:val="21"/>
              </w:rPr>
            </w:pPr>
            <w:r>
              <w:rPr>
                <w:b/>
                <w:bCs/>
                <w:szCs w:val="21"/>
              </w:rPr>
              <w:t>7</w:t>
            </w:r>
          </w:p>
        </w:tc>
        <w:tc>
          <w:tcPr>
            <w:tcW w:w="3880" w:type="dxa"/>
            <w:vAlign w:val="center"/>
          </w:tcPr>
          <w:p>
            <w:pPr>
              <w:spacing w:line="360" w:lineRule="exact"/>
              <w:rPr>
                <w:szCs w:val="21"/>
              </w:rPr>
            </w:pPr>
            <w:r>
              <w:rPr>
                <w:rFonts w:hint="eastAsia"/>
                <w:szCs w:val="21"/>
              </w:rPr>
              <w:t>在养老院内开展服务的医生、护士等依法需要持证上岗的专业技术人员应持有与其岗位相适应的专业资格证书或执业证书。</w:t>
            </w:r>
          </w:p>
        </w:tc>
        <w:tc>
          <w:tcPr>
            <w:tcW w:w="3365" w:type="dxa"/>
            <w:vAlign w:val="center"/>
          </w:tcPr>
          <w:p>
            <w:pPr>
              <w:spacing w:line="360" w:lineRule="exact"/>
              <w:rPr>
                <w:szCs w:val="21"/>
              </w:rPr>
            </w:pPr>
            <w:r>
              <w:rPr>
                <w:rFonts w:hint="eastAsia"/>
                <w:szCs w:val="21"/>
              </w:rPr>
              <w:t>如有此类人员，没有</w:t>
            </w:r>
            <w:r>
              <w:rPr>
                <w:szCs w:val="21"/>
              </w:rPr>
              <w:t>100%</w:t>
            </w:r>
            <w:r>
              <w:rPr>
                <w:rFonts w:hint="eastAsia"/>
                <w:szCs w:val="21"/>
              </w:rPr>
              <w:t>持证上岗，不符合。</w:t>
            </w:r>
          </w:p>
        </w:tc>
        <w:tc>
          <w:tcPr>
            <w:tcW w:w="5265" w:type="dxa"/>
            <w:vAlign w:val="center"/>
          </w:tcPr>
          <w:p>
            <w:pPr>
              <w:spacing w:line="360" w:lineRule="exact"/>
              <w:rPr>
                <w:szCs w:val="21"/>
              </w:rPr>
            </w:pPr>
            <w:r>
              <w:rPr>
                <w:rFonts w:hint="eastAsia"/>
                <w:szCs w:val="21"/>
              </w:rPr>
              <w:t>未取得与其岗位相适应的专业资格证书或执业证书的医生、护士及其他人员应停止相关岗位工作。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5</w:t>
            </w:r>
          </w:p>
        </w:tc>
        <w:tc>
          <w:tcPr>
            <w:tcW w:w="1065" w:type="dxa"/>
            <w:vAlign w:val="center"/>
          </w:tcPr>
          <w:p>
            <w:pPr>
              <w:spacing w:line="360" w:lineRule="exact"/>
              <w:jc w:val="center"/>
              <w:rPr>
                <w:b/>
                <w:bCs/>
                <w:szCs w:val="21"/>
              </w:rPr>
            </w:pPr>
            <w:r>
              <w:rPr>
                <w:b/>
                <w:bCs/>
                <w:szCs w:val="21"/>
              </w:rPr>
              <w:t>11</w:t>
            </w:r>
          </w:p>
        </w:tc>
        <w:tc>
          <w:tcPr>
            <w:tcW w:w="3880" w:type="dxa"/>
            <w:vAlign w:val="center"/>
          </w:tcPr>
          <w:p>
            <w:pPr>
              <w:spacing w:line="360" w:lineRule="exact"/>
              <w:rPr>
                <w:szCs w:val="21"/>
              </w:rPr>
            </w:pPr>
            <w:r>
              <w:rPr>
                <w:rFonts w:hint="eastAsia"/>
                <w:szCs w:val="21"/>
              </w:rPr>
              <w:t>对老年人进行入院评估，根据老年人需求特点提供服务。</w:t>
            </w:r>
          </w:p>
        </w:tc>
        <w:tc>
          <w:tcPr>
            <w:tcW w:w="3365" w:type="dxa"/>
            <w:vAlign w:val="center"/>
          </w:tcPr>
          <w:p>
            <w:pPr>
              <w:spacing w:line="360" w:lineRule="exact"/>
              <w:rPr>
                <w:szCs w:val="21"/>
              </w:rPr>
            </w:pPr>
            <w:r>
              <w:rPr>
                <w:rFonts w:hint="eastAsia"/>
                <w:szCs w:val="21"/>
              </w:rPr>
              <w:t>没有入院评估制度，且未开展评估工作，不符合。</w:t>
            </w:r>
          </w:p>
        </w:tc>
        <w:tc>
          <w:tcPr>
            <w:tcW w:w="5265" w:type="dxa"/>
            <w:vAlign w:val="center"/>
          </w:tcPr>
          <w:p>
            <w:pPr>
              <w:spacing w:line="360" w:lineRule="exact"/>
              <w:rPr>
                <w:szCs w:val="21"/>
              </w:rPr>
            </w:pPr>
            <w:r>
              <w:rPr>
                <w:rFonts w:hint="eastAsia"/>
                <w:szCs w:val="21"/>
              </w:rPr>
              <w:t>养老机构依据行业标准《老年人能力评估标准》或地方相应标准建立入院评估制度。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6</w:t>
            </w:r>
          </w:p>
        </w:tc>
        <w:tc>
          <w:tcPr>
            <w:tcW w:w="1065" w:type="dxa"/>
            <w:vAlign w:val="center"/>
          </w:tcPr>
          <w:p>
            <w:pPr>
              <w:spacing w:line="360" w:lineRule="exact"/>
              <w:jc w:val="center"/>
              <w:rPr>
                <w:b/>
                <w:bCs/>
                <w:szCs w:val="21"/>
              </w:rPr>
            </w:pPr>
            <w:r>
              <w:rPr>
                <w:b/>
                <w:bCs/>
                <w:szCs w:val="21"/>
              </w:rPr>
              <w:t>20</w:t>
            </w:r>
          </w:p>
        </w:tc>
        <w:tc>
          <w:tcPr>
            <w:tcW w:w="3880" w:type="dxa"/>
            <w:vAlign w:val="center"/>
          </w:tcPr>
          <w:p>
            <w:pPr>
              <w:spacing w:line="360" w:lineRule="exact"/>
              <w:rPr>
                <w:szCs w:val="21"/>
              </w:rPr>
            </w:pPr>
            <w:r>
              <w:rPr>
                <w:rFonts w:hint="eastAsia"/>
                <w:szCs w:val="21"/>
              </w:rPr>
              <w:t>无虐老、欺老现象。</w:t>
            </w:r>
          </w:p>
        </w:tc>
        <w:tc>
          <w:tcPr>
            <w:tcW w:w="3365" w:type="dxa"/>
            <w:vAlign w:val="center"/>
          </w:tcPr>
          <w:p>
            <w:pPr>
              <w:spacing w:line="360" w:lineRule="exact"/>
              <w:rPr>
                <w:szCs w:val="21"/>
              </w:rPr>
            </w:pPr>
            <w:r>
              <w:rPr>
                <w:rFonts w:hint="eastAsia"/>
                <w:szCs w:val="21"/>
              </w:rPr>
              <w:t>如有欺老、虐老现象的，不符合。</w:t>
            </w:r>
          </w:p>
        </w:tc>
        <w:tc>
          <w:tcPr>
            <w:tcW w:w="5265" w:type="dxa"/>
            <w:vAlign w:val="center"/>
          </w:tcPr>
          <w:p>
            <w:pPr>
              <w:spacing w:line="360" w:lineRule="exact"/>
              <w:rPr>
                <w:szCs w:val="21"/>
              </w:rPr>
            </w:pPr>
            <w:r>
              <w:rPr>
                <w:rFonts w:hint="eastAsia"/>
                <w:szCs w:val="21"/>
              </w:rPr>
              <w:t>出现欺老、虐老现象的，要依法处置。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7</w:t>
            </w:r>
          </w:p>
        </w:tc>
        <w:tc>
          <w:tcPr>
            <w:tcW w:w="1065" w:type="dxa"/>
            <w:vAlign w:val="center"/>
          </w:tcPr>
          <w:p>
            <w:pPr>
              <w:spacing w:line="360" w:lineRule="exact"/>
              <w:jc w:val="center"/>
              <w:rPr>
                <w:b/>
                <w:bCs/>
                <w:szCs w:val="21"/>
              </w:rPr>
            </w:pPr>
            <w:r>
              <w:rPr>
                <w:b/>
                <w:bCs/>
                <w:szCs w:val="21"/>
              </w:rPr>
              <w:t>30</w:t>
            </w:r>
          </w:p>
        </w:tc>
        <w:tc>
          <w:tcPr>
            <w:tcW w:w="3880" w:type="dxa"/>
            <w:vAlign w:val="center"/>
          </w:tcPr>
          <w:p>
            <w:pPr>
              <w:spacing w:line="360" w:lineRule="exact"/>
              <w:rPr>
                <w:szCs w:val="21"/>
              </w:rPr>
            </w:pPr>
            <w:r>
              <w:rPr>
                <w:rFonts w:hint="eastAsia"/>
                <w:szCs w:val="21"/>
              </w:rPr>
              <w:t>养老机构应当履行食品安全管理责任，食品管理应符合有关规定。</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项不满足，不符合。</w:t>
            </w:r>
          </w:p>
        </w:tc>
        <w:tc>
          <w:tcPr>
            <w:tcW w:w="5265" w:type="dxa"/>
            <w:vAlign w:val="center"/>
          </w:tcPr>
          <w:p>
            <w:pPr>
              <w:rPr>
                <w:szCs w:val="21"/>
              </w:rPr>
            </w:pPr>
            <w:r>
              <w:rPr>
                <w:rFonts w:hint="eastAsia"/>
                <w:szCs w:val="21"/>
              </w:rPr>
              <w:t>依据市场监管部门意见整治。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8</w:t>
            </w:r>
          </w:p>
        </w:tc>
        <w:tc>
          <w:tcPr>
            <w:tcW w:w="1065" w:type="dxa"/>
            <w:vAlign w:val="center"/>
          </w:tcPr>
          <w:p>
            <w:pPr>
              <w:spacing w:line="360" w:lineRule="exact"/>
              <w:jc w:val="center"/>
              <w:rPr>
                <w:b/>
                <w:bCs/>
                <w:szCs w:val="21"/>
              </w:rPr>
            </w:pPr>
            <w:r>
              <w:rPr>
                <w:b/>
                <w:bCs/>
                <w:szCs w:val="21"/>
              </w:rPr>
              <w:t>34</w:t>
            </w:r>
          </w:p>
        </w:tc>
        <w:tc>
          <w:tcPr>
            <w:tcW w:w="3880" w:type="dxa"/>
            <w:vAlign w:val="center"/>
          </w:tcPr>
          <w:p>
            <w:pPr>
              <w:spacing w:line="360" w:lineRule="exact"/>
              <w:rPr>
                <w:szCs w:val="21"/>
              </w:rPr>
            </w:pPr>
            <w:r>
              <w:rPr>
                <w:rFonts w:hint="eastAsia"/>
                <w:szCs w:val="21"/>
              </w:rPr>
              <w:t>药品管理应符合食品药品监督管理部门规定。</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项不满足，不符合。</w:t>
            </w:r>
          </w:p>
        </w:tc>
        <w:tc>
          <w:tcPr>
            <w:tcW w:w="5265" w:type="dxa"/>
            <w:vAlign w:val="center"/>
          </w:tcPr>
          <w:p>
            <w:pPr>
              <w:numPr>
                <w:ilvl w:val="0"/>
                <w:numId w:val="2"/>
              </w:numPr>
              <w:spacing w:line="360" w:lineRule="exact"/>
              <w:rPr>
                <w:szCs w:val="21"/>
              </w:rPr>
            </w:pPr>
            <w:r>
              <w:rPr>
                <w:rFonts w:hint="eastAsia"/>
                <w:szCs w:val="21"/>
              </w:rPr>
              <w:t>依据药品监管部门意见整治。</w:t>
            </w:r>
          </w:p>
          <w:p>
            <w:pPr>
              <w:numPr>
                <w:ilvl w:val="0"/>
                <w:numId w:val="2"/>
              </w:numPr>
              <w:spacing w:line="360" w:lineRule="exact"/>
              <w:rPr>
                <w:szCs w:val="21"/>
              </w:rPr>
            </w:pPr>
            <w:r>
              <w:rPr>
                <w:rFonts w:hint="eastAsia"/>
                <w:szCs w:val="21"/>
              </w:rPr>
              <w:t>组织相关人员培训，建立药品管理制度。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9</w:t>
            </w:r>
          </w:p>
        </w:tc>
        <w:tc>
          <w:tcPr>
            <w:tcW w:w="1065" w:type="dxa"/>
            <w:vAlign w:val="center"/>
          </w:tcPr>
          <w:p>
            <w:pPr>
              <w:spacing w:line="360" w:lineRule="exact"/>
              <w:jc w:val="center"/>
              <w:rPr>
                <w:b/>
                <w:bCs/>
                <w:szCs w:val="21"/>
              </w:rPr>
            </w:pPr>
            <w:r>
              <w:rPr>
                <w:b/>
                <w:bCs/>
                <w:szCs w:val="21"/>
              </w:rPr>
              <w:t>35</w:t>
            </w:r>
          </w:p>
        </w:tc>
        <w:tc>
          <w:tcPr>
            <w:tcW w:w="3880" w:type="dxa"/>
            <w:vAlign w:val="center"/>
          </w:tcPr>
          <w:p>
            <w:pPr>
              <w:spacing w:line="360" w:lineRule="exact"/>
              <w:rPr>
                <w:szCs w:val="21"/>
              </w:rPr>
            </w:pPr>
            <w:r>
              <w:rPr>
                <w:rFonts w:hint="eastAsia" w:ascii="宋体" w:hAnsi="宋体"/>
                <w:szCs w:val="21"/>
              </w:rPr>
              <w:t>机构不设置在自然灾害易发、存在污染的地域。</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项情况存在，不符合。</w:t>
            </w:r>
          </w:p>
        </w:tc>
        <w:tc>
          <w:tcPr>
            <w:tcW w:w="5265" w:type="dxa"/>
            <w:vAlign w:val="center"/>
          </w:tcPr>
          <w:p>
            <w:pPr>
              <w:numPr>
                <w:ilvl w:val="0"/>
                <w:numId w:val="3"/>
              </w:numPr>
              <w:spacing w:line="360" w:lineRule="exact"/>
              <w:rPr>
                <w:szCs w:val="21"/>
              </w:rPr>
            </w:pPr>
            <w:r>
              <w:rPr>
                <w:rFonts w:hint="eastAsia"/>
                <w:szCs w:val="21"/>
              </w:rPr>
              <w:t>有突出隐患的地区应提出迁址意见。</w:t>
            </w:r>
          </w:p>
          <w:p>
            <w:pPr>
              <w:numPr>
                <w:ilvl w:val="0"/>
                <w:numId w:val="3"/>
              </w:numPr>
              <w:spacing w:line="360" w:lineRule="exact"/>
              <w:rPr>
                <w:szCs w:val="21"/>
              </w:rPr>
            </w:pPr>
            <w:r>
              <w:rPr>
                <w:rFonts w:hint="eastAsia"/>
                <w:szCs w:val="21"/>
              </w:rPr>
              <w:t>养老机构要制定突发事件应对预案。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10</w:t>
            </w:r>
          </w:p>
        </w:tc>
        <w:tc>
          <w:tcPr>
            <w:tcW w:w="1065" w:type="dxa"/>
            <w:vAlign w:val="center"/>
          </w:tcPr>
          <w:p>
            <w:pPr>
              <w:spacing w:line="360" w:lineRule="exact"/>
              <w:jc w:val="center"/>
              <w:rPr>
                <w:b/>
                <w:bCs/>
                <w:szCs w:val="21"/>
              </w:rPr>
            </w:pPr>
            <w:r>
              <w:rPr>
                <w:b/>
                <w:bCs/>
                <w:szCs w:val="21"/>
              </w:rPr>
              <w:t>43</w:t>
            </w:r>
          </w:p>
        </w:tc>
        <w:tc>
          <w:tcPr>
            <w:tcW w:w="3880" w:type="dxa"/>
            <w:vAlign w:val="center"/>
          </w:tcPr>
          <w:p>
            <w:pPr>
              <w:spacing w:line="360" w:lineRule="exact"/>
              <w:rPr>
                <w:szCs w:val="21"/>
              </w:rPr>
            </w:pPr>
            <w:r>
              <w:rPr>
                <w:rFonts w:hint="eastAsia"/>
                <w:szCs w:val="21"/>
              </w:rPr>
              <w:t>提供</w:t>
            </w:r>
            <w:r>
              <w:rPr>
                <w:szCs w:val="21"/>
              </w:rPr>
              <w:t>24</w:t>
            </w:r>
            <w:r>
              <w:rPr>
                <w:rFonts w:hint="eastAsia"/>
                <w:szCs w:val="21"/>
              </w:rPr>
              <w:t>小时当班、值班服务，并做好记录和交接班。</w:t>
            </w:r>
          </w:p>
        </w:tc>
        <w:tc>
          <w:tcPr>
            <w:tcW w:w="3365" w:type="dxa"/>
            <w:vAlign w:val="center"/>
          </w:tcPr>
          <w:p>
            <w:pPr>
              <w:spacing w:line="360" w:lineRule="exact"/>
              <w:rPr>
                <w:szCs w:val="21"/>
              </w:rPr>
            </w:pPr>
            <w:r>
              <w:rPr>
                <w:rFonts w:hint="eastAsia"/>
                <w:szCs w:val="21"/>
              </w:rPr>
              <w:t>提供</w:t>
            </w:r>
            <w:r>
              <w:rPr>
                <w:szCs w:val="21"/>
              </w:rPr>
              <w:t>24</w:t>
            </w:r>
            <w:r>
              <w:rPr>
                <w:rFonts w:hint="eastAsia"/>
                <w:szCs w:val="21"/>
              </w:rPr>
              <w:t>小时服务且有相关记录，为符合；无当班、值班记录为部分符合；二者皆无为不符合。</w:t>
            </w:r>
          </w:p>
        </w:tc>
        <w:tc>
          <w:tcPr>
            <w:tcW w:w="5265" w:type="dxa"/>
            <w:vAlign w:val="center"/>
          </w:tcPr>
          <w:p>
            <w:pPr>
              <w:numPr>
                <w:ilvl w:val="0"/>
                <w:numId w:val="4"/>
              </w:numPr>
              <w:spacing w:line="360" w:lineRule="exact"/>
              <w:rPr>
                <w:szCs w:val="21"/>
              </w:rPr>
            </w:pPr>
            <w:r>
              <w:rPr>
                <w:rFonts w:hint="eastAsia"/>
                <w:szCs w:val="21"/>
              </w:rPr>
              <w:t>养老机构建立</w:t>
            </w:r>
            <w:r>
              <w:rPr>
                <w:szCs w:val="21"/>
              </w:rPr>
              <w:t>24</w:t>
            </w:r>
            <w:r>
              <w:rPr>
                <w:rFonts w:hint="eastAsia"/>
                <w:szCs w:val="21"/>
              </w:rPr>
              <w:t>小时值班、当班服务制度并做好记录。</w:t>
            </w:r>
          </w:p>
          <w:p>
            <w:pPr>
              <w:numPr>
                <w:ilvl w:val="0"/>
                <w:numId w:val="4"/>
              </w:numPr>
              <w:spacing w:line="360" w:lineRule="exact"/>
              <w:rPr>
                <w:szCs w:val="21"/>
              </w:rPr>
            </w:pPr>
            <w:r>
              <w:rPr>
                <w:rFonts w:hint="eastAsia"/>
                <w:szCs w:val="21"/>
              </w:rPr>
              <w:t>民政部门要规范养老机构当班、值班、交接班工作。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11</w:t>
            </w:r>
          </w:p>
        </w:tc>
        <w:tc>
          <w:tcPr>
            <w:tcW w:w="1065" w:type="dxa"/>
            <w:vAlign w:val="center"/>
          </w:tcPr>
          <w:p>
            <w:pPr>
              <w:spacing w:line="360" w:lineRule="exact"/>
              <w:jc w:val="center"/>
              <w:rPr>
                <w:b/>
                <w:bCs/>
                <w:szCs w:val="21"/>
              </w:rPr>
            </w:pPr>
            <w:r>
              <w:rPr>
                <w:b/>
                <w:bCs/>
                <w:szCs w:val="21"/>
              </w:rPr>
              <w:t>74</w:t>
            </w:r>
          </w:p>
        </w:tc>
        <w:tc>
          <w:tcPr>
            <w:tcW w:w="3880" w:type="dxa"/>
            <w:vAlign w:val="center"/>
          </w:tcPr>
          <w:p>
            <w:pPr>
              <w:spacing w:line="360" w:lineRule="exact"/>
              <w:rPr>
                <w:szCs w:val="21"/>
              </w:rPr>
            </w:pPr>
            <w:r>
              <w:rPr>
                <w:rFonts w:hint="eastAsia"/>
                <w:szCs w:val="21"/>
              </w:rPr>
              <w:t>院内医疗机构管理服务符合卫生健康部门规定。</w:t>
            </w:r>
          </w:p>
        </w:tc>
        <w:tc>
          <w:tcPr>
            <w:tcW w:w="3365" w:type="dxa"/>
            <w:vAlign w:val="center"/>
          </w:tcPr>
          <w:p>
            <w:pPr>
              <w:spacing w:line="360" w:lineRule="exact"/>
              <w:rPr>
                <w:szCs w:val="21"/>
              </w:rPr>
            </w:pPr>
            <w:r>
              <w:rPr>
                <w:rFonts w:hint="eastAsia"/>
                <w:szCs w:val="21"/>
              </w:rPr>
              <w:t>如有院内医疗机构，不符合规定，则为不符合。</w:t>
            </w:r>
          </w:p>
        </w:tc>
        <w:tc>
          <w:tcPr>
            <w:tcW w:w="5265" w:type="dxa"/>
            <w:vAlign w:val="center"/>
          </w:tcPr>
          <w:p>
            <w:pPr>
              <w:spacing w:line="360" w:lineRule="exact"/>
              <w:rPr>
                <w:szCs w:val="21"/>
              </w:rPr>
            </w:pPr>
            <w:r>
              <w:rPr>
                <w:rFonts w:hint="eastAsia"/>
                <w:szCs w:val="21"/>
              </w:rPr>
              <w:t>依据卫生健康部门意见整治。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12</w:t>
            </w:r>
          </w:p>
        </w:tc>
        <w:tc>
          <w:tcPr>
            <w:tcW w:w="1065" w:type="dxa"/>
            <w:vAlign w:val="center"/>
          </w:tcPr>
          <w:p>
            <w:pPr>
              <w:spacing w:line="360" w:lineRule="exact"/>
              <w:jc w:val="center"/>
              <w:rPr>
                <w:b/>
                <w:bCs/>
                <w:szCs w:val="21"/>
              </w:rPr>
            </w:pPr>
            <w:r>
              <w:rPr>
                <w:b/>
                <w:bCs/>
                <w:szCs w:val="21"/>
              </w:rPr>
              <w:t>82</w:t>
            </w:r>
          </w:p>
        </w:tc>
        <w:tc>
          <w:tcPr>
            <w:tcW w:w="3880" w:type="dxa"/>
            <w:vAlign w:val="center"/>
          </w:tcPr>
          <w:p>
            <w:pPr>
              <w:spacing w:line="360" w:lineRule="exact"/>
              <w:rPr>
                <w:szCs w:val="21"/>
              </w:rPr>
            </w:pPr>
            <w:r>
              <w:rPr>
                <w:rFonts w:hint="eastAsia"/>
                <w:szCs w:val="21"/>
              </w:rPr>
              <w:t>有传染病预防措施。</w:t>
            </w:r>
          </w:p>
        </w:tc>
        <w:tc>
          <w:tcPr>
            <w:tcW w:w="3365" w:type="dxa"/>
            <w:vAlign w:val="center"/>
          </w:tcPr>
          <w:p>
            <w:pPr>
              <w:spacing w:line="360" w:lineRule="exact"/>
              <w:rPr>
                <w:szCs w:val="21"/>
              </w:rPr>
            </w:pPr>
            <w:r>
              <w:rPr>
                <w:rFonts w:hint="eastAsia"/>
                <w:szCs w:val="21"/>
              </w:rPr>
              <w:t>应有制度、工作流程，有</w:t>
            </w:r>
            <w:r>
              <w:rPr>
                <w:szCs w:val="21"/>
              </w:rPr>
              <w:t>1</w:t>
            </w:r>
            <w:r>
              <w:rPr>
                <w:rFonts w:hint="eastAsia"/>
                <w:szCs w:val="21"/>
              </w:rPr>
              <w:t>项做不到的，不符合。</w:t>
            </w:r>
          </w:p>
        </w:tc>
        <w:tc>
          <w:tcPr>
            <w:tcW w:w="5265" w:type="dxa"/>
            <w:vAlign w:val="center"/>
          </w:tcPr>
          <w:p>
            <w:pPr>
              <w:rPr>
                <w:szCs w:val="21"/>
              </w:rPr>
            </w:pPr>
            <w:r>
              <w:rPr>
                <w:rFonts w:hint="eastAsia"/>
                <w:szCs w:val="21"/>
              </w:rPr>
              <w:t>在卫生防疫部门指导下建立养老机构传染病预防制度。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13</w:t>
            </w:r>
          </w:p>
        </w:tc>
        <w:tc>
          <w:tcPr>
            <w:tcW w:w="1065" w:type="dxa"/>
            <w:vAlign w:val="center"/>
          </w:tcPr>
          <w:p>
            <w:pPr>
              <w:spacing w:line="360" w:lineRule="exact"/>
              <w:jc w:val="center"/>
              <w:rPr>
                <w:b/>
                <w:bCs/>
                <w:szCs w:val="21"/>
              </w:rPr>
            </w:pPr>
            <w:r>
              <w:rPr>
                <w:b/>
                <w:bCs/>
                <w:szCs w:val="21"/>
              </w:rPr>
              <w:t>96</w:t>
            </w:r>
          </w:p>
        </w:tc>
        <w:tc>
          <w:tcPr>
            <w:tcW w:w="3880" w:type="dxa"/>
            <w:vAlign w:val="center"/>
          </w:tcPr>
          <w:p>
            <w:pPr>
              <w:spacing w:line="360" w:lineRule="exact"/>
              <w:rPr>
                <w:szCs w:val="21"/>
              </w:rPr>
            </w:pPr>
            <w:r>
              <w:rPr>
                <w:rFonts w:hint="eastAsia"/>
                <w:szCs w:val="21"/>
              </w:rPr>
              <w:t>制定消防安全、特种设备设施安全、突发事件等相关管理制度、预警机制及应急预案。</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项未做到，不符合；如果没有特种设备，则不对特种设备管理做要求。</w:t>
            </w:r>
          </w:p>
        </w:tc>
        <w:tc>
          <w:tcPr>
            <w:tcW w:w="5265" w:type="dxa"/>
            <w:vAlign w:val="center"/>
          </w:tcPr>
          <w:p>
            <w:pPr>
              <w:numPr>
                <w:ilvl w:val="0"/>
                <w:numId w:val="5"/>
              </w:numPr>
              <w:spacing w:line="360" w:lineRule="exact"/>
              <w:rPr>
                <w:szCs w:val="21"/>
              </w:rPr>
            </w:pPr>
            <w:r>
              <w:rPr>
                <w:rFonts w:hint="eastAsia"/>
                <w:szCs w:val="21"/>
              </w:rPr>
              <w:t>养老机构按照规定制定完善。</w:t>
            </w:r>
          </w:p>
          <w:p>
            <w:pPr>
              <w:numPr>
                <w:ilvl w:val="0"/>
                <w:numId w:val="5"/>
              </w:numPr>
              <w:spacing w:line="360" w:lineRule="exact"/>
              <w:rPr>
                <w:szCs w:val="21"/>
              </w:rPr>
            </w:pPr>
            <w:r>
              <w:rPr>
                <w:rFonts w:hint="eastAsia"/>
                <w:szCs w:val="21"/>
              </w:rPr>
              <w:t>民政部门促进行业交流，推广优秀经验。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14</w:t>
            </w:r>
          </w:p>
        </w:tc>
        <w:tc>
          <w:tcPr>
            <w:tcW w:w="1065" w:type="dxa"/>
            <w:vAlign w:val="center"/>
          </w:tcPr>
          <w:p>
            <w:pPr>
              <w:spacing w:line="360" w:lineRule="exact"/>
              <w:jc w:val="center"/>
              <w:rPr>
                <w:b/>
                <w:bCs/>
                <w:szCs w:val="21"/>
              </w:rPr>
            </w:pPr>
            <w:r>
              <w:rPr>
                <w:b/>
                <w:bCs/>
                <w:szCs w:val="21"/>
              </w:rPr>
              <w:t>98</w:t>
            </w:r>
          </w:p>
        </w:tc>
        <w:tc>
          <w:tcPr>
            <w:tcW w:w="3880" w:type="dxa"/>
            <w:vAlign w:val="center"/>
          </w:tcPr>
          <w:p>
            <w:pPr>
              <w:spacing w:line="360" w:lineRule="exact"/>
              <w:rPr>
                <w:szCs w:val="21"/>
              </w:rPr>
            </w:pPr>
            <w:r>
              <w:rPr>
                <w:rFonts w:hint="eastAsia"/>
                <w:szCs w:val="21"/>
              </w:rPr>
              <w:t>人员住宿和主要活动场所严禁使用易燃可燃装饰装修材料，严禁采用夹芯材料燃烧性能低于</w:t>
            </w:r>
            <w:r>
              <w:rPr>
                <w:szCs w:val="21"/>
              </w:rPr>
              <w:t>A</w:t>
            </w:r>
            <w:r>
              <w:rPr>
                <w:rFonts w:hint="eastAsia"/>
                <w:szCs w:val="21"/>
              </w:rPr>
              <w:t>级的彩钢板搭建有人居住或者活动的建筑。</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spacing w:line="360" w:lineRule="exact"/>
              <w:rPr>
                <w:szCs w:val="21"/>
              </w:rPr>
            </w:pPr>
            <w:r>
              <w:rPr>
                <w:rFonts w:hint="eastAsia"/>
                <w:szCs w:val="21"/>
              </w:rPr>
              <w:t>立即停止该场所用于人员住宿和活动，或改建。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15</w:t>
            </w:r>
          </w:p>
        </w:tc>
        <w:tc>
          <w:tcPr>
            <w:tcW w:w="1065" w:type="dxa"/>
            <w:vAlign w:val="center"/>
          </w:tcPr>
          <w:p>
            <w:pPr>
              <w:spacing w:line="360" w:lineRule="exact"/>
              <w:jc w:val="center"/>
              <w:rPr>
                <w:b/>
                <w:bCs/>
                <w:szCs w:val="21"/>
              </w:rPr>
            </w:pPr>
            <w:r>
              <w:rPr>
                <w:b/>
                <w:bCs/>
                <w:szCs w:val="21"/>
              </w:rPr>
              <w:t>99</w:t>
            </w:r>
          </w:p>
        </w:tc>
        <w:tc>
          <w:tcPr>
            <w:tcW w:w="3880" w:type="dxa"/>
            <w:vAlign w:val="center"/>
          </w:tcPr>
          <w:p>
            <w:pPr>
              <w:spacing w:line="360" w:lineRule="exact"/>
              <w:rPr>
                <w:szCs w:val="21"/>
              </w:rPr>
            </w:pPr>
            <w:r>
              <w:rPr>
                <w:rFonts w:hint="eastAsia" w:ascii="宋体" w:hAnsi="宋体"/>
                <w:szCs w:val="21"/>
              </w:rPr>
              <w:t>对不需要设置自动消防系统的建筑，应当加强物防、技防措施，在人员住宿和主要活动场所安装独立式感烟火灾探测报警器和简易喷淋装置，配备应急照明和灭火器材。</w:t>
            </w:r>
          </w:p>
        </w:tc>
        <w:tc>
          <w:tcPr>
            <w:tcW w:w="3365" w:type="dxa"/>
            <w:vAlign w:val="center"/>
          </w:tcPr>
          <w:p>
            <w:pPr>
              <w:spacing w:line="360" w:lineRule="exact"/>
              <w:rPr>
                <w:szCs w:val="21"/>
              </w:rPr>
            </w:pPr>
            <w:r>
              <w:rPr>
                <w:rFonts w:hint="eastAsia"/>
                <w:szCs w:val="21"/>
              </w:rPr>
              <w:t>各项中有任何</w:t>
            </w:r>
            <w:r>
              <w:rPr>
                <w:szCs w:val="21"/>
              </w:rPr>
              <w:t>1</w:t>
            </w:r>
            <w:r>
              <w:rPr>
                <w:rFonts w:hint="eastAsia"/>
                <w:szCs w:val="21"/>
              </w:rPr>
              <w:t>点达不到，则该项不符合</w:t>
            </w:r>
            <w:r>
              <w:rPr>
                <w:rStyle w:val="8"/>
                <w:rFonts w:hint="eastAsia"/>
                <w:szCs w:val="21"/>
              </w:rPr>
              <w:t>；设置自动消防系统的养老院则查看是否在相关场所对应设置相关设备，未对应设置的为不符合。</w:t>
            </w:r>
          </w:p>
        </w:tc>
        <w:tc>
          <w:tcPr>
            <w:tcW w:w="5265" w:type="dxa"/>
            <w:vAlign w:val="center"/>
          </w:tcPr>
          <w:p>
            <w:pPr>
              <w:spacing w:line="360" w:lineRule="exact"/>
              <w:rPr>
                <w:szCs w:val="21"/>
              </w:rPr>
            </w:pPr>
            <w:r>
              <w:rPr>
                <w:szCs w:val="21"/>
              </w:rPr>
              <w:t>1.</w:t>
            </w:r>
            <w:r>
              <w:rPr>
                <w:rFonts w:hint="eastAsia"/>
                <w:szCs w:val="21"/>
              </w:rPr>
              <w:t>养老机构按照规定和标准整改。</w:t>
            </w:r>
          </w:p>
          <w:p>
            <w:pPr>
              <w:spacing w:line="360" w:lineRule="exact"/>
              <w:rPr>
                <w:szCs w:val="21"/>
              </w:rPr>
            </w:pPr>
            <w:r>
              <w:rPr>
                <w:szCs w:val="21"/>
              </w:rPr>
              <w:t>2.</w:t>
            </w:r>
            <w:r>
              <w:rPr>
                <w:rFonts w:hint="eastAsia"/>
                <w:szCs w:val="21"/>
              </w:rPr>
              <w:t>依据消防救援机构意见整治。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16</w:t>
            </w:r>
          </w:p>
        </w:tc>
        <w:tc>
          <w:tcPr>
            <w:tcW w:w="1065" w:type="dxa"/>
            <w:vAlign w:val="center"/>
          </w:tcPr>
          <w:p>
            <w:pPr>
              <w:spacing w:line="360" w:lineRule="exact"/>
              <w:jc w:val="center"/>
              <w:rPr>
                <w:b/>
                <w:bCs/>
                <w:szCs w:val="21"/>
              </w:rPr>
            </w:pPr>
            <w:r>
              <w:rPr>
                <w:b/>
                <w:bCs/>
                <w:szCs w:val="21"/>
              </w:rPr>
              <w:t>100</w:t>
            </w:r>
          </w:p>
        </w:tc>
        <w:tc>
          <w:tcPr>
            <w:tcW w:w="3880" w:type="dxa"/>
            <w:vAlign w:val="center"/>
          </w:tcPr>
          <w:p>
            <w:pPr>
              <w:spacing w:line="360" w:lineRule="exact"/>
              <w:rPr>
                <w:szCs w:val="21"/>
              </w:rPr>
            </w:pPr>
            <w:r>
              <w:rPr>
                <w:rFonts w:hint="eastAsia"/>
                <w:szCs w:val="21"/>
              </w:rPr>
              <w:t>每月至少组织一次防火检查，每日防火巡查，夜间防火巡查不少于两次，并做好记录。</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numPr>
                <w:ilvl w:val="0"/>
                <w:numId w:val="6"/>
              </w:numPr>
              <w:spacing w:line="360" w:lineRule="exact"/>
              <w:rPr>
                <w:szCs w:val="21"/>
              </w:rPr>
            </w:pPr>
            <w:r>
              <w:rPr>
                <w:rFonts w:hint="eastAsia"/>
                <w:szCs w:val="21"/>
              </w:rPr>
              <w:t>建立每日巡查、每月防火检查制度。</w:t>
            </w:r>
          </w:p>
          <w:p>
            <w:pPr>
              <w:numPr>
                <w:ilvl w:val="0"/>
                <w:numId w:val="6"/>
              </w:numPr>
              <w:spacing w:line="360" w:lineRule="exact"/>
              <w:rPr>
                <w:szCs w:val="21"/>
              </w:rPr>
            </w:pPr>
            <w:r>
              <w:rPr>
                <w:rFonts w:hint="eastAsia"/>
                <w:szCs w:val="21"/>
              </w:rPr>
              <w:t>在全国养老机构业务管理系统上定期填报检查记录。</w:t>
            </w:r>
          </w:p>
          <w:p>
            <w:pPr>
              <w:numPr>
                <w:ilvl w:val="0"/>
                <w:numId w:val="6"/>
              </w:numPr>
              <w:spacing w:line="360" w:lineRule="exact"/>
              <w:rPr>
                <w:szCs w:val="21"/>
              </w:rPr>
            </w:pPr>
            <w:r>
              <w:rPr>
                <w:rFonts w:hint="eastAsia"/>
                <w:szCs w:val="21"/>
              </w:rPr>
              <w:t>民政部门应定期检查养老机构的检查巡查记录，了解养老机构检查巡查情况。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17</w:t>
            </w:r>
          </w:p>
        </w:tc>
        <w:tc>
          <w:tcPr>
            <w:tcW w:w="1065" w:type="dxa"/>
            <w:vAlign w:val="center"/>
          </w:tcPr>
          <w:p>
            <w:pPr>
              <w:spacing w:line="360" w:lineRule="exact"/>
              <w:jc w:val="center"/>
              <w:rPr>
                <w:b/>
                <w:bCs/>
                <w:szCs w:val="21"/>
              </w:rPr>
            </w:pPr>
            <w:r>
              <w:rPr>
                <w:b/>
                <w:bCs/>
                <w:szCs w:val="21"/>
              </w:rPr>
              <w:t>101</w:t>
            </w:r>
          </w:p>
        </w:tc>
        <w:tc>
          <w:tcPr>
            <w:tcW w:w="3880" w:type="dxa"/>
            <w:vAlign w:val="center"/>
          </w:tcPr>
          <w:p>
            <w:pPr>
              <w:spacing w:line="360" w:lineRule="exact"/>
              <w:rPr>
                <w:szCs w:val="21"/>
              </w:rPr>
            </w:pPr>
            <w:r>
              <w:rPr>
                <w:rFonts w:hint="eastAsia"/>
                <w:szCs w:val="21"/>
              </w:rPr>
              <w:t>加强消防设施设备运行和维护保养，每年至少全面检查一次，结合实际建立微型消防站或志愿消防队，参加区域联防组织，实行联防联治联控。</w:t>
            </w:r>
          </w:p>
        </w:tc>
        <w:tc>
          <w:tcPr>
            <w:tcW w:w="3365" w:type="dxa"/>
            <w:vAlign w:val="center"/>
          </w:tcPr>
          <w:p>
            <w:pPr>
              <w:spacing w:line="360" w:lineRule="exact"/>
              <w:rPr>
                <w:szCs w:val="21"/>
              </w:rPr>
            </w:pPr>
            <w:r>
              <w:rPr>
                <w:rFonts w:hint="eastAsia"/>
                <w:szCs w:val="21"/>
              </w:rPr>
              <w:t>各项中有任何</w:t>
            </w:r>
            <w:r>
              <w:rPr>
                <w:szCs w:val="21"/>
              </w:rPr>
              <w:t>1</w:t>
            </w:r>
            <w:r>
              <w:rPr>
                <w:rFonts w:hint="eastAsia"/>
                <w:szCs w:val="21"/>
              </w:rPr>
              <w:t>点达不到，不符合。</w:t>
            </w:r>
          </w:p>
        </w:tc>
        <w:tc>
          <w:tcPr>
            <w:tcW w:w="5265" w:type="dxa"/>
            <w:vAlign w:val="center"/>
          </w:tcPr>
          <w:p>
            <w:pPr>
              <w:numPr>
                <w:ilvl w:val="0"/>
                <w:numId w:val="7"/>
              </w:numPr>
              <w:spacing w:line="360" w:lineRule="exact"/>
              <w:rPr>
                <w:szCs w:val="21"/>
              </w:rPr>
            </w:pPr>
            <w:r>
              <w:rPr>
                <w:rFonts w:hint="eastAsia"/>
                <w:szCs w:val="21"/>
              </w:rPr>
              <w:t>建立检查消防设施设备运行和维护保障制度。</w:t>
            </w:r>
          </w:p>
          <w:p>
            <w:pPr>
              <w:numPr>
                <w:ilvl w:val="0"/>
                <w:numId w:val="7"/>
              </w:numPr>
              <w:spacing w:line="360" w:lineRule="exact"/>
              <w:rPr>
                <w:szCs w:val="21"/>
              </w:rPr>
            </w:pPr>
            <w:r>
              <w:rPr>
                <w:rFonts w:hint="eastAsia"/>
                <w:szCs w:val="21"/>
              </w:rPr>
              <w:t>积极参加消防救援机构组织的</w:t>
            </w:r>
            <w:r>
              <w:rPr>
                <w:rFonts w:hint="eastAsia" w:ascii="宋体" w:hAnsi="宋体"/>
                <w:szCs w:val="21"/>
              </w:rPr>
              <w:t>联防联治联控活动。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18</w:t>
            </w:r>
          </w:p>
        </w:tc>
        <w:tc>
          <w:tcPr>
            <w:tcW w:w="1065" w:type="dxa"/>
            <w:vAlign w:val="center"/>
          </w:tcPr>
          <w:p>
            <w:pPr>
              <w:spacing w:line="360" w:lineRule="exact"/>
              <w:jc w:val="center"/>
              <w:rPr>
                <w:b/>
                <w:bCs/>
                <w:szCs w:val="21"/>
              </w:rPr>
            </w:pPr>
            <w:r>
              <w:rPr>
                <w:b/>
                <w:bCs/>
                <w:szCs w:val="21"/>
              </w:rPr>
              <w:t>102</w:t>
            </w:r>
          </w:p>
        </w:tc>
        <w:tc>
          <w:tcPr>
            <w:tcW w:w="3880" w:type="dxa"/>
            <w:vAlign w:val="center"/>
          </w:tcPr>
          <w:p>
            <w:pPr>
              <w:spacing w:line="360" w:lineRule="exact"/>
              <w:rPr>
                <w:szCs w:val="21"/>
              </w:rPr>
            </w:pPr>
            <w:r>
              <w:rPr>
                <w:rFonts w:hint="eastAsia"/>
                <w:szCs w:val="21"/>
              </w:rPr>
              <w:t>保持安全出口、疏散通道、消防车通道畅通，应急照明、安全疏散指示标志完好。保证常闭式防火门处于关闭状态。</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spacing w:line="360" w:lineRule="exact"/>
              <w:rPr>
                <w:szCs w:val="21"/>
              </w:rPr>
            </w:pPr>
            <w:r>
              <w:rPr>
                <w:rFonts w:hint="eastAsia"/>
                <w:szCs w:val="21"/>
              </w:rPr>
              <w:t>依据消防救援机构意见整治。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19</w:t>
            </w:r>
          </w:p>
        </w:tc>
        <w:tc>
          <w:tcPr>
            <w:tcW w:w="1065" w:type="dxa"/>
            <w:vAlign w:val="center"/>
          </w:tcPr>
          <w:p>
            <w:pPr>
              <w:spacing w:line="360" w:lineRule="exact"/>
              <w:jc w:val="center"/>
              <w:rPr>
                <w:b/>
                <w:bCs/>
                <w:szCs w:val="21"/>
              </w:rPr>
            </w:pPr>
            <w:r>
              <w:rPr>
                <w:b/>
                <w:bCs/>
                <w:szCs w:val="21"/>
              </w:rPr>
              <w:t>103</w:t>
            </w:r>
          </w:p>
        </w:tc>
        <w:tc>
          <w:tcPr>
            <w:tcW w:w="3880" w:type="dxa"/>
            <w:vAlign w:val="center"/>
          </w:tcPr>
          <w:p>
            <w:pPr>
              <w:spacing w:line="360" w:lineRule="exact"/>
              <w:rPr>
                <w:szCs w:val="21"/>
              </w:rPr>
            </w:pPr>
            <w:r>
              <w:rPr>
                <w:rFonts w:hint="eastAsia"/>
                <w:szCs w:val="21"/>
              </w:rPr>
              <w:t>制定消防演练、应急疏散和灭火预案，每半年至少演练一次。每半年至少开展一次消防安全教育培训活动。</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numPr>
                <w:ilvl w:val="0"/>
                <w:numId w:val="8"/>
              </w:numPr>
              <w:spacing w:line="360" w:lineRule="exact"/>
              <w:rPr>
                <w:szCs w:val="21"/>
              </w:rPr>
            </w:pPr>
            <w:r>
              <w:rPr>
                <w:rFonts w:hint="eastAsia"/>
                <w:szCs w:val="21"/>
              </w:rPr>
              <w:t>制定预案、开展演练和培训。</w:t>
            </w:r>
          </w:p>
          <w:p>
            <w:pPr>
              <w:numPr>
                <w:ilvl w:val="0"/>
                <w:numId w:val="8"/>
              </w:numPr>
              <w:spacing w:line="360" w:lineRule="exact"/>
              <w:rPr>
                <w:szCs w:val="21"/>
              </w:rPr>
            </w:pPr>
            <w:r>
              <w:rPr>
                <w:rFonts w:hint="eastAsia"/>
                <w:szCs w:val="21"/>
              </w:rPr>
              <w:t>养老机构每半年至少演练一次，每半年至少开展一次消防安全教育培训活动，不断总结经验。</w:t>
            </w:r>
          </w:p>
          <w:p>
            <w:pPr>
              <w:numPr>
                <w:ilvl w:val="0"/>
                <w:numId w:val="8"/>
              </w:numPr>
              <w:spacing w:line="360" w:lineRule="exact"/>
              <w:rPr>
                <w:szCs w:val="21"/>
              </w:rPr>
            </w:pPr>
            <w:r>
              <w:rPr>
                <w:rFonts w:hint="eastAsia"/>
                <w:szCs w:val="21"/>
              </w:rPr>
              <w:t>养老机构在全国养老机构业务管理系统上及时填报相关活动记录。</w:t>
            </w:r>
          </w:p>
          <w:p>
            <w:pPr>
              <w:numPr>
                <w:ilvl w:val="0"/>
                <w:numId w:val="8"/>
              </w:numPr>
              <w:spacing w:line="360" w:lineRule="exact"/>
              <w:rPr>
                <w:szCs w:val="21"/>
              </w:rPr>
            </w:pPr>
            <w:r>
              <w:rPr>
                <w:rFonts w:hint="eastAsia"/>
                <w:szCs w:val="21"/>
              </w:rPr>
              <w:t>民政部门应定期检查养老机构演练、培训活动情况。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20</w:t>
            </w:r>
          </w:p>
        </w:tc>
        <w:tc>
          <w:tcPr>
            <w:tcW w:w="1065" w:type="dxa"/>
            <w:vAlign w:val="center"/>
          </w:tcPr>
          <w:p>
            <w:pPr>
              <w:spacing w:line="360" w:lineRule="exact"/>
              <w:jc w:val="center"/>
              <w:rPr>
                <w:b/>
                <w:bCs/>
                <w:szCs w:val="21"/>
              </w:rPr>
            </w:pPr>
            <w:r>
              <w:rPr>
                <w:b/>
                <w:bCs/>
                <w:szCs w:val="21"/>
              </w:rPr>
              <w:t>104</w:t>
            </w:r>
          </w:p>
        </w:tc>
        <w:tc>
          <w:tcPr>
            <w:tcW w:w="3880" w:type="dxa"/>
            <w:vAlign w:val="center"/>
          </w:tcPr>
          <w:p>
            <w:pPr>
              <w:spacing w:line="360" w:lineRule="exact"/>
              <w:rPr>
                <w:szCs w:val="21"/>
              </w:rPr>
            </w:pPr>
            <w:r>
              <w:rPr>
                <w:rFonts w:hint="eastAsia"/>
                <w:szCs w:val="21"/>
              </w:rPr>
              <w:t>设立吸烟室，人员住宿和公共场所禁止吸烟。</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numPr>
                <w:ilvl w:val="0"/>
                <w:numId w:val="9"/>
              </w:numPr>
              <w:spacing w:line="360" w:lineRule="exact"/>
              <w:rPr>
                <w:szCs w:val="21"/>
              </w:rPr>
            </w:pPr>
            <w:r>
              <w:rPr>
                <w:rFonts w:hint="eastAsia"/>
                <w:szCs w:val="21"/>
              </w:rPr>
              <w:t>设立公共吸烟室。</w:t>
            </w:r>
          </w:p>
          <w:p>
            <w:pPr>
              <w:numPr>
                <w:ilvl w:val="0"/>
                <w:numId w:val="9"/>
              </w:numPr>
              <w:spacing w:line="360" w:lineRule="exact"/>
              <w:rPr>
                <w:szCs w:val="21"/>
              </w:rPr>
            </w:pPr>
            <w:r>
              <w:rPr>
                <w:rFonts w:hint="eastAsia"/>
                <w:szCs w:val="21"/>
              </w:rPr>
              <w:t>杜绝老年人在住宿房间吸烟。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0" w:hRule="atLeast"/>
          <w:jc w:val="center"/>
        </w:trPr>
        <w:tc>
          <w:tcPr>
            <w:tcW w:w="753" w:type="dxa"/>
            <w:vAlign w:val="center"/>
          </w:tcPr>
          <w:p>
            <w:pPr>
              <w:spacing w:line="360" w:lineRule="exact"/>
              <w:jc w:val="center"/>
              <w:rPr>
                <w:b/>
                <w:bCs/>
                <w:szCs w:val="21"/>
              </w:rPr>
            </w:pPr>
            <w:r>
              <w:rPr>
                <w:b/>
                <w:bCs/>
                <w:szCs w:val="21"/>
              </w:rPr>
              <w:t>21</w:t>
            </w:r>
          </w:p>
        </w:tc>
        <w:tc>
          <w:tcPr>
            <w:tcW w:w="1065" w:type="dxa"/>
            <w:vAlign w:val="center"/>
          </w:tcPr>
          <w:p>
            <w:pPr>
              <w:spacing w:line="360" w:lineRule="exact"/>
              <w:jc w:val="center"/>
              <w:rPr>
                <w:b/>
                <w:bCs/>
                <w:szCs w:val="21"/>
              </w:rPr>
            </w:pPr>
            <w:r>
              <w:rPr>
                <w:b/>
                <w:bCs/>
                <w:szCs w:val="21"/>
              </w:rPr>
              <w:t>105</w:t>
            </w:r>
          </w:p>
        </w:tc>
        <w:tc>
          <w:tcPr>
            <w:tcW w:w="3880" w:type="dxa"/>
            <w:vAlign w:val="center"/>
          </w:tcPr>
          <w:p>
            <w:pPr>
              <w:spacing w:line="360" w:lineRule="exact"/>
              <w:rPr>
                <w:szCs w:val="21"/>
              </w:rPr>
            </w:pPr>
            <w:r>
              <w:rPr>
                <w:rFonts w:hint="eastAsia"/>
                <w:szCs w:val="21"/>
              </w:rPr>
              <w:t>定期组织对电器产品及其线路、管路进行维护保养和检测，及时整改电气火灾隐患。</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numPr>
                <w:ilvl w:val="0"/>
                <w:numId w:val="10"/>
              </w:numPr>
              <w:spacing w:line="360" w:lineRule="exact"/>
              <w:rPr>
                <w:szCs w:val="21"/>
              </w:rPr>
            </w:pPr>
            <w:r>
              <w:rPr>
                <w:rFonts w:hint="eastAsia"/>
                <w:szCs w:val="21"/>
              </w:rPr>
              <w:t>在相关专业人员指导下定期组织维护保养和检测。</w:t>
            </w:r>
          </w:p>
          <w:p>
            <w:pPr>
              <w:numPr>
                <w:ilvl w:val="0"/>
                <w:numId w:val="10"/>
              </w:numPr>
              <w:spacing w:line="360" w:lineRule="exact"/>
              <w:rPr>
                <w:szCs w:val="21"/>
              </w:rPr>
            </w:pPr>
            <w:r>
              <w:rPr>
                <w:rFonts w:hint="eastAsia"/>
                <w:szCs w:val="21"/>
              </w:rPr>
              <w:t>及时整改隐患。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jc w:val="center"/>
        </w:trPr>
        <w:tc>
          <w:tcPr>
            <w:tcW w:w="753" w:type="dxa"/>
            <w:vAlign w:val="center"/>
          </w:tcPr>
          <w:p>
            <w:pPr>
              <w:spacing w:line="360" w:lineRule="exact"/>
              <w:jc w:val="center"/>
              <w:rPr>
                <w:b/>
                <w:bCs/>
                <w:szCs w:val="21"/>
              </w:rPr>
            </w:pPr>
            <w:r>
              <w:rPr>
                <w:b/>
                <w:bCs/>
                <w:szCs w:val="21"/>
              </w:rPr>
              <w:t>22</w:t>
            </w:r>
          </w:p>
        </w:tc>
        <w:tc>
          <w:tcPr>
            <w:tcW w:w="1065" w:type="dxa"/>
            <w:vAlign w:val="center"/>
          </w:tcPr>
          <w:p>
            <w:pPr>
              <w:spacing w:line="360" w:lineRule="exact"/>
              <w:jc w:val="center"/>
              <w:rPr>
                <w:b/>
                <w:bCs/>
                <w:szCs w:val="21"/>
              </w:rPr>
            </w:pPr>
            <w:r>
              <w:rPr>
                <w:b/>
                <w:bCs/>
                <w:szCs w:val="21"/>
              </w:rPr>
              <w:t>106</w:t>
            </w:r>
          </w:p>
        </w:tc>
        <w:tc>
          <w:tcPr>
            <w:tcW w:w="3880" w:type="dxa"/>
            <w:vAlign w:val="center"/>
          </w:tcPr>
          <w:p>
            <w:pPr>
              <w:spacing w:line="360" w:lineRule="exact"/>
              <w:rPr>
                <w:szCs w:val="21"/>
              </w:rPr>
            </w:pPr>
            <w:r>
              <w:rPr>
                <w:rFonts w:hint="eastAsia"/>
                <w:szCs w:val="21"/>
              </w:rPr>
              <w:t>燃气安全应符合国家相关规定，设置可燃气体报警装置。</w:t>
            </w:r>
          </w:p>
        </w:tc>
        <w:tc>
          <w:tcPr>
            <w:tcW w:w="3365" w:type="dxa"/>
            <w:vAlign w:val="center"/>
          </w:tcPr>
          <w:p>
            <w:pPr>
              <w:spacing w:line="360" w:lineRule="exact"/>
              <w:rPr>
                <w:szCs w:val="21"/>
              </w:rPr>
            </w:pPr>
            <w:r>
              <w:rPr>
                <w:rFonts w:hint="eastAsia"/>
                <w:szCs w:val="21"/>
              </w:rPr>
              <w:t>如有，有</w:t>
            </w:r>
            <w:r>
              <w:rPr>
                <w:szCs w:val="21"/>
              </w:rPr>
              <w:t>1</w:t>
            </w:r>
            <w:r>
              <w:rPr>
                <w:rFonts w:hint="eastAsia"/>
                <w:szCs w:val="21"/>
              </w:rPr>
              <w:t>项未做到，不符合。</w:t>
            </w:r>
          </w:p>
        </w:tc>
        <w:tc>
          <w:tcPr>
            <w:tcW w:w="5265" w:type="dxa"/>
            <w:vMerge w:val="restart"/>
            <w:vAlign w:val="center"/>
          </w:tcPr>
          <w:p>
            <w:pPr>
              <w:numPr>
                <w:ilvl w:val="0"/>
                <w:numId w:val="11"/>
              </w:numPr>
              <w:spacing w:line="360" w:lineRule="exact"/>
              <w:rPr>
                <w:szCs w:val="21"/>
              </w:rPr>
            </w:pPr>
            <w:r>
              <w:rPr>
                <w:rFonts w:hint="eastAsia"/>
                <w:szCs w:val="21"/>
              </w:rPr>
              <w:t>依据燃气行政主管部门意见整治。</w:t>
            </w:r>
          </w:p>
          <w:p>
            <w:pPr>
              <w:numPr>
                <w:ilvl w:val="0"/>
                <w:numId w:val="11"/>
              </w:numPr>
              <w:spacing w:line="360" w:lineRule="exact"/>
              <w:rPr>
                <w:szCs w:val="21"/>
              </w:rPr>
            </w:pPr>
            <w:r>
              <w:rPr>
                <w:rFonts w:hint="eastAsia"/>
                <w:szCs w:val="21"/>
              </w:rPr>
              <w:t>使用人员应接受相应安全使用培训合格。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0" w:hRule="atLeast"/>
          <w:jc w:val="center"/>
        </w:trPr>
        <w:tc>
          <w:tcPr>
            <w:tcW w:w="753" w:type="dxa"/>
            <w:vAlign w:val="center"/>
          </w:tcPr>
          <w:p>
            <w:pPr>
              <w:spacing w:line="360" w:lineRule="exact"/>
              <w:jc w:val="center"/>
              <w:rPr>
                <w:b/>
                <w:bCs/>
                <w:szCs w:val="21"/>
              </w:rPr>
            </w:pPr>
            <w:r>
              <w:rPr>
                <w:b/>
                <w:bCs/>
                <w:szCs w:val="21"/>
              </w:rPr>
              <w:t>23</w:t>
            </w:r>
          </w:p>
        </w:tc>
        <w:tc>
          <w:tcPr>
            <w:tcW w:w="1065" w:type="dxa"/>
            <w:vAlign w:val="center"/>
          </w:tcPr>
          <w:p>
            <w:pPr>
              <w:spacing w:line="360" w:lineRule="exact"/>
              <w:jc w:val="center"/>
              <w:rPr>
                <w:b/>
                <w:bCs/>
                <w:szCs w:val="21"/>
              </w:rPr>
            </w:pPr>
            <w:r>
              <w:rPr>
                <w:b/>
                <w:bCs/>
                <w:szCs w:val="21"/>
              </w:rPr>
              <w:t>107</w:t>
            </w:r>
          </w:p>
        </w:tc>
        <w:tc>
          <w:tcPr>
            <w:tcW w:w="3880" w:type="dxa"/>
            <w:vAlign w:val="center"/>
          </w:tcPr>
          <w:p>
            <w:pPr>
              <w:spacing w:line="360" w:lineRule="exact"/>
              <w:rPr>
                <w:szCs w:val="21"/>
              </w:rPr>
            </w:pPr>
            <w:r>
              <w:rPr>
                <w:rFonts w:hint="eastAsia"/>
                <w:szCs w:val="21"/>
              </w:rPr>
              <w:t>定期维护保养燃气设施设备。</w:t>
            </w:r>
          </w:p>
        </w:tc>
        <w:tc>
          <w:tcPr>
            <w:tcW w:w="3365" w:type="dxa"/>
            <w:vAlign w:val="center"/>
          </w:tcPr>
          <w:p>
            <w:pPr>
              <w:spacing w:line="360" w:lineRule="exact"/>
              <w:rPr>
                <w:szCs w:val="21"/>
              </w:rPr>
            </w:pPr>
            <w:r>
              <w:rPr>
                <w:rFonts w:hint="eastAsia"/>
                <w:szCs w:val="21"/>
              </w:rPr>
              <w:t>如有，有</w:t>
            </w:r>
            <w:r>
              <w:rPr>
                <w:szCs w:val="21"/>
              </w:rPr>
              <w:t>1</w:t>
            </w:r>
            <w:r>
              <w:rPr>
                <w:rFonts w:hint="eastAsia"/>
                <w:szCs w:val="21"/>
              </w:rPr>
              <w:t>项未做到，不符合。</w:t>
            </w:r>
          </w:p>
        </w:tc>
        <w:tc>
          <w:tcPr>
            <w:tcW w:w="5265" w:type="dxa"/>
            <w:vMerge w:val="continue"/>
            <w:vAlign w:val="center"/>
          </w:tcPr>
          <w:p>
            <w:pPr>
              <w:numPr>
                <w:ilvl w:val="0"/>
                <w:numId w:val="11"/>
              </w:numPr>
              <w:spacing w:line="360" w:lineRule="exact"/>
              <w:rPr>
                <w:rFonts w:eastAsia="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2" w:hRule="atLeast"/>
          <w:jc w:val="center"/>
        </w:trPr>
        <w:tc>
          <w:tcPr>
            <w:tcW w:w="753" w:type="dxa"/>
            <w:vAlign w:val="center"/>
          </w:tcPr>
          <w:p>
            <w:pPr>
              <w:spacing w:line="360" w:lineRule="exact"/>
              <w:jc w:val="center"/>
              <w:rPr>
                <w:b/>
                <w:bCs/>
                <w:szCs w:val="21"/>
              </w:rPr>
            </w:pPr>
            <w:r>
              <w:rPr>
                <w:b/>
                <w:bCs/>
                <w:szCs w:val="21"/>
              </w:rPr>
              <w:t>24</w:t>
            </w:r>
          </w:p>
        </w:tc>
        <w:tc>
          <w:tcPr>
            <w:tcW w:w="1065" w:type="dxa"/>
            <w:vAlign w:val="center"/>
          </w:tcPr>
          <w:p>
            <w:pPr>
              <w:spacing w:line="360" w:lineRule="exact"/>
              <w:jc w:val="center"/>
              <w:rPr>
                <w:b/>
                <w:bCs/>
                <w:szCs w:val="21"/>
              </w:rPr>
            </w:pPr>
            <w:r>
              <w:rPr>
                <w:b/>
                <w:bCs/>
                <w:szCs w:val="21"/>
              </w:rPr>
              <w:t>108</w:t>
            </w:r>
          </w:p>
        </w:tc>
        <w:tc>
          <w:tcPr>
            <w:tcW w:w="3880" w:type="dxa"/>
            <w:vAlign w:val="center"/>
          </w:tcPr>
          <w:p>
            <w:pPr>
              <w:spacing w:line="360" w:lineRule="exact"/>
              <w:rPr>
                <w:szCs w:val="21"/>
              </w:rPr>
            </w:pPr>
            <w:r>
              <w:rPr>
                <w:rFonts w:hint="eastAsia"/>
                <w:szCs w:val="21"/>
              </w:rPr>
              <w:t>燃气设施使用正确，无私自拆、移、改动燃气装置，无私自使用燃气热水器、取暖器和其他燃气器具等。</w:t>
            </w:r>
          </w:p>
        </w:tc>
        <w:tc>
          <w:tcPr>
            <w:tcW w:w="3365" w:type="dxa"/>
            <w:vAlign w:val="center"/>
          </w:tcPr>
          <w:p>
            <w:pPr>
              <w:spacing w:line="360" w:lineRule="exact"/>
              <w:rPr>
                <w:szCs w:val="21"/>
              </w:rPr>
            </w:pPr>
            <w:r>
              <w:rPr>
                <w:rFonts w:hint="eastAsia"/>
                <w:szCs w:val="21"/>
              </w:rPr>
              <w:t>如有，有</w:t>
            </w:r>
            <w:r>
              <w:rPr>
                <w:szCs w:val="21"/>
              </w:rPr>
              <w:t>1</w:t>
            </w:r>
            <w:r>
              <w:rPr>
                <w:rFonts w:hint="eastAsia"/>
                <w:szCs w:val="21"/>
              </w:rPr>
              <w:t>项未做到，不符合。</w:t>
            </w:r>
          </w:p>
        </w:tc>
        <w:tc>
          <w:tcPr>
            <w:tcW w:w="5265" w:type="dxa"/>
            <w:vMerge w:val="continue"/>
            <w:vAlign w:val="center"/>
          </w:tcPr>
          <w:p>
            <w:pPr>
              <w:spacing w:line="360" w:lineRule="exac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3" w:type="dxa"/>
            <w:vAlign w:val="center"/>
          </w:tcPr>
          <w:p>
            <w:pPr>
              <w:spacing w:line="360" w:lineRule="exact"/>
              <w:jc w:val="center"/>
              <w:rPr>
                <w:b/>
                <w:bCs/>
                <w:szCs w:val="21"/>
              </w:rPr>
            </w:pPr>
            <w:r>
              <w:rPr>
                <w:b/>
                <w:bCs/>
                <w:szCs w:val="21"/>
              </w:rPr>
              <w:t>25</w:t>
            </w:r>
          </w:p>
        </w:tc>
        <w:tc>
          <w:tcPr>
            <w:tcW w:w="1065" w:type="dxa"/>
            <w:vAlign w:val="center"/>
          </w:tcPr>
          <w:p>
            <w:pPr>
              <w:spacing w:line="360" w:lineRule="exact"/>
              <w:jc w:val="center"/>
              <w:rPr>
                <w:b/>
                <w:bCs/>
                <w:szCs w:val="21"/>
              </w:rPr>
            </w:pPr>
            <w:r>
              <w:rPr>
                <w:b/>
                <w:bCs/>
                <w:szCs w:val="21"/>
              </w:rPr>
              <w:t>109</w:t>
            </w:r>
          </w:p>
        </w:tc>
        <w:tc>
          <w:tcPr>
            <w:tcW w:w="3880" w:type="dxa"/>
            <w:vAlign w:val="center"/>
          </w:tcPr>
          <w:p>
            <w:pPr>
              <w:spacing w:line="360" w:lineRule="exact"/>
              <w:rPr>
                <w:szCs w:val="21"/>
              </w:rPr>
            </w:pPr>
            <w:r>
              <w:rPr>
                <w:rFonts w:hint="eastAsia"/>
                <w:szCs w:val="21"/>
              </w:rPr>
              <w:t>燃气设施清洁干净卫生，周围无可燃物品和其他杂物堆放。</w:t>
            </w:r>
          </w:p>
        </w:tc>
        <w:tc>
          <w:tcPr>
            <w:tcW w:w="3365" w:type="dxa"/>
            <w:vAlign w:val="center"/>
          </w:tcPr>
          <w:p>
            <w:pPr>
              <w:spacing w:line="360" w:lineRule="exact"/>
              <w:rPr>
                <w:szCs w:val="21"/>
              </w:rPr>
            </w:pPr>
            <w:r>
              <w:rPr>
                <w:rFonts w:hint="eastAsia"/>
                <w:szCs w:val="21"/>
              </w:rPr>
              <w:t>如有，有</w:t>
            </w:r>
            <w:r>
              <w:rPr>
                <w:szCs w:val="21"/>
              </w:rPr>
              <w:t>1</w:t>
            </w:r>
            <w:r>
              <w:rPr>
                <w:rFonts w:hint="eastAsia"/>
                <w:szCs w:val="21"/>
              </w:rPr>
              <w:t>项未做到，不符合。</w:t>
            </w:r>
          </w:p>
        </w:tc>
        <w:tc>
          <w:tcPr>
            <w:tcW w:w="5265" w:type="dxa"/>
            <w:vMerge w:val="continue"/>
            <w:vAlign w:val="center"/>
          </w:tcPr>
          <w:p>
            <w:pPr>
              <w:spacing w:line="360" w:lineRule="exac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jc w:val="center"/>
        </w:trPr>
        <w:tc>
          <w:tcPr>
            <w:tcW w:w="753" w:type="dxa"/>
            <w:vAlign w:val="center"/>
          </w:tcPr>
          <w:p>
            <w:pPr>
              <w:spacing w:line="360" w:lineRule="exact"/>
              <w:jc w:val="center"/>
              <w:rPr>
                <w:b/>
                <w:bCs/>
                <w:szCs w:val="21"/>
              </w:rPr>
            </w:pPr>
            <w:r>
              <w:rPr>
                <w:b/>
                <w:bCs/>
                <w:szCs w:val="21"/>
              </w:rPr>
              <w:t>26</w:t>
            </w:r>
          </w:p>
        </w:tc>
        <w:tc>
          <w:tcPr>
            <w:tcW w:w="1065" w:type="dxa"/>
            <w:vAlign w:val="center"/>
          </w:tcPr>
          <w:p>
            <w:pPr>
              <w:spacing w:line="360" w:lineRule="exact"/>
              <w:jc w:val="center"/>
              <w:rPr>
                <w:b/>
                <w:bCs/>
                <w:szCs w:val="21"/>
              </w:rPr>
            </w:pPr>
            <w:r>
              <w:rPr>
                <w:b/>
                <w:bCs/>
                <w:szCs w:val="21"/>
              </w:rPr>
              <w:t>110</w:t>
            </w:r>
          </w:p>
        </w:tc>
        <w:tc>
          <w:tcPr>
            <w:tcW w:w="3880" w:type="dxa"/>
            <w:vAlign w:val="center"/>
          </w:tcPr>
          <w:p>
            <w:pPr>
              <w:spacing w:line="360" w:lineRule="exact"/>
              <w:rPr>
                <w:szCs w:val="21"/>
              </w:rPr>
            </w:pPr>
            <w:r>
              <w:rPr>
                <w:rFonts w:hint="eastAsia"/>
                <w:szCs w:val="21"/>
              </w:rPr>
              <w:t>购置、使用和更换电梯、锅炉、压力容器（含气瓶）、压力管道等特种设备，应符合相关规定。</w:t>
            </w:r>
          </w:p>
        </w:tc>
        <w:tc>
          <w:tcPr>
            <w:tcW w:w="3365" w:type="dxa"/>
            <w:vAlign w:val="center"/>
          </w:tcPr>
          <w:p>
            <w:pPr>
              <w:spacing w:line="360" w:lineRule="exact"/>
              <w:rPr>
                <w:szCs w:val="21"/>
              </w:rPr>
            </w:pPr>
            <w:r>
              <w:rPr>
                <w:rFonts w:hint="eastAsia"/>
                <w:szCs w:val="21"/>
              </w:rPr>
              <w:t>如有，有</w:t>
            </w:r>
            <w:r>
              <w:rPr>
                <w:szCs w:val="21"/>
              </w:rPr>
              <w:t>1</w:t>
            </w:r>
            <w:r>
              <w:rPr>
                <w:rFonts w:hint="eastAsia"/>
                <w:szCs w:val="21"/>
              </w:rPr>
              <w:t>项未做到，不符合。</w:t>
            </w:r>
          </w:p>
        </w:tc>
        <w:tc>
          <w:tcPr>
            <w:tcW w:w="5265" w:type="dxa"/>
            <w:vAlign w:val="center"/>
          </w:tcPr>
          <w:p>
            <w:pPr>
              <w:numPr>
                <w:ilvl w:val="0"/>
                <w:numId w:val="12"/>
              </w:numPr>
              <w:spacing w:line="360" w:lineRule="exact"/>
              <w:rPr>
                <w:szCs w:val="21"/>
              </w:rPr>
            </w:pPr>
            <w:r>
              <w:rPr>
                <w:rFonts w:hint="eastAsia"/>
                <w:szCs w:val="21"/>
              </w:rPr>
              <w:t>依据市场监管部门特种设备机构意见整治。</w:t>
            </w:r>
          </w:p>
          <w:p>
            <w:pPr>
              <w:numPr>
                <w:ilvl w:val="0"/>
                <w:numId w:val="12"/>
              </w:numPr>
              <w:spacing w:line="360" w:lineRule="exact"/>
              <w:rPr>
                <w:szCs w:val="21"/>
              </w:rPr>
            </w:pPr>
            <w:r>
              <w:rPr>
                <w:rFonts w:hint="eastAsia"/>
                <w:szCs w:val="21"/>
              </w:rPr>
              <w:t>使用人员应接受相应安全使用培训合格，取得相应的特种设备作业人员资格证书并对在用特种设备进行经常性维护保养和定期自行检查。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jc w:val="center"/>
        </w:trPr>
        <w:tc>
          <w:tcPr>
            <w:tcW w:w="753" w:type="dxa"/>
            <w:vAlign w:val="center"/>
          </w:tcPr>
          <w:p>
            <w:pPr>
              <w:spacing w:line="360" w:lineRule="exact"/>
              <w:jc w:val="center"/>
              <w:rPr>
                <w:b/>
                <w:bCs/>
                <w:szCs w:val="21"/>
              </w:rPr>
            </w:pPr>
            <w:r>
              <w:rPr>
                <w:b/>
                <w:bCs/>
                <w:szCs w:val="21"/>
              </w:rPr>
              <w:t>27</w:t>
            </w:r>
          </w:p>
        </w:tc>
        <w:tc>
          <w:tcPr>
            <w:tcW w:w="1065" w:type="dxa"/>
            <w:vAlign w:val="center"/>
          </w:tcPr>
          <w:p>
            <w:pPr>
              <w:spacing w:line="360" w:lineRule="exact"/>
              <w:jc w:val="center"/>
              <w:rPr>
                <w:b/>
                <w:bCs/>
                <w:szCs w:val="21"/>
              </w:rPr>
            </w:pPr>
            <w:r>
              <w:rPr>
                <w:b/>
                <w:bCs/>
                <w:szCs w:val="21"/>
              </w:rPr>
              <w:t>113</w:t>
            </w:r>
          </w:p>
        </w:tc>
        <w:tc>
          <w:tcPr>
            <w:tcW w:w="3880" w:type="dxa"/>
            <w:vAlign w:val="center"/>
          </w:tcPr>
          <w:p>
            <w:pPr>
              <w:spacing w:line="360" w:lineRule="exact"/>
              <w:rPr>
                <w:szCs w:val="21"/>
              </w:rPr>
            </w:pPr>
            <w:r>
              <w:rPr>
                <w:rFonts w:hint="eastAsia"/>
                <w:szCs w:val="21"/>
              </w:rPr>
              <w:t>建立出入、探视、请销假等制度，防止老年人走失。</w:t>
            </w:r>
          </w:p>
        </w:tc>
        <w:tc>
          <w:tcPr>
            <w:tcW w:w="3365" w:type="dxa"/>
            <w:vAlign w:val="center"/>
          </w:tcPr>
          <w:p>
            <w:pPr>
              <w:spacing w:line="360" w:lineRule="exact"/>
              <w:rPr>
                <w:szCs w:val="21"/>
              </w:rPr>
            </w:pPr>
            <w:r>
              <w:rPr>
                <w:rFonts w:hint="eastAsia"/>
                <w:szCs w:val="21"/>
              </w:rPr>
              <w:t>有</w:t>
            </w:r>
            <w:r>
              <w:rPr>
                <w:szCs w:val="21"/>
              </w:rPr>
              <w:t>1</w:t>
            </w:r>
            <w:r>
              <w:rPr>
                <w:rFonts w:hint="eastAsia"/>
                <w:szCs w:val="21"/>
              </w:rPr>
              <w:t>项未做到，不符合。</w:t>
            </w:r>
          </w:p>
        </w:tc>
        <w:tc>
          <w:tcPr>
            <w:tcW w:w="5265" w:type="dxa"/>
            <w:vAlign w:val="center"/>
          </w:tcPr>
          <w:p>
            <w:pPr>
              <w:spacing w:line="360" w:lineRule="exact"/>
              <w:rPr>
                <w:szCs w:val="21"/>
              </w:rPr>
            </w:pPr>
            <w:r>
              <w:rPr>
                <w:rFonts w:hint="eastAsia"/>
                <w:szCs w:val="21"/>
              </w:rPr>
              <w:t>建立出入、探视、请销假等制度。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3" w:type="dxa"/>
            <w:vAlign w:val="center"/>
          </w:tcPr>
          <w:p>
            <w:pPr>
              <w:spacing w:line="360" w:lineRule="exact"/>
              <w:jc w:val="center"/>
              <w:rPr>
                <w:b/>
                <w:bCs/>
                <w:szCs w:val="21"/>
              </w:rPr>
            </w:pPr>
            <w:r>
              <w:rPr>
                <w:b/>
                <w:bCs/>
                <w:szCs w:val="21"/>
              </w:rPr>
              <w:t>28</w:t>
            </w:r>
          </w:p>
        </w:tc>
        <w:tc>
          <w:tcPr>
            <w:tcW w:w="1065" w:type="dxa"/>
            <w:vAlign w:val="center"/>
          </w:tcPr>
          <w:p>
            <w:pPr>
              <w:spacing w:line="360" w:lineRule="exact"/>
              <w:jc w:val="center"/>
              <w:rPr>
                <w:b/>
                <w:bCs/>
                <w:szCs w:val="21"/>
              </w:rPr>
            </w:pPr>
            <w:r>
              <w:rPr>
                <w:b/>
                <w:bCs/>
                <w:szCs w:val="21"/>
              </w:rPr>
              <w:t>115</w:t>
            </w:r>
          </w:p>
        </w:tc>
        <w:tc>
          <w:tcPr>
            <w:tcW w:w="3880" w:type="dxa"/>
            <w:vAlign w:val="center"/>
          </w:tcPr>
          <w:p>
            <w:pPr>
              <w:spacing w:line="360" w:lineRule="exact"/>
              <w:rPr>
                <w:szCs w:val="21"/>
              </w:rPr>
            </w:pPr>
            <w:r>
              <w:rPr>
                <w:rFonts w:hint="eastAsia"/>
                <w:szCs w:val="21"/>
              </w:rPr>
              <w:t>建立突发事件处理的应急预案，对自伤、伤人、跌倒、坠床、噎食、误吸、走失、烫伤、食物中毒等事件有明确应急处理流程和报告制度。</w:t>
            </w:r>
          </w:p>
        </w:tc>
        <w:tc>
          <w:tcPr>
            <w:tcW w:w="3365" w:type="dxa"/>
            <w:vAlign w:val="center"/>
          </w:tcPr>
          <w:p>
            <w:pPr>
              <w:spacing w:line="360" w:lineRule="exact"/>
              <w:rPr>
                <w:szCs w:val="21"/>
              </w:rPr>
            </w:pPr>
            <w:r>
              <w:rPr>
                <w:rFonts w:hint="eastAsia"/>
                <w:szCs w:val="21"/>
              </w:rPr>
              <w:t>有应急预案、应急处置流程、报告制度，缺少</w:t>
            </w:r>
            <w:r>
              <w:rPr>
                <w:szCs w:val="21"/>
              </w:rPr>
              <w:t>1</w:t>
            </w:r>
            <w:r>
              <w:rPr>
                <w:rFonts w:hint="eastAsia"/>
                <w:szCs w:val="21"/>
              </w:rPr>
              <w:t>项即为部分符合。全部缺少为不符合。</w:t>
            </w:r>
          </w:p>
        </w:tc>
        <w:tc>
          <w:tcPr>
            <w:tcW w:w="5265" w:type="dxa"/>
            <w:vAlign w:val="center"/>
          </w:tcPr>
          <w:p>
            <w:pPr>
              <w:numPr>
                <w:ilvl w:val="0"/>
                <w:numId w:val="13"/>
              </w:numPr>
              <w:spacing w:line="360" w:lineRule="exact"/>
              <w:rPr>
                <w:szCs w:val="21"/>
              </w:rPr>
            </w:pPr>
            <w:r>
              <w:rPr>
                <w:rFonts w:hint="eastAsia"/>
                <w:szCs w:val="21"/>
              </w:rPr>
              <w:t>养老机构建立自伤、伤人、跌倒、坠床、噎食、误吸、走失、烫伤、食物中毒等突发事件的应急处理流程和报告制度。</w:t>
            </w:r>
          </w:p>
          <w:p>
            <w:pPr>
              <w:numPr>
                <w:ilvl w:val="0"/>
                <w:numId w:val="13"/>
              </w:numPr>
              <w:spacing w:line="360" w:lineRule="exact"/>
              <w:rPr>
                <w:szCs w:val="21"/>
              </w:rPr>
            </w:pPr>
            <w:r>
              <w:rPr>
                <w:rFonts w:hint="eastAsia"/>
                <w:szCs w:val="21"/>
              </w:rPr>
              <w:t>养老机构加强人员培训，提高处置能力。</w:t>
            </w:r>
          </w:p>
          <w:p>
            <w:pPr>
              <w:numPr>
                <w:ilvl w:val="0"/>
                <w:numId w:val="13"/>
              </w:numPr>
              <w:spacing w:line="360" w:lineRule="exact"/>
              <w:rPr>
                <w:szCs w:val="21"/>
              </w:rPr>
            </w:pPr>
            <w:r>
              <w:rPr>
                <w:rFonts w:hint="eastAsia"/>
                <w:szCs w:val="21"/>
              </w:rPr>
              <w:t>民政部门应促进行业交流，推广典型做法和制度。</w:t>
            </w:r>
          </w:p>
        </w:tc>
      </w:tr>
    </w:tbl>
    <w:p>
      <w:pPr>
        <w:spacing w:line="440" w:lineRule="exact"/>
        <w:rPr>
          <w:rFonts w:ascii="宋体" w:cs="宋体"/>
          <w:sz w:val="28"/>
          <w:szCs w:val="28"/>
        </w:rPr>
      </w:pPr>
      <w:r>
        <w:rPr>
          <w:rFonts w:hint="eastAsia" w:ascii="宋体" w:hAnsi="宋体" w:cs="宋体"/>
          <w:sz w:val="28"/>
          <w:szCs w:val="28"/>
        </w:rPr>
        <w:t>注：</w:t>
      </w:r>
    </w:p>
    <w:p>
      <w:pPr>
        <w:numPr>
          <w:ilvl w:val="0"/>
          <w:numId w:val="14"/>
        </w:numPr>
        <w:spacing w:line="440" w:lineRule="exact"/>
        <w:ind w:firstLine="420" w:firstLineChars="200"/>
        <w:rPr>
          <w:rFonts w:ascii="宋体" w:cs="宋体"/>
          <w:szCs w:val="21"/>
        </w:rPr>
      </w:pPr>
      <w:r>
        <w:rPr>
          <w:rFonts w:hint="eastAsia" w:ascii="宋体" w:hAnsi="宋体" w:cs="宋体"/>
          <w:szCs w:val="21"/>
        </w:rPr>
        <w:t>以上指标均来自《养老院服务质量大检查指南》（详见民发〔</w:t>
      </w:r>
      <w:r>
        <w:rPr>
          <w:rFonts w:ascii="宋体" w:hAnsi="宋体" w:cs="宋体"/>
          <w:szCs w:val="21"/>
        </w:rPr>
        <w:t>2017</w:t>
      </w:r>
      <w:r>
        <w:rPr>
          <w:rFonts w:hint="eastAsia" w:ascii="宋体" w:hAnsi="宋体" w:cs="宋体"/>
          <w:szCs w:val="21"/>
        </w:rPr>
        <w:t>〕</w:t>
      </w:r>
      <w:r>
        <w:rPr>
          <w:rFonts w:ascii="宋体" w:hAnsi="宋体" w:cs="宋体"/>
          <w:szCs w:val="21"/>
        </w:rPr>
        <w:t>51</w:t>
      </w:r>
      <w:r>
        <w:rPr>
          <w:rFonts w:hint="eastAsia" w:ascii="宋体" w:hAnsi="宋体" w:cs="宋体"/>
          <w:szCs w:val="21"/>
        </w:rPr>
        <w:t>号文件），表中“原序号”是指该指标在《养老院服务质量大检查指南》中的序号。</w:t>
      </w:r>
    </w:p>
    <w:p>
      <w:pPr>
        <w:numPr>
          <w:ilvl w:val="0"/>
          <w:numId w:val="14"/>
        </w:numPr>
        <w:spacing w:line="440" w:lineRule="exact"/>
        <w:ind w:firstLine="420" w:firstLineChars="200"/>
        <w:rPr>
          <w:rFonts w:ascii="宋体" w:cs="宋体"/>
          <w:szCs w:val="21"/>
        </w:rPr>
      </w:pPr>
      <w:r>
        <w:rPr>
          <w:rFonts w:hint="eastAsia" w:ascii="宋体" w:hAnsi="宋体" w:cs="宋体"/>
          <w:szCs w:val="21"/>
        </w:rPr>
        <w:t>《养老院服务质量大检查指南》中原序号为</w:t>
      </w:r>
      <w:r>
        <w:rPr>
          <w:rFonts w:ascii="宋体" w:hAnsi="宋体" w:cs="宋体"/>
          <w:szCs w:val="21"/>
        </w:rPr>
        <w:t>6</w:t>
      </w:r>
      <w:r>
        <w:rPr>
          <w:rFonts w:hint="eastAsia" w:ascii="宋体" w:hAnsi="宋体" w:cs="宋体"/>
          <w:szCs w:val="21"/>
        </w:rPr>
        <w:t>、</w:t>
      </w:r>
      <w:r>
        <w:rPr>
          <w:rFonts w:ascii="宋体" w:hAnsi="宋体" w:cs="宋体"/>
          <w:szCs w:val="21"/>
        </w:rPr>
        <w:t>12</w:t>
      </w:r>
      <w:r>
        <w:rPr>
          <w:rFonts w:hint="eastAsia" w:ascii="宋体" w:hAnsi="宋体" w:cs="宋体"/>
          <w:szCs w:val="21"/>
        </w:rPr>
        <w:t>、</w:t>
      </w:r>
      <w:r>
        <w:rPr>
          <w:rFonts w:ascii="宋体" w:hAnsi="宋体" w:cs="宋体"/>
          <w:szCs w:val="21"/>
        </w:rPr>
        <w:t>13</w:t>
      </w:r>
      <w:r>
        <w:rPr>
          <w:rFonts w:hint="eastAsia" w:ascii="宋体" w:hAnsi="宋体" w:cs="宋体"/>
          <w:szCs w:val="21"/>
        </w:rPr>
        <w:t>、</w:t>
      </w:r>
      <w:r>
        <w:rPr>
          <w:rFonts w:ascii="宋体" w:hAnsi="宋体" w:cs="宋体"/>
          <w:szCs w:val="21"/>
        </w:rPr>
        <w:t>14</w:t>
      </w:r>
      <w:r>
        <w:rPr>
          <w:rFonts w:hint="eastAsia" w:ascii="宋体" w:hAnsi="宋体" w:cs="宋体"/>
          <w:szCs w:val="21"/>
        </w:rPr>
        <w:t>的指标要求（关于食品安全内容）并入修改后的第</w:t>
      </w:r>
      <w:r>
        <w:rPr>
          <w:rFonts w:ascii="宋体" w:hAnsi="宋体" w:cs="宋体"/>
          <w:szCs w:val="21"/>
        </w:rPr>
        <w:t>7</w:t>
      </w:r>
      <w:r>
        <w:rPr>
          <w:rFonts w:hint="eastAsia" w:ascii="宋体" w:hAnsi="宋体" w:cs="宋体"/>
          <w:szCs w:val="21"/>
        </w:rPr>
        <w:t>项指标（原序号为</w:t>
      </w:r>
      <w:r>
        <w:rPr>
          <w:rFonts w:ascii="宋体" w:hAnsi="宋体" w:cs="宋体"/>
          <w:szCs w:val="21"/>
        </w:rPr>
        <w:t>30</w:t>
      </w:r>
      <w:r>
        <w:rPr>
          <w:rFonts w:hint="eastAsia" w:ascii="宋体" w:hAnsi="宋体" w:cs="宋体"/>
          <w:szCs w:val="21"/>
        </w:rPr>
        <w:t>）。</w:t>
      </w:r>
    </w:p>
    <w:p>
      <w:pPr>
        <w:spacing w:line="440" w:lineRule="exact"/>
        <w:ind w:firstLine="420" w:firstLineChars="200"/>
        <w:rPr>
          <w:rFonts w:ascii="宋体" w:cs="宋体"/>
          <w:szCs w:val="21"/>
        </w:rPr>
      </w:pPr>
      <w:r>
        <w:rPr>
          <w:rFonts w:ascii="宋体" w:hAnsi="宋体" w:cs="宋体"/>
          <w:szCs w:val="21"/>
        </w:rPr>
        <w:t>3.</w:t>
      </w:r>
      <w:r>
        <w:rPr>
          <w:rFonts w:hint="eastAsia" w:ascii="宋体" w:hAnsi="宋体" w:cs="宋体"/>
          <w:szCs w:val="21"/>
        </w:rPr>
        <w:t>各地可根据本行政区内养老机构风险隐患实际补充其他检查指标。</w:t>
      </w:r>
    </w:p>
    <w:p>
      <w:pPr>
        <w:spacing w:line="440" w:lineRule="exact"/>
        <w:ind w:firstLine="420" w:firstLineChars="200"/>
        <w:rPr>
          <w:rFonts w:ascii="宋体" w:cs="宋体"/>
          <w:szCs w:val="21"/>
        </w:rPr>
      </w:pPr>
    </w:p>
    <w:p>
      <w:pPr>
        <w:spacing w:line="440" w:lineRule="exact"/>
        <w:ind w:firstLine="420" w:firstLineChars="200"/>
        <w:rPr>
          <w:rFonts w:ascii="宋体" w:cs="宋体"/>
          <w:szCs w:val="21"/>
        </w:rPr>
      </w:pPr>
    </w:p>
    <w:p>
      <w:pPr>
        <w:spacing w:line="440" w:lineRule="exact"/>
        <w:ind w:firstLine="420" w:firstLineChars="200"/>
        <w:rPr>
          <w:rFonts w:ascii="宋体" w:cs="宋体"/>
          <w:szCs w:val="21"/>
        </w:rPr>
      </w:pPr>
    </w:p>
    <w:p>
      <w:pPr>
        <w:spacing w:line="440" w:lineRule="exact"/>
        <w:ind w:firstLine="420" w:firstLineChars="200"/>
        <w:rPr>
          <w:rFonts w:ascii="宋体" w:cs="宋体"/>
          <w:szCs w:val="21"/>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2</w:t>
      </w:r>
    </w:p>
    <w:tbl>
      <w:tblPr>
        <w:tblStyle w:val="5"/>
        <w:tblW w:w="15502" w:type="dxa"/>
        <w:tblInd w:w="-318" w:type="dxa"/>
        <w:tblLayout w:type="fixed"/>
        <w:tblCellMar>
          <w:top w:w="0" w:type="dxa"/>
          <w:left w:w="108" w:type="dxa"/>
          <w:bottom w:w="0" w:type="dxa"/>
          <w:right w:w="108" w:type="dxa"/>
        </w:tblCellMar>
      </w:tblPr>
      <w:tblGrid>
        <w:gridCol w:w="599"/>
        <w:gridCol w:w="3443"/>
        <w:gridCol w:w="1503"/>
        <w:gridCol w:w="1231"/>
        <w:gridCol w:w="896"/>
        <w:gridCol w:w="1070"/>
        <w:gridCol w:w="1069"/>
        <w:gridCol w:w="1412"/>
        <w:gridCol w:w="2200"/>
        <w:gridCol w:w="2079"/>
      </w:tblGrid>
      <w:tr>
        <w:tblPrEx>
          <w:tblLayout w:type="fixed"/>
          <w:tblCellMar>
            <w:top w:w="0" w:type="dxa"/>
            <w:left w:w="108" w:type="dxa"/>
            <w:bottom w:w="0" w:type="dxa"/>
            <w:right w:w="108" w:type="dxa"/>
          </w:tblCellMar>
        </w:tblPrEx>
        <w:trPr>
          <w:trHeight w:val="765" w:hRule="atLeast"/>
        </w:trPr>
        <w:tc>
          <w:tcPr>
            <w:tcW w:w="15502" w:type="dxa"/>
            <w:gridSpan w:val="10"/>
            <w:tcBorders>
              <w:top w:val="nil"/>
              <w:left w:val="nil"/>
              <w:bottom w:val="nil"/>
              <w:right w:val="nil"/>
            </w:tcBorders>
            <w:vAlign w:val="center"/>
          </w:tcPr>
          <w:p>
            <w:pPr>
              <w:jc w:val="center"/>
              <w:rPr>
                <w:rFonts w:eastAsia="方正小标宋_GBK"/>
                <w:kern w:val="0"/>
                <w:sz w:val="32"/>
                <w:szCs w:val="32"/>
              </w:rPr>
            </w:pPr>
            <w:r>
              <w:rPr>
                <w:rFonts w:hint="eastAsia" w:eastAsia="方正小标宋_GBK"/>
                <w:kern w:val="0"/>
                <w:sz w:val="32"/>
                <w:szCs w:val="32"/>
              </w:rPr>
              <w:t>全区养老院消防排查登记表</w:t>
            </w:r>
          </w:p>
        </w:tc>
      </w:tr>
      <w:tr>
        <w:tblPrEx>
          <w:tblLayout w:type="fixed"/>
          <w:tblCellMar>
            <w:top w:w="0" w:type="dxa"/>
            <w:left w:w="108" w:type="dxa"/>
            <w:bottom w:w="0" w:type="dxa"/>
            <w:right w:w="108" w:type="dxa"/>
          </w:tblCellMar>
        </w:tblPrEx>
        <w:trPr>
          <w:trHeight w:val="675" w:hRule="atLeast"/>
        </w:trPr>
        <w:tc>
          <w:tcPr>
            <w:tcW w:w="15502" w:type="dxa"/>
            <w:gridSpan w:val="10"/>
            <w:tcBorders>
              <w:top w:val="nil"/>
              <w:left w:val="nil"/>
              <w:bottom w:val="nil"/>
              <w:right w:val="nil"/>
            </w:tcBorders>
            <w:vAlign w:val="center"/>
          </w:tcPr>
          <w:p>
            <w:pPr>
              <w:ind w:firstLine="240" w:firstLineChars="100"/>
              <w:rPr>
                <w:kern w:val="0"/>
                <w:sz w:val="24"/>
              </w:rPr>
            </w:pPr>
            <w:r>
              <w:rPr>
                <w:rFonts w:hint="eastAsia" w:eastAsia="方正仿宋_GBK"/>
                <w:kern w:val="0"/>
                <w:sz w:val="24"/>
              </w:rPr>
              <w:t>填表人：</w:t>
            </w:r>
            <w:r>
              <w:rPr>
                <w:rFonts w:eastAsia="方正仿宋_GBK"/>
                <w:kern w:val="0"/>
                <w:sz w:val="24"/>
              </w:rPr>
              <w:t xml:space="preserve">          </w:t>
            </w:r>
            <w:r>
              <w:rPr>
                <w:rFonts w:hint="eastAsia" w:eastAsia="方正仿宋_GBK"/>
                <w:kern w:val="0"/>
                <w:sz w:val="24"/>
              </w:rPr>
              <w:t>联系电话</w:t>
            </w:r>
            <w:r>
              <w:rPr>
                <w:rFonts w:hint="eastAsia" w:ascii="宋体" w:hAnsi="宋体"/>
                <w:kern w:val="0"/>
                <w:sz w:val="24"/>
              </w:rPr>
              <w:t>：</w:t>
            </w:r>
          </w:p>
        </w:tc>
      </w:tr>
      <w:tr>
        <w:tblPrEx>
          <w:tblLayout w:type="fixed"/>
          <w:tblCellMar>
            <w:top w:w="0" w:type="dxa"/>
            <w:left w:w="108" w:type="dxa"/>
            <w:bottom w:w="0" w:type="dxa"/>
            <w:right w:w="108" w:type="dxa"/>
          </w:tblCellMar>
        </w:tblPrEx>
        <w:trPr>
          <w:trHeight w:val="702" w:hRule="atLeast"/>
        </w:trPr>
        <w:tc>
          <w:tcPr>
            <w:tcW w:w="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序号</w:t>
            </w:r>
          </w:p>
        </w:tc>
        <w:tc>
          <w:tcPr>
            <w:tcW w:w="3443"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kern w:val="0"/>
                <w:sz w:val="16"/>
                <w:szCs w:val="16"/>
              </w:rPr>
              <w:t>单位名称</w:t>
            </w: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eastAsia="Times New Roman"/>
                <w:kern w:val="0"/>
                <w:sz w:val="16"/>
                <w:szCs w:val="16"/>
              </w:rPr>
            </w:pPr>
            <w:r>
              <w:rPr>
                <w:rFonts w:hint="eastAsia" w:ascii="宋体" w:hAnsi="宋体"/>
                <w:kern w:val="0"/>
                <w:sz w:val="16"/>
                <w:szCs w:val="16"/>
              </w:rPr>
              <w:t>类别</w:t>
            </w:r>
          </w:p>
        </w:tc>
        <w:tc>
          <w:tcPr>
            <w:tcW w:w="1231" w:type="dxa"/>
            <w:tcBorders>
              <w:top w:val="single" w:color="auto" w:sz="4" w:space="0"/>
              <w:left w:val="nil"/>
              <w:bottom w:val="single" w:color="auto" w:sz="4" w:space="0"/>
              <w:right w:val="single" w:color="auto" w:sz="4" w:space="0"/>
            </w:tcBorders>
            <w:vAlign w:val="center"/>
          </w:tcPr>
          <w:p>
            <w:pPr>
              <w:spacing w:line="240" w:lineRule="exact"/>
              <w:jc w:val="center"/>
              <w:rPr>
                <w:rFonts w:eastAsia="Times New Roman"/>
                <w:kern w:val="0"/>
                <w:sz w:val="16"/>
                <w:szCs w:val="16"/>
              </w:rPr>
            </w:pPr>
            <w:r>
              <w:rPr>
                <w:rFonts w:hint="eastAsia" w:ascii="宋体" w:hAnsi="宋体"/>
                <w:kern w:val="0"/>
                <w:sz w:val="16"/>
                <w:szCs w:val="16"/>
              </w:rPr>
              <w:t>地址</w:t>
            </w:r>
          </w:p>
        </w:tc>
        <w:tc>
          <w:tcPr>
            <w:tcW w:w="896"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负责人</w:t>
            </w:r>
          </w:p>
        </w:tc>
        <w:tc>
          <w:tcPr>
            <w:tcW w:w="1070"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联系方式</w:t>
            </w:r>
          </w:p>
        </w:tc>
        <w:tc>
          <w:tcPr>
            <w:tcW w:w="1069"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排查时间</w:t>
            </w:r>
          </w:p>
        </w:tc>
        <w:tc>
          <w:tcPr>
            <w:tcW w:w="1412"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排查人员姓名</w:t>
            </w:r>
          </w:p>
        </w:tc>
        <w:tc>
          <w:tcPr>
            <w:tcW w:w="2200"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存在的问题</w:t>
            </w:r>
          </w:p>
        </w:tc>
        <w:tc>
          <w:tcPr>
            <w:tcW w:w="2079"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r>
              <w:rPr>
                <w:rFonts w:hint="eastAsia" w:ascii="宋体" w:hAnsi="宋体"/>
                <w:kern w:val="0"/>
                <w:sz w:val="16"/>
                <w:szCs w:val="16"/>
              </w:rPr>
              <w:t>整改</w:t>
            </w:r>
            <w:r>
              <w:rPr>
                <w:rFonts w:hint="eastAsia"/>
                <w:kern w:val="0"/>
                <w:sz w:val="16"/>
                <w:szCs w:val="16"/>
              </w:rPr>
              <w:t>意见</w:t>
            </w:r>
          </w:p>
        </w:tc>
      </w:tr>
      <w:tr>
        <w:tblPrEx>
          <w:tblLayout w:type="fixed"/>
          <w:tblCellMar>
            <w:top w:w="0" w:type="dxa"/>
            <w:left w:w="108" w:type="dxa"/>
            <w:bottom w:w="0" w:type="dxa"/>
            <w:right w:w="108" w:type="dxa"/>
          </w:tblCellMar>
        </w:tblPrEx>
        <w:trPr>
          <w:trHeight w:val="702" w:hRule="atLeast"/>
        </w:trPr>
        <w:tc>
          <w:tcPr>
            <w:tcW w:w="599" w:type="dxa"/>
            <w:tcBorders>
              <w:top w:val="single" w:color="auto" w:sz="4" w:space="0"/>
              <w:left w:val="single" w:color="auto" w:sz="4" w:space="0"/>
              <w:bottom w:val="single" w:color="auto" w:sz="4" w:space="0"/>
              <w:right w:val="single" w:color="auto" w:sz="4" w:space="0"/>
            </w:tcBorders>
            <w:vAlign w:val="center"/>
          </w:tcPr>
          <w:p>
            <w:pPr>
              <w:jc w:val="left"/>
              <w:rPr>
                <w:szCs w:val="21"/>
              </w:rPr>
            </w:pPr>
          </w:p>
        </w:tc>
        <w:tc>
          <w:tcPr>
            <w:tcW w:w="3443" w:type="dxa"/>
            <w:tcBorders>
              <w:top w:val="single" w:color="auto" w:sz="4" w:space="0"/>
              <w:left w:val="nil"/>
              <w:bottom w:val="single" w:color="auto" w:sz="4" w:space="0"/>
              <w:right w:val="single" w:color="auto" w:sz="4" w:space="0"/>
            </w:tcBorders>
            <w:vAlign w:val="center"/>
          </w:tcPr>
          <w:p>
            <w:pPr>
              <w:jc w:val="left"/>
              <w:rPr>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eastAsia="方正仿宋_GBK"/>
                <w:kern w:val="0"/>
                <w:sz w:val="16"/>
                <w:szCs w:val="16"/>
              </w:rPr>
            </w:pPr>
            <w:r>
              <w:rPr>
                <w:rFonts w:hint="eastAsia"/>
                <w:kern w:val="0"/>
                <w:sz w:val="16"/>
                <w:szCs w:val="16"/>
              </w:rPr>
              <w:t>养老院</w:t>
            </w:r>
          </w:p>
        </w:tc>
        <w:tc>
          <w:tcPr>
            <w:tcW w:w="1231"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p>
        </w:tc>
        <w:tc>
          <w:tcPr>
            <w:tcW w:w="896" w:type="dxa"/>
            <w:tcBorders>
              <w:top w:val="single" w:color="auto" w:sz="4" w:space="0"/>
              <w:left w:val="nil"/>
              <w:bottom w:val="single" w:color="auto" w:sz="4" w:space="0"/>
              <w:right w:val="single" w:color="auto" w:sz="4" w:space="0"/>
            </w:tcBorders>
            <w:vAlign w:val="center"/>
          </w:tcPr>
          <w:p>
            <w:pPr>
              <w:jc w:val="left"/>
              <w:rPr>
                <w:szCs w:val="21"/>
              </w:rPr>
            </w:pPr>
          </w:p>
        </w:tc>
        <w:tc>
          <w:tcPr>
            <w:tcW w:w="1070" w:type="dxa"/>
            <w:tcBorders>
              <w:top w:val="single" w:color="auto" w:sz="4" w:space="0"/>
              <w:left w:val="nil"/>
              <w:bottom w:val="single" w:color="auto" w:sz="4" w:space="0"/>
              <w:right w:val="single" w:color="auto" w:sz="4" w:space="0"/>
            </w:tcBorders>
            <w:vAlign w:val="center"/>
          </w:tcPr>
          <w:p>
            <w:pPr>
              <w:jc w:val="left"/>
              <w:rPr>
                <w:szCs w:val="21"/>
              </w:rPr>
            </w:pPr>
          </w:p>
        </w:tc>
        <w:tc>
          <w:tcPr>
            <w:tcW w:w="1069" w:type="dxa"/>
            <w:tcBorders>
              <w:top w:val="single" w:color="auto" w:sz="4" w:space="0"/>
              <w:left w:val="nil"/>
              <w:bottom w:val="single" w:color="auto" w:sz="4" w:space="0"/>
              <w:right w:val="single" w:color="auto" w:sz="4" w:space="0"/>
            </w:tcBorders>
            <w:vAlign w:val="center"/>
          </w:tcPr>
          <w:p>
            <w:pPr>
              <w:jc w:val="left"/>
              <w:rPr>
                <w:szCs w:val="21"/>
              </w:rPr>
            </w:pPr>
          </w:p>
        </w:tc>
        <w:tc>
          <w:tcPr>
            <w:tcW w:w="1412" w:type="dxa"/>
            <w:tcBorders>
              <w:top w:val="single" w:color="auto" w:sz="4" w:space="0"/>
              <w:left w:val="nil"/>
              <w:bottom w:val="single" w:color="auto" w:sz="4" w:space="0"/>
              <w:right w:val="single" w:color="auto" w:sz="4" w:space="0"/>
            </w:tcBorders>
            <w:vAlign w:val="center"/>
          </w:tcPr>
          <w:p>
            <w:pPr>
              <w:jc w:val="left"/>
              <w:rPr>
                <w:szCs w:val="21"/>
              </w:rPr>
            </w:pPr>
          </w:p>
        </w:tc>
        <w:tc>
          <w:tcPr>
            <w:tcW w:w="2200" w:type="dxa"/>
            <w:tcBorders>
              <w:top w:val="single" w:color="auto" w:sz="4" w:space="0"/>
              <w:left w:val="nil"/>
              <w:bottom w:val="single" w:color="auto" w:sz="4" w:space="0"/>
              <w:right w:val="single" w:color="auto" w:sz="4" w:space="0"/>
            </w:tcBorders>
            <w:vAlign w:val="center"/>
          </w:tcPr>
          <w:p>
            <w:pPr>
              <w:jc w:val="left"/>
              <w:rPr>
                <w:szCs w:val="21"/>
              </w:rPr>
            </w:pPr>
          </w:p>
        </w:tc>
        <w:tc>
          <w:tcPr>
            <w:tcW w:w="2079" w:type="dxa"/>
            <w:tcBorders>
              <w:top w:val="single" w:color="auto" w:sz="4" w:space="0"/>
              <w:left w:val="nil"/>
              <w:bottom w:val="single" w:color="auto" w:sz="4" w:space="0"/>
              <w:right w:val="single" w:color="auto" w:sz="4" w:space="0"/>
            </w:tcBorders>
            <w:vAlign w:val="center"/>
          </w:tcPr>
          <w:p>
            <w:pPr>
              <w:jc w:val="left"/>
              <w:rPr>
                <w:szCs w:val="21"/>
              </w:rPr>
            </w:pPr>
          </w:p>
        </w:tc>
      </w:tr>
      <w:tr>
        <w:tblPrEx>
          <w:tblLayout w:type="fixed"/>
          <w:tblCellMar>
            <w:top w:w="0" w:type="dxa"/>
            <w:left w:w="108" w:type="dxa"/>
            <w:bottom w:w="0" w:type="dxa"/>
            <w:right w:w="108" w:type="dxa"/>
          </w:tblCellMar>
        </w:tblPrEx>
        <w:trPr>
          <w:trHeight w:val="702" w:hRule="atLeast"/>
        </w:trPr>
        <w:tc>
          <w:tcPr>
            <w:tcW w:w="599" w:type="dxa"/>
            <w:tcBorders>
              <w:top w:val="single" w:color="auto" w:sz="4" w:space="0"/>
              <w:left w:val="single" w:color="auto" w:sz="4" w:space="0"/>
              <w:bottom w:val="single" w:color="auto" w:sz="4" w:space="0"/>
              <w:right w:val="single" w:color="auto" w:sz="4" w:space="0"/>
            </w:tcBorders>
            <w:vAlign w:val="center"/>
          </w:tcPr>
          <w:p>
            <w:pPr>
              <w:jc w:val="left"/>
              <w:rPr>
                <w:szCs w:val="21"/>
              </w:rPr>
            </w:pPr>
          </w:p>
        </w:tc>
        <w:tc>
          <w:tcPr>
            <w:tcW w:w="3443" w:type="dxa"/>
            <w:tcBorders>
              <w:top w:val="single" w:color="auto" w:sz="4" w:space="0"/>
              <w:left w:val="nil"/>
              <w:bottom w:val="single" w:color="auto" w:sz="4" w:space="0"/>
              <w:right w:val="single" w:color="auto" w:sz="4" w:space="0"/>
            </w:tcBorders>
            <w:vAlign w:val="center"/>
          </w:tcPr>
          <w:p>
            <w:pPr>
              <w:jc w:val="left"/>
              <w:rPr>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eastAsia="方正仿宋_GBK"/>
                <w:kern w:val="0"/>
                <w:sz w:val="16"/>
                <w:szCs w:val="16"/>
              </w:rPr>
            </w:pPr>
          </w:p>
        </w:tc>
        <w:tc>
          <w:tcPr>
            <w:tcW w:w="1231"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p>
        </w:tc>
        <w:tc>
          <w:tcPr>
            <w:tcW w:w="896" w:type="dxa"/>
            <w:tcBorders>
              <w:top w:val="single" w:color="auto" w:sz="4" w:space="0"/>
              <w:left w:val="nil"/>
              <w:bottom w:val="single" w:color="auto" w:sz="4" w:space="0"/>
              <w:right w:val="single" w:color="auto" w:sz="4" w:space="0"/>
            </w:tcBorders>
            <w:vAlign w:val="center"/>
          </w:tcPr>
          <w:p>
            <w:pPr>
              <w:jc w:val="left"/>
              <w:rPr>
                <w:szCs w:val="21"/>
              </w:rPr>
            </w:pPr>
          </w:p>
        </w:tc>
        <w:tc>
          <w:tcPr>
            <w:tcW w:w="1070" w:type="dxa"/>
            <w:tcBorders>
              <w:top w:val="single" w:color="auto" w:sz="4" w:space="0"/>
              <w:left w:val="nil"/>
              <w:bottom w:val="single" w:color="auto" w:sz="4" w:space="0"/>
              <w:right w:val="single" w:color="auto" w:sz="4" w:space="0"/>
            </w:tcBorders>
            <w:vAlign w:val="center"/>
          </w:tcPr>
          <w:p>
            <w:pPr>
              <w:jc w:val="left"/>
              <w:rPr>
                <w:szCs w:val="21"/>
              </w:rPr>
            </w:pPr>
          </w:p>
        </w:tc>
        <w:tc>
          <w:tcPr>
            <w:tcW w:w="1069" w:type="dxa"/>
            <w:tcBorders>
              <w:top w:val="single" w:color="auto" w:sz="4" w:space="0"/>
              <w:left w:val="nil"/>
              <w:bottom w:val="single" w:color="auto" w:sz="4" w:space="0"/>
              <w:right w:val="single" w:color="auto" w:sz="4" w:space="0"/>
            </w:tcBorders>
            <w:vAlign w:val="center"/>
          </w:tcPr>
          <w:p>
            <w:pPr>
              <w:jc w:val="left"/>
              <w:rPr>
                <w:szCs w:val="21"/>
              </w:rPr>
            </w:pPr>
          </w:p>
        </w:tc>
        <w:tc>
          <w:tcPr>
            <w:tcW w:w="1412" w:type="dxa"/>
            <w:tcBorders>
              <w:top w:val="single" w:color="auto" w:sz="4" w:space="0"/>
              <w:left w:val="nil"/>
              <w:bottom w:val="single" w:color="auto" w:sz="4" w:space="0"/>
              <w:right w:val="single" w:color="auto" w:sz="4" w:space="0"/>
            </w:tcBorders>
            <w:vAlign w:val="center"/>
          </w:tcPr>
          <w:p>
            <w:pPr>
              <w:jc w:val="left"/>
              <w:rPr>
                <w:szCs w:val="21"/>
              </w:rPr>
            </w:pPr>
          </w:p>
        </w:tc>
        <w:tc>
          <w:tcPr>
            <w:tcW w:w="2200" w:type="dxa"/>
            <w:tcBorders>
              <w:top w:val="single" w:color="auto" w:sz="4" w:space="0"/>
              <w:left w:val="nil"/>
              <w:bottom w:val="single" w:color="auto" w:sz="4" w:space="0"/>
              <w:right w:val="single" w:color="auto" w:sz="4" w:space="0"/>
            </w:tcBorders>
            <w:vAlign w:val="center"/>
          </w:tcPr>
          <w:p>
            <w:pPr>
              <w:jc w:val="left"/>
              <w:rPr>
                <w:szCs w:val="21"/>
              </w:rPr>
            </w:pPr>
          </w:p>
        </w:tc>
        <w:tc>
          <w:tcPr>
            <w:tcW w:w="2079" w:type="dxa"/>
            <w:tcBorders>
              <w:top w:val="single" w:color="auto" w:sz="4" w:space="0"/>
              <w:left w:val="nil"/>
              <w:bottom w:val="single" w:color="auto" w:sz="4" w:space="0"/>
              <w:right w:val="single" w:color="auto" w:sz="4" w:space="0"/>
            </w:tcBorders>
            <w:vAlign w:val="center"/>
          </w:tcPr>
          <w:p>
            <w:pPr>
              <w:jc w:val="left"/>
              <w:rPr>
                <w:szCs w:val="21"/>
              </w:rPr>
            </w:pPr>
          </w:p>
        </w:tc>
      </w:tr>
      <w:tr>
        <w:tblPrEx>
          <w:tblLayout w:type="fixed"/>
          <w:tblCellMar>
            <w:top w:w="0" w:type="dxa"/>
            <w:left w:w="108" w:type="dxa"/>
            <w:bottom w:w="0" w:type="dxa"/>
            <w:right w:w="108" w:type="dxa"/>
          </w:tblCellMar>
        </w:tblPrEx>
        <w:trPr>
          <w:trHeight w:val="702" w:hRule="atLeast"/>
        </w:trPr>
        <w:tc>
          <w:tcPr>
            <w:tcW w:w="599" w:type="dxa"/>
            <w:tcBorders>
              <w:top w:val="single" w:color="auto" w:sz="4" w:space="0"/>
              <w:left w:val="single" w:color="auto" w:sz="4" w:space="0"/>
              <w:bottom w:val="single" w:color="auto" w:sz="4" w:space="0"/>
              <w:right w:val="single" w:color="auto" w:sz="4" w:space="0"/>
            </w:tcBorders>
            <w:vAlign w:val="center"/>
          </w:tcPr>
          <w:p>
            <w:pPr>
              <w:jc w:val="left"/>
              <w:rPr>
                <w:szCs w:val="21"/>
              </w:rPr>
            </w:pPr>
          </w:p>
        </w:tc>
        <w:tc>
          <w:tcPr>
            <w:tcW w:w="3443" w:type="dxa"/>
            <w:tcBorders>
              <w:top w:val="single" w:color="auto" w:sz="4" w:space="0"/>
              <w:left w:val="nil"/>
              <w:bottom w:val="single" w:color="auto" w:sz="4" w:space="0"/>
              <w:right w:val="single" w:color="auto" w:sz="4" w:space="0"/>
            </w:tcBorders>
            <w:vAlign w:val="center"/>
          </w:tcPr>
          <w:p>
            <w:pPr>
              <w:jc w:val="left"/>
              <w:rPr>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eastAsia="方正仿宋_GBK"/>
                <w:kern w:val="0"/>
                <w:sz w:val="16"/>
                <w:szCs w:val="16"/>
              </w:rPr>
            </w:pPr>
          </w:p>
        </w:tc>
        <w:tc>
          <w:tcPr>
            <w:tcW w:w="1231"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p>
        </w:tc>
        <w:tc>
          <w:tcPr>
            <w:tcW w:w="896" w:type="dxa"/>
            <w:tcBorders>
              <w:top w:val="single" w:color="auto" w:sz="4" w:space="0"/>
              <w:left w:val="nil"/>
              <w:bottom w:val="single" w:color="auto" w:sz="4" w:space="0"/>
              <w:right w:val="single" w:color="auto" w:sz="4" w:space="0"/>
            </w:tcBorders>
            <w:vAlign w:val="center"/>
          </w:tcPr>
          <w:p>
            <w:pPr>
              <w:jc w:val="left"/>
              <w:rPr>
                <w:szCs w:val="21"/>
              </w:rPr>
            </w:pPr>
          </w:p>
        </w:tc>
        <w:tc>
          <w:tcPr>
            <w:tcW w:w="1070" w:type="dxa"/>
            <w:tcBorders>
              <w:top w:val="single" w:color="auto" w:sz="4" w:space="0"/>
              <w:left w:val="nil"/>
              <w:bottom w:val="single" w:color="auto" w:sz="4" w:space="0"/>
              <w:right w:val="single" w:color="auto" w:sz="4" w:space="0"/>
            </w:tcBorders>
            <w:vAlign w:val="center"/>
          </w:tcPr>
          <w:p>
            <w:pPr>
              <w:jc w:val="left"/>
              <w:rPr>
                <w:szCs w:val="21"/>
              </w:rPr>
            </w:pPr>
          </w:p>
        </w:tc>
        <w:tc>
          <w:tcPr>
            <w:tcW w:w="1069" w:type="dxa"/>
            <w:tcBorders>
              <w:top w:val="single" w:color="auto" w:sz="4" w:space="0"/>
              <w:left w:val="nil"/>
              <w:bottom w:val="single" w:color="auto" w:sz="4" w:space="0"/>
              <w:right w:val="single" w:color="auto" w:sz="4" w:space="0"/>
            </w:tcBorders>
            <w:vAlign w:val="center"/>
          </w:tcPr>
          <w:p>
            <w:pPr>
              <w:jc w:val="left"/>
              <w:rPr>
                <w:szCs w:val="21"/>
              </w:rPr>
            </w:pPr>
          </w:p>
        </w:tc>
        <w:tc>
          <w:tcPr>
            <w:tcW w:w="1412" w:type="dxa"/>
            <w:tcBorders>
              <w:top w:val="single" w:color="auto" w:sz="4" w:space="0"/>
              <w:left w:val="nil"/>
              <w:bottom w:val="single" w:color="auto" w:sz="4" w:space="0"/>
              <w:right w:val="single" w:color="auto" w:sz="4" w:space="0"/>
            </w:tcBorders>
            <w:vAlign w:val="center"/>
          </w:tcPr>
          <w:p>
            <w:pPr>
              <w:jc w:val="left"/>
              <w:rPr>
                <w:szCs w:val="21"/>
              </w:rPr>
            </w:pPr>
          </w:p>
        </w:tc>
        <w:tc>
          <w:tcPr>
            <w:tcW w:w="2200" w:type="dxa"/>
            <w:tcBorders>
              <w:top w:val="single" w:color="auto" w:sz="4" w:space="0"/>
              <w:left w:val="nil"/>
              <w:bottom w:val="single" w:color="auto" w:sz="4" w:space="0"/>
              <w:right w:val="single" w:color="auto" w:sz="4" w:space="0"/>
            </w:tcBorders>
            <w:vAlign w:val="center"/>
          </w:tcPr>
          <w:p>
            <w:pPr>
              <w:jc w:val="left"/>
              <w:rPr>
                <w:szCs w:val="21"/>
              </w:rPr>
            </w:pPr>
          </w:p>
        </w:tc>
        <w:tc>
          <w:tcPr>
            <w:tcW w:w="2079" w:type="dxa"/>
            <w:tcBorders>
              <w:top w:val="single" w:color="auto" w:sz="4" w:space="0"/>
              <w:left w:val="nil"/>
              <w:bottom w:val="single" w:color="auto" w:sz="4" w:space="0"/>
              <w:right w:val="single" w:color="auto" w:sz="4" w:space="0"/>
            </w:tcBorders>
            <w:vAlign w:val="center"/>
          </w:tcPr>
          <w:p>
            <w:pPr>
              <w:jc w:val="left"/>
              <w:rPr>
                <w:szCs w:val="21"/>
              </w:rPr>
            </w:pPr>
          </w:p>
        </w:tc>
      </w:tr>
      <w:tr>
        <w:tblPrEx>
          <w:tblLayout w:type="fixed"/>
          <w:tblCellMar>
            <w:top w:w="0" w:type="dxa"/>
            <w:left w:w="108" w:type="dxa"/>
            <w:bottom w:w="0" w:type="dxa"/>
            <w:right w:w="108" w:type="dxa"/>
          </w:tblCellMar>
        </w:tblPrEx>
        <w:trPr>
          <w:trHeight w:val="702" w:hRule="atLeast"/>
        </w:trPr>
        <w:tc>
          <w:tcPr>
            <w:tcW w:w="599" w:type="dxa"/>
            <w:tcBorders>
              <w:top w:val="single" w:color="auto" w:sz="4" w:space="0"/>
              <w:left w:val="single" w:color="auto" w:sz="4" w:space="0"/>
              <w:bottom w:val="single" w:color="auto" w:sz="4" w:space="0"/>
              <w:right w:val="single" w:color="auto" w:sz="4" w:space="0"/>
            </w:tcBorders>
            <w:vAlign w:val="center"/>
          </w:tcPr>
          <w:p>
            <w:pPr>
              <w:jc w:val="left"/>
              <w:rPr>
                <w:szCs w:val="21"/>
              </w:rPr>
            </w:pPr>
          </w:p>
        </w:tc>
        <w:tc>
          <w:tcPr>
            <w:tcW w:w="3443" w:type="dxa"/>
            <w:tcBorders>
              <w:top w:val="single" w:color="auto" w:sz="4" w:space="0"/>
              <w:left w:val="nil"/>
              <w:bottom w:val="single" w:color="auto" w:sz="4" w:space="0"/>
              <w:right w:val="single" w:color="auto" w:sz="4" w:space="0"/>
            </w:tcBorders>
            <w:vAlign w:val="center"/>
          </w:tcPr>
          <w:p>
            <w:pPr>
              <w:jc w:val="left"/>
              <w:rPr>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eastAsia="方正仿宋_GBK"/>
                <w:kern w:val="0"/>
                <w:sz w:val="16"/>
                <w:szCs w:val="16"/>
              </w:rPr>
            </w:pPr>
          </w:p>
        </w:tc>
        <w:tc>
          <w:tcPr>
            <w:tcW w:w="1231"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p>
        </w:tc>
        <w:tc>
          <w:tcPr>
            <w:tcW w:w="896" w:type="dxa"/>
            <w:tcBorders>
              <w:top w:val="single" w:color="auto" w:sz="4" w:space="0"/>
              <w:left w:val="nil"/>
              <w:bottom w:val="single" w:color="auto" w:sz="4" w:space="0"/>
              <w:right w:val="single" w:color="auto" w:sz="4" w:space="0"/>
            </w:tcBorders>
            <w:vAlign w:val="center"/>
          </w:tcPr>
          <w:p>
            <w:pPr>
              <w:jc w:val="left"/>
              <w:rPr>
                <w:szCs w:val="21"/>
              </w:rPr>
            </w:pPr>
          </w:p>
        </w:tc>
        <w:tc>
          <w:tcPr>
            <w:tcW w:w="1070" w:type="dxa"/>
            <w:tcBorders>
              <w:top w:val="single" w:color="auto" w:sz="4" w:space="0"/>
              <w:left w:val="nil"/>
              <w:bottom w:val="single" w:color="auto" w:sz="4" w:space="0"/>
              <w:right w:val="single" w:color="auto" w:sz="4" w:space="0"/>
            </w:tcBorders>
            <w:vAlign w:val="center"/>
          </w:tcPr>
          <w:p>
            <w:pPr>
              <w:jc w:val="left"/>
              <w:rPr>
                <w:szCs w:val="21"/>
              </w:rPr>
            </w:pPr>
          </w:p>
        </w:tc>
        <w:tc>
          <w:tcPr>
            <w:tcW w:w="1069" w:type="dxa"/>
            <w:tcBorders>
              <w:top w:val="single" w:color="auto" w:sz="4" w:space="0"/>
              <w:left w:val="nil"/>
              <w:bottom w:val="single" w:color="auto" w:sz="4" w:space="0"/>
              <w:right w:val="single" w:color="auto" w:sz="4" w:space="0"/>
            </w:tcBorders>
            <w:vAlign w:val="center"/>
          </w:tcPr>
          <w:p>
            <w:pPr>
              <w:jc w:val="left"/>
              <w:rPr>
                <w:szCs w:val="21"/>
              </w:rPr>
            </w:pPr>
          </w:p>
        </w:tc>
        <w:tc>
          <w:tcPr>
            <w:tcW w:w="1412" w:type="dxa"/>
            <w:tcBorders>
              <w:top w:val="single" w:color="auto" w:sz="4" w:space="0"/>
              <w:left w:val="nil"/>
              <w:bottom w:val="single" w:color="auto" w:sz="4" w:space="0"/>
              <w:right w:val="single" w:color="auto" w:sz="4" w:space="0"/>
            </w:tcBorders>
            <w:vAlign w:val="center"/>
          </w:tcPr>
          <w:p>
            <w:pPr>
              <w:jc w:val="left"/>
              <w:rPr>
                <w:szCs w:val="21"/>
              </w:rPr>
            </w:pPr>
          </w:p>
        </w:tc>
        <w:tc>
          <w:tcPr>
            <w:tcW w:w="2200" w:type="dxa"/>
            <w:tcBorders>
              <w:top w:val="single" w:color="auto" w:sz="4" w:space="0"/>
              <w:left w:val="nil"/>
              <w:bottom w:val="single" w:color="auto" w:sz="4" w:space="0"/>
              <w:right w:val="single" w:color="auto" w:sz="4" w:space="0"/>
            </w:tcBorders>
            <w:vAlign w:val="center"/>
          </w:tcPr>
          <w:p>
            <w:pPr>
              <w:jc w:val="left"/>
              <w:rPr>
                <w:szCs w:val="21"/>
              </w:rPr>
            </w:pPr>
          </w:p>
        </w:tc>
        <w:tc>
          <w:tcPr>
            <w:tcW w:w="2079" w:type="dxa"/>
            <w:tcBorders>
              <w:top w:val="single" w:color="auto" w:sz="4" w:space="0"/>
              <w:left w:val="nil"/>
              <w:bottom w:val="single" w:color="auto" w:sz="4" w:space="0"/>
              <w:right w:val="single" w:color="auto" w:sz="4" w:space="0"/>
            </w:tcBorders>
            <w:vAlign w:val="center"/>
          </w:tcPr>
          <w:p>
            <w:pPr>
              <w:jc w:val="left"/>
              <w:rPr>
                <w:szCs w:val="21"/>
              </w:rPr>
            </w:pPr>
          </w:p>
        </w:tc>
      </w:tr>
      <w:tr>
        <w:tblPrEx>
          <w:tblLayout w:type="fixed"/>
          <w:tblCellMar>
            <w:top w:w="0" w:type="dxa"/>
            <w:left w:w="108" w:type="dxa"/>
            <w:bottom w:w="0" w:type="dxa"/>
            <w:right w:w="108" w:type="dxa"/>
          </w:tblCellMar>
        </w:tblPrEx>
        <w:trPr>
          <w:trHeight w:val="702" w:hRule="atLeast"/>
        </w:trPr>
        <w:tc>
          <w:tcPr>
            <w:tcW w:w="599" w:type="dxa"/>
            <w:tcBorders>
              <w:top w:val="single" w:color="auto" w:sz="4" w:space="0"/>
              <w:left w:val="single" w:color="auto" w:sz="4" w:space="0"/>
              <w:bottom w:val="single" w:color="auto" w:sz="4" w:space="0"/>
              <w:right w:val="single" w:color="auto" w:sz="4" w:space="0"/>
            </w:tcBorders>
            <w:vAlign w:val="center"/>
          </w:tcPr>
          <w:p>
            <w:pPr>
              <w:jc w:val="left"/>
              <w:rPr>
                <w:szCs w:val="21"/>
              </w:rPr>
            </w:pPr>
          </w:p>
        </w:tc>
        <w:tc>
          <w:tcPr>
            <w:tcW w:w="3443" w:type="dxa"/>
            <w:tcBorders>
              <w:top w:val="single" w:color="auto" w:sz="4" w:space="0"/>
              <w:left w:val="nil"/>
              <w:bottom w:val="single" w:color="auto" w:sz="4" w:space="0"/>
              <w:right w:val="single" w:color="auto" w:sz="4" w:space="0"/>
            </w:tcBorders>
            <w:vAlign w:val="center"/>
          </w:tcPr>
          <w:p>
            <w:pPr>
              <w:jc w:val="left"/>
              <w:rPr>
                <w:szCs w:val="21"/>
              </w:rPr>
            </w:pPr>
          </w:p>
        </w:tc>
        <w:tc>
          <w:tcPr>
            <w:tcW w:w="1503" w:type="dxa"/>
            <w:tcBorders>
              <w:top w:val="single" w:color="auto" w:sz="4" w:space="0"/>
              <w:left w:val="nil"/>
              <w:bottom w:val="single" w:color="auto" w:sz="4" w:space="0"/>
              <w:right w:val="single" w:color="auto" w:sz="4" w:space="0"/>
            </w:tcBorders>
            <w:vAlign w:val="center"/>
          </w:tcPr>
          <w:p>
            <w:pPr>
              <w:spacing w:line="240" w:lineRule="exact"/>
              <w:jc w:val="center"/>
              <w:rPr>
                <w:rFonts w:eastAsia="Times New Roman"/>
                <w:kern w:val="0"/>
                <w:sz w:val="16"/>
                <w:szCs w:val="16"/>
              </w:rPr>
            </w:pPr>
            <w:r>
              <w:rPr>
                <w:rFonts w:eastAsia="Times New Roman"/>
                <w:kern w:val="0"/>
                <w:sz w:val="16"/>
                <w:szCs w:val="16"/>
              </w:rPr>
              <w:t>……</w:t>
            </w:r>
          </w:p>
        </w:tc>
        <w:tc>
          <w:tcPr>
            <w:tcW w:w="1231" w:type="dxa"/>
            <w:tcBorders>
              <w:top w:val="single" w:color="auto" w:sz="4" w:space="0"/>
              <w:left w:val="nil"/>
              <w:bottom w:val="single" w:color="auto" w:sz="4" w:space="0"/>
              <w:right w:val="single" w:color="auto" w:sz="4" w:space="0"/>
            </w:tcBorders>
            <w:vAlign w:val="center"/>
          </w:tcPr>
          <w:p>
            <w:pPr>
              <w:spacing w:line="240" w:lineRule="exact"/>
              <w:jc w:val="center"/>
              <w:rPr>
                <w:kern w:val="0"/>
                <w:sz w:val="16"/>
                <w:szCs w:val="16"/>
              </w:rPr>
            </w:pPr>
          </w:p>
        </w:tc>
        <w:tc>
          <w:tcPr>
            <w:tcW w:w="896" w:type="dxa"/>
            <w:tcBorders>
              <w:top w:val="single" w:color="auto" w:sz="4" w:space="0"/>
              <w:left w:val="nil"/>
              <w:bottom w:val="single" w:color="auto" w:sz="4" w:space="0"/>
              <w:right w:val="single" w:color="auto" w:sz="4" w:space="0"/>
            </w:tcBorders>
            <w:vAlign w:val="center"/>
          </w:tcPr>
          <w:p>
            <w:pPr>
              <w:jc w:val="left"/>
              <w:rPr>
                <w:szCs w:val="21"/>
              </w:rPr>
            </w:pPr>
          </w:p>
        </w:tc>
        <w:tc>
          <w:tcPr>
            <w:tcW w:w="1070" w:type="dxa"/>
            <w:tcBorders>
              <w:top w:val="single" w:color="auto" w:sz="4" w:space="0"/>
              <w:left w:val="nil"/>
              <w:bottom w:val="single" w:color="auto" w:sz="4" w:space="0"/>
              <w:right w:val="single" w:color="auto" w:sz="4" w:space="0"/>
            </w:tcBorders>
            <w:vAlign w:val="center"/>
          </w:tcPr>
          <w:p>
            <w:pPr>
              <w:jc w:val="left"/>
              <w:rPr>
                <w:szCs w:val="21"/>
              </w:rPr>
            </w:pPr>
          </w:p>
        </w:tc>
        <w:tc>
          <w:tcPr>
            <w:tcW w:w="1069" w:type="dxa"/>
            <w:tcBorders>
              <w:top w:val="single" w:color="auto" w:sz="4" w:space="0"/>
              <w:left w:val="nil"/>
              <w:bottom w:val="single" w:color="auto" w:sz="4" w:space="0"/>
              <w:right w:val="single" w:color="auto" w:sz="4" w:space="0"/>
            </w:tcBorders>
            <w:vAlign w:val="center"/>
          </w:tcPr>
          <w:p>
            <w:pPr>
              <w:jc w:val="left"/>
              <w:rPr>
                <w:szCs w:val="21"/>
              </w:rPr>
            </w:pPr>
          </w:p>
        </w:tc>
        <w:tc>
          <w:tcPr>
            <w:tcW w:w="1412" w:type="dxa"/>
            <w:tcBorders>
              <w:top w:val="single" w:color="auto" w:sz="4" w:space="0"/>
              <w:left w:val="nil"/>
              <w:bottom w:val="single" w:color="auto" w:sz="4" w:space="0"/>
              <w:right w:val="single" w:color="auto" w:sz="4" w:space="0"/>
            </w:tcBorders>
            <w:vAlign w:val="center"/>
          </w:tcPr>
          <w:p>
            <w:pPr>
              <w:jc w:val="left"/>
              <w:rPr>
                <w:szCs w:val="21"/>
              </w:rPr>
            </w:pPr>
          </w:p>
        </w:tc>
        <w:tc>
          <w:tcPr>
            <w:tcW w:w="2200" w:type="dxa"/>
            <w:tcBorders>
              <w:top w:val="single" w:color="auto" w:sz="4" w:space="0"/>
              <w:left w:val="nil"/>
              <w:bottom w:val="single" w:color="auto" w:sz="4" w:space="0"/>
              <w:right w:val="single" w:color="auto" w:sz="4" w:space="0"/>
            </w:tcBorders>
            <w:vAlign w:val="center"/>
          </w:tcPr>
          <w:p>
            <w:pPr>
              <w:jc w:val="left"/>
              <w:rPr>
                <w:szCs w:val="21"/>
              </w:rPr>
            </w:pPr>
          </w:p>
        </w:tc>
        <w:tc>
          <w:tcPr>
            <w:tcW w:w="2079" w:type="dxa"/>
            <w:tcBorders>
              <w:top w:val="single" w:color="auto" w:sz="4" w:space="0"/>
              <w:left w:val="nil"/>
              <w:bottom w:val="single" w:color="auto" w:sz="4" w:space="0"/>
              <w:right w:val="single" w:color="auto" w:sz="4" w:space="0"/>
            </w:tcBorders>
            <w:vAlign w:val="center"/>
          </w:tcPr>
          <w:p>
            <w:pPr>
              <w:jc w:val="left"/>
              <w:rPr>
                <w:szCs w:val="21"/>
              </w:rPr>
            </w:pPr>
          </w:p>
        </w:tc>
      </w:tr>
    </w:tbl>
    <w:p>
      <w:pPr>
        <w:spacing w:line="240" w:lineRule="exact"/>
        <w:jc w:val="left"/>
        <w:rPr>
          <w:rFonts w:ascii="方正仿宋_GBK" w:eastAsia="方正仿宋_GBK"/>
          <w:kern w:val="0"/>
          <w:sz w:val="16"/>
          <w:szCs w:val="16"/>
        </w:rPr>
      </w:pPr>
      <w:r>
        <w:rPr>
          <w:rFonts w:hint="eastAsia" w:ascii="宋体" w:hAnsi="宋体"/>
          <w:b/>
          <w:bCs/>
          <w:kern w:val="0"/>
          <w:sz w:val="16"/>
          <w:szCs w:val="16"/>
        </w:rPr>
        <w:t>注</w:t>
      </w:r>
      <w:r>
        <w:rPr>
          <w:rFonts w:hint="eastAsia" w:ascii="方正仿宋_GBK" w:eastAsia="方正仿宋_GBK"/>
          <w:kern w:val="0"/>
          <w:sz w:val="16"/>
          <w:szCs w:val="16"/>
        </w:rPr>
        <w:t>：</w:t>
      </w:r>
      <w:r>
        <w:rPr>
          <w:rFonts w:eastAsia="方正仿宋_GBK"/>
          <w:kern w:val="0"/>
          <w:sz w:val="16"/>
          <w:szCs w:val="16"/>
        </w:rPr>
        <w:t xml:space="preserve"> 1</w:t>
      </w:r>
      <w:r>
        <w:rPr>
          <w:kern w:val="0"/>
          <w:sz w:val="16"/>
          <w:szCs w:val="16"/>
        </w:rPr>
        <w:t>.</w:t>
      </w:r>
      <w:r>
        <w:rPr>
          <w:rFonts w:hint="eastAsia" w:ascii="方正仿宋_GBK" w:eastAsia="方正仿宋_GBK"/>
          <w:kern w:val="0"/>
          <w:sz w:val="16"/>
          <w:szCs w:val="16"/>
        </w:rPr>
        <w:t>排查时间按照</w:t>
      </w:r>
      <w:r>
        <w:rPr>
          <w:rFonts w:eastAsia="方正仿宋_GBK"/>
          <w:kern w:val="0"/>
          <w:sz w:val="16"/>
          <w:szCs w:val="16"/>
        </w:rPr>
        <w:t>YYYY-MM-DD</w:t>
      </w:r>
      <w:r>
        <w:rPr>
          <w:rFonts w:hint="eastAsia" w:ascii="方正仿宋_GBK" w:eastAsia="方正仿宋_GBK"/>
          <w:kern w:val="0"/>
          <w:sz w:val="16"/>
          <w:szCs w:val="16"/>
        </w:rPr>
        <w:t>的格式填写，如</w:t>
      </w:r>
      <w:r>
        <w:rPr>
          <w:rFonts w:eastAsia="方正仿宋_GBK"/>
          <w:kern w:val="0"/>
          <w:sz w:val="16"/>
          <w:szCs w:val="16"/>
        </w:rPr>
        <w:t>2019-4-</w:t>
      </w:r>
      <w:r>
        <w:rPr>
          <w:kern w:val="0"/>
          <w:sz w:val="16"/>
          <w:szCs w:val="16"/>
        </w:rPr>
        <w:t>3</w:t>
      </w:r>
      <w:r>
        <w:rPr>
          <w:rFonts w:eastAsia="方正仿宋_GBK"/>
          <w:kern w:val="0"/>
          <w:sz w:val="16"/>
          <w:szCs w:val="16"/>
        </w:rPr>
        <w:t>0</w:t>
      </w:r>
      <w:r>
        <w:rPr>
          <w:rFonts w:hint="eastAsia" w:ascii="方正仿宋_GBK" w:eastAsia="方正仿宋_GBK"/>
          <w:kern w:val="0"/>
          <w:sz w:val="16"/>
          <w:szCs w:val="16"/>
        </w:rPr>
        <w:t>；</w:t>
      </w:r>
      <w:r>
        <w:rPr>
          <w:rFonts w:eastAsia="方正仿宋_GBK"/>
          <w:kern w:val="0"/>
          <w:sz w:val="16"/>
          <w:szCs w:val="16"/>
        </w:rPr>
        <w:br w:type="textWrapping"/>
      </w:r>
      <w:r>
        <w:rPr>
          <w:rFonts w:eastAsia="方正仿宋_GBK"/>
          <w:kern w:val="0"/>
          <w:sz w:val="16"/>
          <w:szCs w:val="16"/>
        </w:rPr>
        <w:t xml:space="preserve">    2</w:t>
      </w:r>
      <w:r>
        <w:rPr>
          <w:kern w:val="0"/>
          <w:sz w:val="16"/>
          <w:szCs w:val="16"/>
        </w:rPr>
        <w:t>.</w:t>
      </w:r>
      <w:r>
        <w:rPr>
          <w:rFonts w:hint="eastAsia" w:ascii="方正仿宋_GBK" w:eastAsia="方正仿宋_GBK"/>
          <w:kern w:val="0"/>
          <w:sz w:val="16"/>
          <w:szCs w:val="16"/>
        </w:rPr>
        <w:t>排查人员按照实际情况填写，如民政局李</w:t>
      </w:r>
      <w:r>
        <w:rPr>
          <w:rFonts w:eastAsia="方正仿宋_GBK"/>
          <w:kern w:val="0"/>
          <w:sz w:val="16"/>
          <w:szCs w:val="16"/>
        </w:rPr>
        <w:t>××</w:t>
      </w:r>
      <w:r>
        <w:rPr>
          <w:rFonts w:hint="eastAsia" w:ascii="方正仿宋_GBK" w:eastAsia="方正仿宋_GBK"/>
          <w:kern w:val="0"/>
          <w:sz w:val="16"/>
          <w:szCs w:val="16"/>
        </w:rPr>
        <w:t>。</w:t>
      </w: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pPr>
    </w:p>
    <w:p>
      <w:pPr>
        <w:spacing w:line="240" w:lineRule="exact"/>
        <w:jc w:val="left"/>
        <w:rPr>
          <w:rFonts w:ascii="方正仿宋_GBK" w:eastAsia="方正仿宋_GBK"/>
          <w:kern w:val="0"/>
          <w:sz w:val="16"/>
          <w:szCs w:val="16"/>
        </w:rPr>
        <w:sectPr>
          <w:pgSz w:w="16838" w:h="11906" w:orient="landscape"/>
          <w:pgMar w:top="1587" w:right="1440" w:bottom="1587" w:left="1440" w:header="851" w:footer="992" w:gutter="0"/>
          <w:pgNumType w:fmt="decimal"/>
          <w:cols w:space="720" w:num="1"/>
          <w:docGrid w:type="lines" w:linePitch="323" w:charSpace="0"/>
        </w:sectPr>
      </w:pPr>
    </w:p>
    <w:p>
      <w:pPr>
        <w:spacing w:line="240" w:lineRule="exact"/>
        <w:jc w:val="left"/>
        <w:rPr>
          <w:rFonts w:ascii="方正仿宋_GBK" w:eastAsia="方正仿宋_GBK"/>
          <w:kern w:val="0"/>
          <w:sz w:val="16"/>
          <w:szCs w:val="16"/>
        </w:rPr>
      </w:pPr>
    </w:p>
    <w:p>
      <w:pPr>
        <w:adjustRightInd w:val="0"/>
        <w:snapToGrid w:val="0"/>
        <w:spacing w:line="592" w:lineRule="exact"/>
        <w:rPr>
          <w:rFonts w:eastAsia="黑体"/>
          <w:snapToGrid w:val="0"/>
          <w:kern w:val="0"/>
          <w:sz w:val="32"/>
          <w:szCs w:val="32"/>
        </w:rPr>
      </w:pPr>
      <w:r>
        <w:rPr>
          <w:rFonts w:hint="eastAsia" w:eastAsia="黑体"/>
          <w:snapToGrid w:val="0"/>
          <w:kern w:val="0"/>
          <w:sz w:val="32"/>
          <w:szCs w:val="32"/>
        </w:rPr>
        <w:t>附件</w:t>
      </w:r>
      <w:r>
        <w:rPr>
          <w:rFonts w:eastAsia="黑体"/>
          <w:snapToGrid w:val="0"/>
          <w:kern w:val="0"/>
          <w:sz w:val="32"/>
          <w:szCs w:val="32"/>
        </w:rPr>
        <w:t>3</w:t>
      </w:r>
    </w:p>
    <w:p>
      <w:pPr>
        <w:adjustRightInd w:val="0"/>
        <w:snapToGrid w:val="0"/>
        <w:spacing w:line="592" w:lineRule="exact"/>
        <w:jc w:val="center"/>
        <w:rPr>
          <w:rFonts w:eastAsia="方正小标宋简体"/>
          <w:snapToGrid w:val="0"/>
          <w:kern w:val="0"/>
          <w:sz w:val="42"/>
          <w:szCs w:val="44"/>
        </w:rPr>
      </w:pPr>
      <w:r>
        <w:rPr>
          <w:rFonts w:eastAsia="方正小标宋简体"/>
          <w:snapToGrid w:val="0"/>
          <w:kern w:val="0"/>
          <w:sz w:val="42"/>
          <w:szCs w:val="44"/>
        </w:rPr>
        <w:t>2019</w:t>
      </w:r>
      <w:r>
        <w:rPr>
          <w:rFonts w:hint="eastAsia" w:eastAsia="方正小标宋简体"/>
          <w:snapToGrid w:val="0"/>
          <w:kern w:val="0"/>
          <w:sz w:val="42"/>
          <w:szCs w:val="44"/>
        </w:rPr>
        <w:t>年养老院服务质量建设专项行动通报要点</w:t>
      </w:r>
    </w:p>
    <w:p>
      <w:pPr>
        <w:adjustRightInd w:val="0"/>
        <w:snapToGrid w:val="0"/>
        <w:spacing w:line="592" w:lineRule="exact"/>
        <w:jc w:val="center"/>
        <w:rPr>
          <w:rFonts w:eastAsia="方正小标宋简体"/>
          <w:snapToGrid w:val="0"/>
          <w:kern w:val="0"/>
          <w:sz w:val="42"/>
          <w:szCs w:val="44"/>
        </w:rPr>
      </w:pPr>
    </w:p>
    <w:tbl>
      <w:tblPr>
        <w:tblStyle w:val="5"/>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5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是否制定落实方案</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纳入监管的养老机构总数</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存在重大风险隐患的</w:t>
            </w:r>
          </w:p>
          <w:p>
            <w:pPr>
              <w:spacing w:line="300" w:lineRule="exact"/>
              <w:jc w:val="center"/>
              <w:rPr>
                <w:rFonts w:eastAsia="仿宋_GB2312" w:cs="宋体"/>
                <w:szCs w:val="21"/>
              </w:rPr>
            </w:pPr>
            <w:r>
              <w:rPr>
                <w:rFonts w:hint="eastAsia" w:eastAsia="仿宋_GB2312" w:cs="宋体"/>
                <w:szCs w:val="21"/>
              </w:rPr>
              <w:t>养老机构数</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尚未整治到位的重大风险</w:t>
            </w:r>
          </w:p>
          <w:p>
            <w:pPr>
              <w:spacing w:line="300" w:lineRule="exact"/>
              <w:jc w:val="center"/>
              <w:rPr>
                <w:rFonts w:eastAsia="仿宋_GB2312" w:cs="宋体"/>
                <w:szCs w:val="21"/>
              </w:rPr>
            </w:pPr>
            <w:r>
              <w:rPr>
                <w:rFonts w:hint="eastAsia" w:eastAsia="仿宋_GB2312" w:cs="宋体"/>
                <w:szCs w:val="21"/>
              </w:rPr>
              <w:t>隐患数</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已完成整治的养老机构数</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已完成整治的重大</w:t>
            </w:r>
          </w:p>
          <w:p>
            <w:pPr>
              <w:spacing w:line="300" w:lineRule="exact"/>
              <w:jc w:val="center"/>
              <w:rPr>
                <w:rFonts w:eastAsia="仿宋_GB2312" w:cs="宋体"/>
                <w:szCs w:val="21"/>
              </w:rPr>
            </w:pPr>
            <w:r>
              <w:rPr>
                <w:rFonts w:hint="eastAsia" w:eastAsia="仿宋_GB2312" w:cs="宋体"/>
                <w:szCs w:val="21"/>
              </w:rPr>
              <w:t>风险隐患数</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符合《养老机构服务质量</w:t>
            </w:r>
          </w:p>
          <w:p>
            <w:pPr>
              <w:spacing w:line="300" w:lineRule="exact"/>
              <w:jc w:val="center"/>
              <w:rPr>
                <w:rFonts w:eastAsia="仿宋_GB2312" w:cs="宋体"/>
                <w:szCs w:val="21"/>
              </w:rPr>
            </w:pPr>
            <w:r>
              <w:rPr>
                <w:rFonts w:hint="eastAsia" w:eastAsia="仿宋_GB2312" w:cs="宋体"/>
                <w:szCs w:val="21"/>
              </w:rPr>
              <w:t>基本规范》的机构数量</w:t>
            </w:r>
          </w:p>
        </w:tc>
        <w:tc>
          <w:tcPr>
            <w:tcW w:w="5686" w:type="dxa"/>
            <w:vAlign w:val="center"/>
          </w:tcPr>
          <w:p>
            <w:pPr>
              <w:spacing w:line="300" w:lineRule="exact"/>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3262" w:type="dxa"/>
            <w:vAlign w:val="center"/>
          </w:tcPr>
          <w:p>
            <w:pPr>
              <w:spacing w:line="300" w:lineRule="exact"/>
              <w:jc w:val="center"/>
              <w:rPr>
                <w:rFonts w:eastAsia="仿宋_GB2312" w:cs="宋体"/>
                <w:szCs w:val="21"/>
              </w:rPr>
            </w:pPr>
            <w:r>
              <w:rPr>
                <w:rFonts w:hint="eastAsia" w:eastAsia="仿宋_GB2312" w:cs="宋体"/>
                <w:szCs w:val="21"/>
              </w:rPr>
              <w:t>按照《养老机构等级划分</w:t>
            </w:r>
          </w:p>
          <w:p>
            <w:pPr>
              <w:spacing w:line="300" w:lineRule="exact"/>
              <w:jc w:val="center"/>
              <w:rPr>
                <w:rFonts w:eastAsia="仿宋_GB2312" w:cs="宋体"/>
                <w:szCs w:val="21"/>
              </w:rPr>
            </w:pPr>
            <w:r>
              <w:rPr>
                <w:rFonts w:hint="eastAsia" w:eastAsia="仿宋_GB2312" w:cs="宋体"/>
                <w:szCs w:val="21"/>
              </w:rPr>
              <w:t>与评定》国家标准评定情况</w:t>
            </w:r>
          </w:p>
        </w:tc>
        <w:tc>
          <w:tcPr>
            <w:tcW w:w="5686" w:type="dxa"/>
            <w:vAlign w:val="center"/>
          </w:tcPr>
          <w:p>
            <w:pPr>
              <w:spacing w:line="300" w:lineRule="exact"/>
              <w:rPr>
                <w:rFonts w:eastAsia="仿宋_GB2312" w:cs="宋体"/>
                <w:szCs w:val="21"/>
              </w:rPr>
            </w:pPr>
            <w:r>
              <w:rPr>
                <w:rFonts w:hint="eastAsia" w:eastAsia="仿宋_GB2312" w:cs="宋体"/>
                <w:szCs w:val="21"/>
              </w:rPr>
              <w:t>一星</w:t>
            </w:r>
            <w:r>
              <w:rPr>
                <w:rFonts w:eastAsia="仿宋_GB2312" w:cs="宋体"/>
                <w:szCs w:val="21"/>
              </w:rPr>
              <w:t xml:space="preserve"> </w:t>
            </w:r>
            <w:r>
              <w:rPr>
                <w:rFonts w:eastAsia="仿宋_GB2312" w:cs="宋体"/>
                <w:szCs w:val="21"/>
                <w:u w:val="single"/>
              </w:rPr>
              <w:t xml:space="preserve">  </w:t>
            </w:r>
            <w:r>
              <w:rPr>
                <w:rFonts w:hint="eastAsia" w:eastAsia="仿宋_GB2312" w:cs="宋体"/>
                <w:szCs w:val="21"/>
              </w:rPr>
              <w:t>个，二星</w:t>
            </w:r>
            <w:r>
              <w:rPr>
                <w:rFonts w:eastAsia="仿宋_GB2312" w:cs="宋体"/>
                <w:szCs w:val="21"/>
                <w:u w:val="single"/>
              </w:rPr>
              <w:t xml:space="preserve">   </w:t>
            </w:r>
            <w:r>
              <w:rPr>
                <w:rFonts w:hint="eastAsia" w:eastAsia="仿宋_GB2312" w:cs="宋体"/>
                <w:szCs w:val="21"/>
              </w:rPr>
              <w:t>个，三星</w:t>
            </w:r>
            <w:r>
              <w:rPr>
                <w:rFonts w:eastAsia="仿宋_GB2312" w:cs="宋体"/>
                <w:szCs w:val="21"/>
                <w:u w:val="single"/>
              </w:rPr>
              <w:t xml:space="preserve">   </w:t>
            </w:r>
            <w:r>
              <w:rPr>
                <w:rFonts w:hint="eastAsia" w:eastAsia="仿宋_GB2312" w:cs="宋体"/>
                <w:szCs w:val="21"/>
              </w:rPr>
              <w:t>个，四星</w:t>
            </w:r>
            <w:r>
              <w:rPr>
                <w:rFonts w:eastAsia="仿宋_GB2312" w:cs="宋体"/>
                <w:szCs w:val="21"/>
                <w:u w:val="single"/>
              </w:rPr>
              <w:t xml:space="preserve">   </w:t>
            </w:r>
            <w:r>
              <w:rPr>
                <w:rFonts w:hint="eastAsia" w:eastAsia="仿宋_GB2312" w:cs="宋体"/>
                <w:szCs w:val="21"/>
              </w:rPr>
              <w:t>个，五星</w:t>
            </w:r>
            <w:r>
              <w:rPr>
                <w:rFonts w:eastAsia="仿宋_GB2312" w:cs="宋体"/>
                <w:szCs w:val="21"/>
                <w:u w:val="single"/>
              </w:rPr>
              <w:t xml:space="preserve">  </w:t>
            </w:r>
            <w:r>
              <w:rPr>
                <w:rFonts w:hint="eastAsia" w:eastAsia="仿宋_GB2312" w:cs="宋体"/>
                <w:szCs w:val="21"/>
              </w:rPr>
              <w:t>个</w:t>
            </w:r>
          </w:p>
        </w:tc>
      </w:tr>
    </w:tbl>
    <w:p>
      <w:pPr>
        <w:adjustRightInd w:val="0"/>
        <w:snapToGrid w:val="0"/>
        <w:spacing w:line="500" w:lineRule="exact"/>
        <w:ind w:left="1068" w:hanging="1068" w:hangingChars="380"/>
        <w:rPr>
          <w:rFonts w:eastAsia="楷体_GB2312"/>
          <w:b/>
          <w:snapToGrid w:val="0"/>
          <w:kern w:val="0"/>
          <w:sz w:val="28"/>
          <w:szCs w:val="28"/>
        </w:rPr>
      </w:pPr>
      <w:r>
        <w:rPr>
          <w:rFonts w:hint="eastAsia" w:eastAsia="楷体_GB2312"/>
          <w:b/>
          <w:snapToGrid w:val="0"/>
          <w:kern w:val="0"/>
          <w:sz w:val="28"/>
          <w:szCs w:val="28"/>
        </w:rPr>
        <w:t>说明：</w:t>
      </w:r>
      <w:r>
        <w:rPr>
          <w:rFonts w:eastAsia="楷体_GB2312"/>
          <w:b/>
          <w:snapToGrid w:val="0"/>
          <w:kern w:val="0"/>
          <w:sz w:val="28"/>
          <w:szCs w:val="28"/>
        </w:rPr>
        <w:t>1.</w:t>
      </w:r>
      <w:r>
        <w:rPr>
          <w:rFonts w:hint="eastAsia" w:eastAsia="楷体_GB2312"/>
          <w:b/>
          <w:snapToGrid w:val="0"/>
          <w:kern w:val="0"/>
          <w:sz w:val="28"/>
          <w:szCs w:val="28"/>
        </w:rPr>
        <w:t>“是否制定落实方案”一栏填写“是”的省份应将所制定落实方案于</w:t>
      </w:r>
      <w:r>
        <w:rPr>
          <w:rFonts w:eastAsia="楷体_GB2312"/>
          <w:b/>
          <w:snapToGrid w:val="0"/>
          <w:kern w:val="0"/>
          <w:sz w:val="28"/>
          <w:szCs w:val="28"/>
        </w:rPr>
        <w:t>5</w:t>
      </w:r>
      <w:r>
        <w:rPr>
          <w:rFonts w:hint="eastAsia" w:eastAsia="楷体_GB2312"/>
          <w:b/>
          <w:snapToGrid w:val="0"/>
          <w:kern w:val="0"/>
          <w:sz w:val="28"/>
          <w:szCs w:val="28"/>
        </w:rPr>
        <w:t>月</w:t>
      </w:r>
      <w:r>
        <w:rPr>
          <w:rFonts w:eastAsia="楷体_GB2312"/>
          <w:b/>
          <w:snapToGrid w:val="0"/>
          <w:kern w:val="0"/>
          <w:sz w:val="28"/>
          <w:szCs w:val="28"/>
        </w:rPr>
        <w:t>30</w:t>
      </w:r>
      <w:r>
        <w:rPr>
          <w:rFonts w:hint="eastAsia" w:eastAsia="楷体_GB2312"/>
          <w:b/>
          <w:snapToGrid w:val="0"/>
          <w:kern w:val="0"/>
          <w:sz w:val="28"/>
          <w:szCs w:val="28"/>
        </w:rPr>
        <w:t>日前报民政部；</w:t>
      </w:r>
    </w:p>
    <w:p>
      <w:pPr>
        <w:adjustRightInd w:val="0"/>
        <w:snapToGrid w:val="0"/>
        <w:spacing w:line="500" w:lineRule="exact"/>
        <w:ind w:left="1037" w:leftChars="400" w:hanging="197" w:hangingChars="70"/>
        <w:rPr>
          <w:rFonts w:eastAsia="楷体_GB2312"/>
          <w:b/>
          <w:snapToGrid w:val="0"/>
          <w:kern w:val="0"/>
          <w:sz w:val="28"/>
          <w:szCs w:val="28"/>
        </w:rPr>
      </w:pPr>
      <w:r>
        <w:rPr>
          <w:rFonts w:eastAsia="楷体_GB2312"/>
          <w:b/>
          <w:snapToGrid w:val="0"/>
          <w:kern w:val="0"/>
          <w:sz w:val="28"/>
          <w:szCs w:val="28"/>
        </w:rPr>
        <w:t>2.</w:t>
      </w:r>
      <w:r>
        <w:rPr>
          <w:rFonts w:hint="eastAsia" w:eastAsia="楷体_GB2312"/>
          <w:b/>
          <w:snapToGrid w:val="0"/>
          <w:kern w:val="0"/>
          <w:sz w:val="28"/>
          <w:szCs w:val="28"/>
        </w:rPr>
        <w:t>季度通报的数据来源于全国养老机构业务管理系统，地方民政部门要根据专项行动进展情况及时填报和更新。</w:t>
      </w:r>
    </w:p>
    <w:p>
      <w:pPr>
        <w:spacing w:line="240" w:lineRule="exact"/>
        <w:jc w:val="left"/>
        <w:rPr>
          <w:szCs w:val="21"/>
        </w:rPr>
      </w:pPr>
    </w:p>
    <w:sectPr>
      <w:footerReference r:id="rId6" w:type="default"/>
      <w:pgSz w:w="11906" w:h="16838"/>
      <w:pgMar w:top="1440" w:right="1588" w:bottom="1440" w:left="1588" w:header="851" w:footer="992" w:gutter="0"/>
      <w:pgNumType w:fmt="decimal"/>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0</w:t>
    </w:r>
    <w:r>
      <w:rPr>
        <w:lang w:val="zh-CN"/>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20E1"/>
    <w:multiLevelType w:val="singleLevel"/>
    <w:tmpl w:val="599020E1"/>
    <w:lvl w:ilvl="0" w:tentative="0">
      <w:start w:val="1"/>
      <w:numFmt w:val="decimal"/>
      <w:suff w:val="nothing"/>
      <w:lvlText w:val="%1."/>
      <w:lvlJc w:val="left"/>
      <w:rPr>
        <w:rFonts w:cs="Times New Roman"/>
      </w:rPr>
    </w:lvl>
  </w:abstractNum>
  <w:abstractNum w:abstractNumId="1">
    <w:nsid w:val="5990F0DA"/>
    <w:multiLevelType w:val="singleLevel"/>
    <w:tmpl w:val="5990F0DA"/>
    <w:lvl w:ilvl="0" w:tentative="0">
      <w:start w:val="1"/>
      <w:numFmt w:val="decimal"/>
      <w:suff w:val="nothing"/>
      <w:lvlText w:val="%1."/>
      <w:lvlJc w:val="left"/>
      <w:rPr>
        <w:rFonts w:cs="Times New Roman"/>
      </w:rPr>
    </w:lvl>
  </w:abstractNum>
  <w:abstractNum w:abstractNumId="2">
    <w:nsid w:val="5990F182"/>
    <w:multiLevelType w:val="singleLevel"/>
    <w:tmpl w:val="5990F182"/>
    <w:lvl w:ilvl="0" w:tentative="0">
      <w:start w:val="1"/>
      <w:numFmt w:val="decimal"/>
      <w:suff w:val="nothing"/>
      <w:lvlText w:val="%1."/>
      <w:lvlJc w:val="left"/>
      <w:rPr>
        <w:rFonts w:cs="Times New Roman"/>
      </w:rPr>
    </w:lvl>
  </w:abstractNum>
  <w:abstractNum w:abstractNumId="3">
    <w:nsid w:val="5990F1D1"/>
    <w:multiLevelType w:val="singleLevel"/>
    <w:tmpl w:val="5990F1D1"/>
    <w:lvl w:ilvl="0" w:tentative="0">
      <w:start w:val="1"/>
      <w:numFmt w:val="decimal"/>
      <w:suff w:val="nothing"/>
      <w:lvlText w:val="%1."/>
      <w:lvlJc w:val="left"/>
      <w:rPr>
        <w:rFonts w:cs="Times New Roman"/>
      </w:rPr>
    </w:lvl>
  </w:abstractNum>
  <w:abstractNum w:abstractNumId="4">
    <w:nsid w:val="5990F29B"/>
    <w:multiLevelType w:val="singleLevel"/>
    <w:tmpl w:val="5990F29B"/>
    <w:lvl w:ilvl="0" w:tentative="0">
      <w:start w:val="1"/>
      <w:numFmt w:val="decimal"/>
      <w:suff w:val="nothing"/>
      <w:lvlText w:val="%1."/>
      <w:lvlJc w:val="left"/>
      <w:rPr>
        <w:rFonts w:cs="Times New Roman"/>
      </w:rPr>
    </w:lvl>
  </w:abstractNum>
  <w:abstractNum w:abstractNumId="5">
    <w:nsid w:val="5990F2F4"/>
    <w:multiLevelType w:val="singleLevel"/>
    <w:tmpl w:val="5990F2F4"/>
    <w:lvl w:ilvl="0" w:tentative="0">
      <w:start w:val="1"/>
      <w:numFmt w:val="decimal"/>
      <w:suff w:val="nothing"/>
      <w:lvlText w:val="%1."/>
      <w:lvlJc w:val="left"/>
      <w:rPr>
        <w:rFonts w:cs="Times New Roman"/>
      </w:rPr>
    </w:lvl>
  </w:abstractNum>
  <w:abstractNum w:abstractNumId="6">
    <w:nsid w:val="5990F398"/>
    <w:multiLevelType w:val="singleLevel"/>
    <w:tmpl w:val="5990F398"/>
    <w:lvl w:ilvl="0" w:tentative="0">
      <w:start w:val="1"/>
      <w:numFmt w:val="decimal"/>
      <w:suff w:val="nothing"/>
      <w:lvlText w:val="%1."/>
      <w:lvlJc w:val="left"/>
      <w:rPr>
        <w:rFonts w:cs="Times New Roman"/>
      </w:rPr>
    </w:lvl>
  </w:abstractNum>
  <w:abstractNum w:abstractNumId="7">
    <w:nsid w:val="5990F3CE"/>
    <w:multiLevelType w:val="singleLevel"/>
    <w:tmpl w:val="5990F3CE"/>
    <w:lvl w:ilvl="0" w:tentative="0">
      <w:start w:val="1"/>
      <w:numFmt w:val="decimal"/>
      <w:suff w:val="nothing"/>
      <w:lvlText w:val="%1."/>
      <w:lvlJc w:val="left"/>
      <w:rPr>
        <w:rFonts w:cs="Times New Roman"/>
      </w:rPr>
    </w:lvl>
  </w:abstractNum>
  <w:abstractNum w:abstractNumId="8">
    <w:nsid w:val="5990F4B7"/>
    <w:multiLevelType w:val="singleLevel"/>
    <w:tmpl w:val="5990F4B7"/>
    <w:lvl w:ilvl="0" w:tentative="0">
      <w:start w:val="1"/>
      <w:numFmt w:val="decimal"/>
      <w:suff w:val="nothing"/>
      <w:lvlText w:val="%1."/>
      <w:lvlJc w:val="left"/>
      <w:rPr>
        <w:rFonts w:cs="Times New Roman"/>
      </w:rPr>
    </w:lvl>
  </w:abstractNum>
  <w:abstractNum w:abstractNumId="9">
    <w:nsid w:val="59917FAA"/>
    <w:multiLevelType w:val="singleLevel"/>
    <w:tmpl w:val="59917FAA"/>
    <w:lvl w:ilvl="0" w:tentative="0">
      <w:start w:val="1"/>
      <w:numFmt w:val="decimal"/>
      <w:suff w:val="nothing"/>
      <w:lvlText w:val="%1."/>
      <w:lvlJc w:val="left"/>
      <w:rPr>
        <w:rFonts w:cs="Times New Roman"/>
      </w:rPr>
    </w:lvl>
  </w:abstractNum>
  <w:abstractNum w:abstractNumId="10">
    <w:nsid w:val="59918183"/>
    <w:multiLevelType w:val="singleLevel"/>
    <w:tmpl w:val="59918183"/>
    <w:lvl w:ilvl="0" w:tentative="0">
      <w:start w:val="1"/>
      <w:numFmt w:val="decimal"/>
      <w:suff w:val="nothing"/>
      <w:lvlText w:val="%1."/>
      <w:lvlJc w:val="left"/>
      <w:rPr>
        <w:rFonts w:cs="Times New Roman"/>
      </w:rPr>
    </w:lvl>
  </w:abstractNum>
  <w:abstractNum w:abstractNumId="11">
    <w:nsid w:val="59918193"/>
    <w:multiLevelType w:val="singleLevel"/>
    <w:tmpl w:val="59918193"/>
    <w:lvl w:ilvl="0" w:tentative="0">
      <w:start w:val="1"/>
      <w:numFmt w:val="decimal"/>
      <w:suff w:val="nothing"/>
      <w:lvlText w:val="%1."/>
      <w:lvlJc w:val="left"/>
      <w:rPr>
        <w:rFonts w:cs="Times New Roman"/>
      </w:rPr>
    </w:lvl>
  </w:abstractNum>
  <w:abstractNum w:abstractNumId="12">
    <w:nsid w:val="599181DD"/>
    <w:multiLevelType w:val="singleLevel"/>
    <w:tmpl w:val="599181DD"/>
    <w:lvl w:ilvl="0" w:tentative="0">
      <w:start w:val="1"/>
      <w:numFmt w:val="decimal"/>
      <w:suff w:val="nothing"/>
      <w:lvlText w:val="%1."/>
      <w:lvlJc w:val="left"/>
      <w:rPr>
        <w:rFonts w:cs="Times New Roman"/>
      </w:rPr>
    </w:lvl>
  </w:abstractNum>
  <w:abstractNum w:abstractNumId="13">
    <w:nsid w:val="5CBD1FD9"/>
    <w:multiLevelType w:val="singleLevel"/>
    <w:tmpl w:val="5CBD1FD9"/>
    <w:lvl w:ilvl="0" w:tentative="0">
      <w:start w:val="1"/>
      <w:numFmt w:val="decimal"/>
      <w:suff w:val="nothing"/>
      <w:lvlText w:val="%1."/>
      <w:lvlJc w:val="left"/>
      <w:rPr>
        <w:rFonts w:cs="Times New Roman"/>
      </w:rPr>
    </w:lvl>
  </w:abstractNum>
  <w:num w:numId="1">
    <w:abstractNumId w:val="0"/>
  </w:num>
  <w:num w:numId="2">
    <w:abstractNumId w:val="10"/>
  </w:num>
  <w:num w:numId="3">
    <w:abstractNumId w:val="11"/>
  </w:num>
  <w:num w:numId="4">
    <w:abstractNumId w:val="12"/>
  </w:num>
  <w:num w:numId="5">
    <w:abstractNumId w:val="9"/>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F70B01"/>
    <w:rsid w:val="00007AE6"/>
    <w:rsid w:val="00014A01"/>
    <w:rsid w:val="00014E76"/>
    <w:rsid w:val="000206B6"/>
    <w:rsid w:val="00020C0B"/>
    <w:rsid w:val="000244FC"/>
    <w:rsid w:val="0002688E"/>
    <w:rsid w:val="00027575"/>
    <w:rsid w:val="00027E66"/>
    <w:rsid w:val="00034090"/>
    <w:rsid w:val="00034DF3"/>
    <w:rsid w:val="00036BD2"/>
    <w:rsid w:val="00040FAA"/>
    <w:rsid w:val="000432DC"/>
    <w:rsid w:val="0007354B"/>
    <w:rsid w:val="00081EEA"/>
    <w:rsid w:val="000855BF"/>
    <w:rsid w:val="000B1665"/>
    <w:rsid w:val="000C3839"/>
    <w:rsid w:val="000E253D"/>
    <w:rsid w:val="000F0593"/>
    <w:rsid w:val="000F648A"/>
    <w:rsid w:val="001048E3"/>
    <w:rsid w:val="001149C2"/>
    <w:rsid w:val="00114F28"/>
    <w:rsid w:val="001261BD"/>
    <w:rsid w:val="00132FD1"/>
    <w:rsid w:val="00133E12"/>
    <w:rsid w:val="00136C97"/>
    <w:rsid w:val="00137558"/>
    <w:rsid w:val="00176320"/>
    <w:rsid w:val="00184EBC"/>
    <w:rsid w:val="001B06A1"/>
    <w:rsid w:val="001D2827"/>
    <w:rsid w:val="001D50CA"/>
    <w:rsid w:val="001E0E0F"/>
    <w:rsid w:val="001F2A4C"/>
    <w:rsid w:val="00201638"/>
    <w:rsid w:val="00205460"/>
    <w:rsid w:val="002123B0"/>
    <w:rsid w:val="00212755"/>
    <w:rsid w:val="00220E4A"/>
    <w:rsid w:val="002263E5"/>
    <w:rsid w:val="002661A8"/>
    <w:rsid w:val="00281C92"/>
    <w:rsid w:val="00291F65"/>
    <w:rsid w:val="002A3849"/>
    <w:rsid w:val="002A450F"/>
    <w:rsid w:val="002A59E0"/>
    <w:rsid w:val="002B2042"/>
    <w:rsid w:val="002D0E76"/>
    <w:rsid w:val="002D1A3A"/>
    <w:rsid w:val="002D3960"/>
    <w:rsid w:val="002D694F"/>
    <w:rsid w:val="00300148"/>
    <w:rsid w:val="003071A2"/>
    <w:rsid w:val="00312E24"/>
    <w:rsid w:val="00313DF8"/>
    <w:rsid w:val="0031523D"/>
    <w:rsid w:val="00327774"/>
    <w:rsid w:val="00342861"/>
    <w:rsid w:val="00352C09"/>
    <w:rsid w:val="00352F70"/>
    <w:rsid w:val="003619DA"/>
    <w:rsid w:val="0036540C"/>
    <w:rsid w:val="003B2C7E"/>
    <w:rsid w:val="003B3635"/>
    <w:rsid w:val="003B45BF"/>
    <w:rsid w:val="003E2A51"/>
    <w:rsid w:val="003E63B2"/>
    <w:rsid w:val="004012E1"/>
    <w:rsid w:val="004061A9"/>
    <w:rsid w:val="004200AA"/>
    <w:rsid w:val="00421950"/>
    <w:rsid w:val="00436113"/>
    <w:rsid w:val="00444308"/>
    <w:rsid w:val="00446F61"/>
    <w:rsid w:val="0045474B"/>
    <w:rsid w:val="00483141"/>
    <w:rsid w:val="004A418C"/>
    <w:rsid w:val="004B0CFA"/>
    <w:rsid w:val="004B2035"/>
    <w:rsid w:val="004C192B"/>
    <w:rsid w:val="004D69F3"/>
    <w:rsid w:val="004E78CA"/>
    <w:rsid w:val="0050534F"/>
    <w:rsid w:val="00505724"/>
    <w:rsid w:val="005220CA"/>
    <w:rsid w:val="00525377"/>
    <w:rsid w:val="00527A47"/>
    <w:rsid w:val="00553A31"/>
    <w:rsid w:val="0057126E"/>
    <w:rsid w:val="00573CFE"/>
    <w:rsid w:val="00575D58"/>
    <w:rsid w:val="00584F03"/>
    <w:rsid w:val="005B7986"/>
    <w:rsid w:val="005C23FE"/>
    <w:rsid w:val="005D44B6"/>
    <w:rsid w:val="005F130D"/>
    <w:rsid w:val="005F1E44"/>
    <w:rsid w:val="005F2EBC"/>
    <w:rsid w:val="005F76E8"/>
    <w:rsid w:val="005F780F"/>
    <w:rsid w:val="00614B2B"/>
    <w:rsid w:val="00616C6A"/>
    <w:rsid w:val="00630008"/>
    <w:rsid w:val="006317D4"/>
    <w:rsid w:val="00647E72"/>
    <w:rsid w:val="00661BC4"/>
    <w:rsid w:val="00670971"/>
    <w:rsid w:val="00671871"/>
    <w:rsid w:val="00674234"/>
    <w:rsid w:val="006970C2"/>
    <w:rsid w:val="006C414A"/>
    <w:rsid w:val="006C4FD2"/>
    <w:rsid w:val="00700E9B"/>
    <w:rsid w:val="007140C7"/>
    <w:rsid w:val="00715CEA"/>
    <w:rsid w:val="0072017D"/>
    <w:rsid w:val="007442C5"/>
    <w:rsid w:val="007553DC"/>
    <w:rsid w:val="007612DE"/>
    <w:rsid w:val="00791563"/>
    <w:rsid w:val="007917C7"/>
    <w:rsid w:val="00792E32"/>
    <w:rsid w:val="00794A58"/>
    <w:rsid w:val="007A185E"/>
    <w:rsid w:val="007C0AA2"/>
    <w:rsid w:val="007C297F"/>
    <w:rsid w:val="007C3091"/>
    <w:rsid w:val="007C7AA9"/>
    <w:rsid w:val="007F7536"/>
    <w:rsid w:val="008323C1"/>
    <w:rsid w:val="008353AC"/>
    <w:rsid w:val="008456E1"/>
    <w:rsid w:val="00845FD4"/>
    <w:rsid w:val="00847800"/>
    <w:rsid w:val="008507D9"/>
    <w:rsid w:val="00853C06"/>
    <w:rsid w:val="00855747"/>
    <w:rsid w:val="00860B49"/>
    <w:rsid w:val="008714AC"/>
    <w:rsid w:val="00873501"/>
    <w:rsid w:val="00891582"/>
    <w:rsid w:val="008B390F"/>
    <w:rsid w:val="008B6D2C"/>
    <w:rsid w:val="008C6DE5"/>
    <w:rsid w:val="008C74BC"/>
    <w:rsid w:val="008D033E"/>
    <w:rsid w:val="008D0FCD"/>
    <w:rsid w:val="008D3C06"/>
    <w:rsid w:val="008E5FE5"/>
    <w:rsid w:val="00901CC0"/>
    <w:rsid w:val="009022EB"/>
    <w:rsid w:val="00912B1C"/>
    <w:rsid w:val="00925FCC"/>
    <w:rsid w:val="00931143"/>
    <w:rsid w:val="0093522B"/>
    <w:rsid w:val="00944A54"/>
    <w:rsid w:val="009626ED"/>
    <w:rsid w:val="00962960"/>
    <w:rsid w:val="00966B6D"/>
    <w:rsid w:val="0099101B"/>
    <w:rsid w:val="009A0AC3"/>
    <w:rsid w:val="009A65EC"/>
    <w:rsid w:val="009A781B"/>
    <w:rsid w:val="009B55A6"/>
    <w:rsid w:val="009C229D"/>
    <w:rsid w:val="009C4C90"/>
    <w:rsid w:val="009C5F59"/>
    <w:rsid w:val="009E2DE8"/>
    <w:rsid w:val="009F01B6"/>
    <w:rsid w:val="009F67E2"/>
    <w:rsid w:val="00A13C3B"/>
    <w:rsid w:val="00A1457C"/>
    <w:rsid w:val="00A2111E"/>
    <w:rsid w:val="00A2445B"/>
    <w:rsid w:val="00A24882"/>
    <w:rsid w:val="00A26D43"/>
    <w:rsid w:val="00A357ED"/>
    <w:rsid w:val="00A455F2"/>
    <w:rsid w:val="00A540DD"/>
    <w:rsid w:val="00A67D80"/>
    <w:rsid w:val="00A97B85"/>
    <w:rsid w:val="00AA3E76"/>
    <w:rsid w:val="00AB55CD"/>
    <w:rsid w:val="00AC495D"/>
    <w:rsid w:val="00AC59E0"/>
    <w:rsid w:val="00AF2676"/>
    <w:rsid w:val="00B02447"/>
    <w:rsid w:val="00B31C09"/>
    <w:rsid w:val="00B338F6"/>
    <w:rsid w:val="00B50A3A"/>
    <w:rsid w:val="00B65109"/>
    <w:rsid w:val="00B75D46"/>
    <w:rsid w:val="00BA3C2F"/>
    <w:rsid w:val="00BA42B9"/>
    <w:rsid w:val="00BA62DC"/>
    <w:rsid w:val="00BC0210"/>
    <w:rsid w:val="00BC1373"/>
    <w:rsid w:val="00BC2F13"/>
    <w:rsid w:val="00BC4097"/>
    <w:rsid w:val="00BC6000"/>
    <w:rsid w:val="00C02964"/>
    <w:rsid w:val="00C24A2B"/>
    <w:rsid w:val="00C271D6"/>
    <w:rsid w:val="00C32A84"/>
    <w:rsid w:val="00C36000"/>
    <w:rsid w:val="00C43A79"/>
    <w:rsid w:val="00CB00E0"/>
    <w:rsid w:val="00CB0442"/>
    <w:rsid w:val="00CB46FA"/>
    <w:rsid w:val="00CC449D"/>
    <w:rsid w:val="00CD24BE"/>
    <w:rsid w:val="00CD62A9"/>
    <w:rsid w:val="00CE0156"/>
    <w:rsid w:val="00CE10B8"/>
    <w:rsid w:val="00CE346F"/>
    <w:rsid w:val="00CF0598"/>
    <w:rsid w:val="00CF204F"/>
    <w:rsid w:val="00CF451E"/>
    <w:rsid w:val="00D05192"/>
    <w:rsid w:val="00D15A86"/>
    <w:rsid w:val="00D245FC"/>
    <w:rsid w:val="00D32056"/>
    <w:rsid w:val="00D33EAE"/>
    <w:rsid w:val="00D37D07"/>
    <w:rsid w:val="00D40158"/>
    <w:rsid w:val="00D473CC"/>
    <w:rsid w:val="00D47A66"/>
    <w:rsid w:val="00D62FF6"/>
    <w:rsid w:val="00D6562E"/>
    <w:rsid w:val="00D71BF7"/>
    <w:rsid w:val="00D72B25"/>
    <w:rsid w:val="00D779EA"/>
    <w:rsid w:val="00D82089"/>
    <w:rsid w:val="00D86CE2"/>
    <w:rsid w:val="00D95023"/>
    <w:rsid w:val="00D9730C"/>
    <w:rsid w:val="00DB5E71"/>
    <w:rsid w:val="00DE4EF3"/>
    <w:rsid w:val="00DE5B12"/>
    <w:rsid w:val="00DF0E18"/>
    <w:rsid w:val="00DF557E"/>
    <w:rsid w:val="00E2149C"/>
    <w:rsid w:val="00E218BA"/>
    <w:rsid w:val="00E423CE"/>
    <w:rsid w:val="00E51BCC"/>
    <w:rsid w:val="00E73FEF"/>
    <w:rsid w:val="00E81C0C"/>
    <w:rsid w:val="00E831ED"/>
    <w:rsid w:val="00E9647F"/>
    <w:rsid w:val="00EA03F9"/>
    <w:rsid w:val="00EA168A"/>
    <w:rsid w:val="00EB2D7D"/>
    <w:rsid w:val="00EB490A"/>
    <w:rsid w:val="00EC4A3F"/>
    <w:rsid w:val="00ED1D49"/>
    <w:rsid w:val="00EF001C"/>
    <w:rsid w:val="00F0055D"/>
    <w:rsid w:val="00F00E4E"/>
    <w:rsid w:val="00F0312A"/>
    <w:rsid w:val="00F039C9"/>
    <w:rsid w:val="00F309D3"/>
    <w:rsid w:val="00F30EBC"/>
    <w:rsid w:val="00F328E2"/>
    <w:rsid w:val="00F358BF"/>
    <w:rsid w:val="00F40321"/>
    <w:rsid w:val="00F46872"/>
    <w:rsid w:val="00F61506"/>
    <w:rsid w:val="00F71903"/>
    <w:rsid w:val="00F71A1B"/>
    <w:rsid w:val="00F853B5"/>
    <w:rsid w:val="00F9695A"/>
    <w:rsid w:val="00FB11D4"/>
    <w:rsid w:val="00FB19F6"/>
    <w:rsid w:val="00FB381E"/>
    <w:rsid w:val="00FC6AB6"/>
    <w:rsid w:val="00FC7FF5"/>
    <w:rsid w:val="00FE4487"/>
    <w:rsid w:val="01FE3A04"/>
    <w:rsid w:val="056F796D"/>
    <w:rsid w:val="13650DF3"/>
    <w:rsid w:val="140251F6"/>
    <w:rsid w:val="20F70B01"/>
    <w:rsid w:val="302D22A5"/>
    <w:rsid w:val="323A7160"/>
    <w:rsid w:val="37784BF5"/>
    <w:rsid w:val="4A341B8E"/>
    <w:rsid w:val="4BE16538"/>
    <w:rsid w:val="58D24918"/>
    <w:rsid w:val="59D30BEC"/>
    <w:rsid w:val="725107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character" w:styleId="7">
    <w:name w:val="page number"/>
    <w:basedOn w:val="6"/>
    <w:qFormat/>
    <w:locked/>
    <w:uiPriority w:val="99"/>
    <w:rPr>
      <w:rFonts w:cs="Times New Roman"/>
    </w:rPr>
  </w:style>
  <w:style w:type="character" w:styleId="8">
    <w:name w:val="annotation reference"/>
    <w:basedOn w:val="6"/>
    <w:qFormat/>
    <w:uiPriority w:val="99"/>
    <w:rPr>
      <w:rFonts w:cs="Times New Roman"/>
      <w:sz w:val="21"/>
    </w:rPr>
  </w:style>
  <w:style w:type="character" w:customStyle="1" w:styleId="9">
    <w:name w:val="页脚 Char"/>
    <w:basedOn w:val="6"/>
    <w:link w:val="2"/>
    <w:qFormat/>
    <w:locked/>
    <w:uiPriority w:val="99"/>
    <w:rPr>
      <w:rFonts w:ascii="Calibri" w:hAnsi="Calibri" w:cs="Calibri"/>
      <w:kern w:val="2"/>
      <w:sz w:val="18"/>
      <w:szCs w:val="18"/>
    </w:rPr>
  </w:style>
  <w:style w:type="character" w:customStyle="1" w:styleId="10">
    <w:name w:val="页眉 Char"/>
    <w:basedOn w:val="6"/>
    <w:link w:val="3"/>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C74EF-8025-4BA3-9EA8-39444E3C08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1433</Words>
  <Characters>8174</Characters>
  <Lines>68</Lines>
  <Paragraphs>19</Paragraphs>
  <TotalTime>0</TotalTime>
  <ScaleCrop>false</ScaleCrop>
  <LinksUpToDate>false</LinksUpToDate>
  <CharactersWithSpaces>9588</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2019-06-21T01:37:00Z</dcterms:created>
  <dc:creator>徐敏</dc:creator>
  <cp:lastModifiedBy>陌上＆星尘</cp:lastModifiedBy>
  <cp:lastPrinted>2019-08-27T07:12:00Z</cp:lastPrinted>
  <dcterms:modified xsi:type="dcterms:W3CDTF">2019-08-27T08:11:19Z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