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合肥市基本医疗保险住院费用按疾病诊断分组（DRG）付费办法</w:t>
      </w:r>
    </w:p>
    <w:bookmarkEnd w:id="0"/>
    <w:p>
      <w:pPr>
        <w:spacing w:line="600" w:lineRule="exact"/>
        <w:jc w:val="center"/>
        <w:rPr>
          <w:rFonts w:ascii="楷体_GB2312" w:eastAsia="楷体_GB2312"/>
          <w:sz w:val="32"/>
          <w:szCs w:val="32"/>
        </w:rPr>
      </w:pPr>
      <w:r>
        <w:rPr>
          <w:rFonts w:hint="eastAsia" w:ascii="楷体_GB2312" w:eastAsia="楷体_GB2312"/>
          <w:sz w:val="32"/>
          <w:szCs w:val="32"/>
        </w:rPr>
        <w:t>（征求意见稿）</w:t>
      </w:r>
    </w:p>
    <w:p>
      <w:pPr>
        <w:spacing w:line="600" w:lineRule="exact"/>
        <w:ind w:firstLine="707" w:firstLineChars="221"/>
        <w:rPr>
          <w:rFonts w:ascii="仿宋_GB2312" w:eastAsia="仿宋_GB2312"/>
          <w:sz w:val="32"/>
          <w:szCs w:val="32"/>
        </w:rPr>
      </w:pPr>
    </w:p>
    <w:p>
      <w:pPr>
        <w:spacing w:line="600" w:lineRule="exact"/>
        <w:jc w:val="center"/>
        <w:rPr>
          <w:rFonts w:ascii="黑体" w:eastAsia="黑体"/>
          <w:sz w:val="32"/>
          <w:szCs w:val="32"/>
        </w:rPr>
      </w:pPr>
      <w:r>
        <w:rPr>
          <w:rFonts w:hint="eastAsia" w:ascii="黑体" w:eastAsia="黑体"/>
          <w:sz w:val="32"/>
          <w:szCs w:val="32"/>
        </w:rPr>
        <w:t>第一章  总则</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w:t>
      </w:r>
      <w:r>
        <w:rPr>
          <w:rFonts w:hint="eastAsia" w:ascii="仿宋_GB2312" w:eastAsia="仿宋_GB2312"/>
          <w:b/>
          <w:sz w:val="32"/>
          <w:szCs w:val="32"/>
        </w:rPr>
        <w:t>（实施依据）</w:t>
      </w:r>
      <w:r>
        <w:rPr>
          <w:rFonts w:hint="eastAsia" w:ascii="仿宋_GB2312" w:eastAsia="仿宋_GB2312"/>
          <w:sz w:val="32"/>
          <w:szCs w:val="32"/>
        </w:rPr>
        <w:t>为规范医疗服务行为，控制医疗费用不合理增长，根据国务院办公厅《关于进一步深化基本医疗保险支付方式改革的指导意见》（国办发〔2017〕55号）、国家医疗保障局《关于印发疾病诊断相关分组（DRG）付费国家试点技术规范和分组方案的通知》（医保办发〔2019〕36号）等文件精神，结合我市实际，制定本办法。</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w:t>
      </w:r>
      <w:r>
        <w:rPr>
          <w:rFonts w:hint="eastAsia" w:ascii="仿宋_GB2312" w:eastAsia="仿宋_GB2312"/>
          <w:b/>
          <w:sz w:val="32"/>
          <w:szCs w:val="32"/>
        </w:rPr>
        <w:t>（政策定义）</w:t>
      </w:r>
      <w:r>
        <w:rPr>
          <w:rFonts w:hint="eastAsia" w:ascii="仿宋_GB2312" w:eastAsia="仿宋_GB2312"/>
          <w:sz w:val="32"/>
          <w:szCs w:val="32"/>
        </w:rPr>
        <w:t>本办法所称的住院费用按疾病诊断分组（DRG）付费，简称按DRG付费，是指在医保经办机构与医疗机构间按照疾病诊断相关分组（DRG）与点数法相结合的方式对住院医保基金年度区域预算总额（简称D</w:t>
      </w:r>
      <w:r>
        <w:rPr>
          <w:rFonts w:ascii="仿宋_GB2312" w:eastAsia="仿宋_GB2312"/>
          <w:sz w:val="32"/>
          <w:szCs w:val="32"/>
        </w:rPr>
        <w:t>RG</w:t>
      </w:r>
      <w:r>
        <w:rPr>
          <w:rFonts w:hint="eastAsia" w:ascii="仿宋_GB2312" w:eastAsia="仿宋_GB2312"/>
          <w:sz w:val="32"/>
          <w:szCs w:val="32"/>
        </w:rPr>
        <w:t>付费预算包）进行分配和清算。</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参保人员与医疗机构间的医保费用结算按照合肥市基本医疗保险政策规定执行，不受本办法影响。</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w:t>
      </w:r>
      <w:r>
        <w:rPr>
          <w:rFonts w:hint="eastAsia" w:ascii="仿宋_GB2312" w:eastAsia="仿宋_GB2312"/>
          <w:b/>
          <w:sz w:val="32"/>
          <w:szCs w:val="32"/>
        </w:rPr>
        <w:t>（实施范围）</w:t>
      </w:r>
      <w:r>
        <w:rPr>
          <w:rFonts w:hint="eastAsia" w:ascii="仿宋_GB2312" w:eastAsia="仿宋_GB2312"/>
          <w:sz w:val="32"/>
          <w:szCs w:val="32"/>
        </w:rPr>
        <w:t>全市（含四县一市）符合要求的医保住院定点医疗机构原则上纳入住院费用按DRG付费实施范围，并根据实际情况分步推进。</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2021年，对我市</w:t>
      </w:r>
      <w:r>
        <w:rPr>
          <w:rFonts w:ascii="仿宋_GB2312" w:eastAsia="仿宋_GB2312"/>
          <w:sz w:val="32"/>
          <w:szCs w:val="32"/>
        </w:rPr>
        <w:t>17</w:t>
      </w:r>
      <w:r>
        <w:rPr>
          <w:rFonts w:hint="eastAsia" w:ascii="仿宋_GB2312" w:eastAsia="仿宋_GB2312"/>
          <w:sz w:val="32"/>
          <w:szCs w:val="32"/>
        </w:rPr>
        <w:t>家医疗机构</w:t>
      </w:r>
      <w:r>
        <w:rPr>
          <w:rFonts w:hint="eastAsia" w:ascii="仿宋_GB2312" w:eastAsia="仿宋_GB2312"/>
          <w:color w:val="000000" w:themeColor="text1"/>
          <w:sz w:val="32"/>
          <w:szCs w:val="32"/>
          <w14:textFill>
            <w14:solidFill>
              <w14:schemeClr w14:val="tx1"/>
            </w14:solidFill>
          </w14:textFill>
        </w:rPr>
        <w:t>（详见附件1）</w:t>
      </w:r>
      <w:r>
        <w:rPr>
          <w:rFonts w:hint="eastAsia" w:ascii="仿宋_GB2312" w:eastAsia="仿宋_GB2312"/>
          <w:sz w:val="32"/>
          <w:szCs w:val="32"/>
        </w:rPr>
        <w:t>实际进行住院费用按D</w:t>
      </w:r>
      <w:r>
        <w:rPr>
          <w:rFonts w:ascii="仿宋_GB2312" w:eastAsia="仿宋_GB2312"/>
          <w:sz w:val="32"/>
          <w:szCs w:val="32"/>
        </w:rPr>
        <w:t>RG</w:t>
      </w:r>
      <w:r>
        <w:rPr>
          <w:rFonts w:hint="eastAsia" w:ascii="仿宋_GB2312" w:eastAsia="仿宋_GB2312"/>
          <w:sz w:val="32"/>
          <w:szCs w:val="32"/>
        </w:rPr>
        <w:t>付费，其他医疗机构待条件成熟适时纳入实施范围。</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按照床日费用支付的医疗机构住院费用暂不纳入DRG付费管理。</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第四条  （实施原则）</w:t>
      </w:r>
      <w:r>
        <w:rPr>
          <w:rFonts w:hint="eastAsia" w:ascii="仿宋_GB2312" w:eastAsia="仿宋_GB2312"/>
          <w:sz w:val="32"/>
          <w:szCs w:val="32"/>
        </w:rPr>
        <w:t>住院费用按DRG付费管理遵循“总额预算、点数计算、按月预付、年终清算”的原则。</w:t>
      </w:r>
    </w:p>
    <w:p>
      <w:pPr>
        <w:spacing w:line="600" w:lineRule="exact"/>
        <w:ind w:firstLine="707" w:firstLineChars="221"/>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第二章  预算总额</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b/>
          <w:bCs/>
          <w:sz w:val="32"/>
          <w:szCs w:val="32"/>
        </w:rPr>
        <w:t>（预算范围）</w:t>
      </w:r>
      <w:r>
        <w:rPr>
          <w:rFonts w:hint="eastAsia" w:ascii="仿宋_GB2312" w:eastAsia="仿宋_GB2312"/>
          <w:sz w:val="32"/>
          <w:szCs w:val="32"/>
        </w:rPr>
        <w:t>纳入2</w:t>
      </w:r>
      <w:r>
        <w:rPr>
          <w:rFonts w:ascii="仿宋_GB2312" w:eastAsia="仿宋_GB2312"/>
          <w:sz w:val="32"/>
          <w:szCs w:val="32"/>
        </w:rPr>
        <w:t>021</w:t>
      </w:r>
      <w:r>
        <w:rPr>
          <w:rFonts w:hint="eastAsia" w:ascii="仿宋_GB2312" w:eastAsia="仿宋_GB2312"/>
          <w:sz w:val="32"/>
          <w:szCs w:val="32"/>
        </w:rPr>
        <w:t>年度D</w:t>
      </w:r>
      <w:r>
        <w:rPr>
          <w:rFonts w:ascii="仿宋_GB2312" w:eastAsia="仿宋_GB2312"/>
          <w:sz w:val="32"/>
          <w:szCs w:val="32"/>
        </w:rPr>
        <w:t>RG</w:t>
      </w:r>
      <w:r>
        <w:rPr>
          <w:rFonts w:hint="eastAsia" w:ascii="仿宋_GB2312" w:eastAsia="仿宋_GB2312"/>
          <w:sz w:val="32"/>
          <w:szCs w:val="32"/>
        </w:rPr>
        <w:t>付费预算包的基金类型包括城镇职工医疗保险的住院统筹基金、医疗救助基金和城乡居民医疗保险的住院统筹基金、大病保险。</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城镇职工和城乡居民医疗保险年度D</w:t>
      </w:r>
      <w:r>
        <w:rPr>
          <w:rFonts w:ascii="仿宋_GB2312" w:eastAsia="仿宋_GB2312"/>
          <w:sz w:val="32"/>
          <w:szCs w:val="32"/>
        </w:rPr>
        <w:t>RG</w:t>
      </w:r>
      <w:r>
        <w:rPr>
          <w:rFonts w:hint="eastAsia" w:ascii="仿宋_GB2312" w:eastAsia="仿宋_GB2312"/>
          <w:sz w:val="32"/>
          <w:szCs w:val="32"/>
        </w:rPr>
        <w:t>付费基金预算包分开制定、独立核算。</w:t>
      </w:r>
    </w:p>
    <w:p>
      <w:pPr>
        <w:spacing w:line="600" w:lineRule="exact"/>
        <w:ind w:firstLine="707" w:firstLineChars="221"/>
        <w:rPr>
          <w:rFonts w:ascii="仿宋_GB2312" w:eastAsia="仿宋_GB2312"/>
          <w:bCs/>
          <w:sz w:val="32"/>
          <w:szCs w:val="32"/>
        </w:rPr>
      </w:pPr>
      <w:r>
        <w:rPr>
          <w:rFonts w:hint="eastAsia" w:ascii="仿宋_GB2312" w:eastAsia="仿宋_GB2312"/>
          <w:b/>
          <w:sz w:val="32"/>
          <w:szCs w:val="32"/>
        </w:rPr>
        <w:t>第六条 （预算制定）</w:t>
      </w:r>
      <w:r>
        <w:rPr>
          <w:rFonts w:hint="eastAsia" w:ascii="仿宋_GB2312" w:eastAsia="仿宋_GB2312"/>
          <w:bCs/>
          <w:sz w:val="32"/>
          <w:szCs w:val="32"/>
        </w:rPr>
        <w:t>2</w:t>
      </w:r>
      <w:r>
        <w:rPr>
          <w:rFonts w:ascii="仿宋_GB2312" w:eastAsia="仿宋_GB2312"/>
          <w:bCs/>
          <w:sz w:val="32"/>
          <w:szCs w:val="32"/>
        </w:rPr>
        <w:t>021</w:t>
      </w:r>
      <w:r>
        <w:rPr>
          <w:rFonts w:hint="eastAsia" w:ascii="仿宋_GB2312" w:eastAsia="仿宋_GB2312"/>
          <w:bCs/>
          <w:sz w:val="32"/>
          <w:szCs w:val="32"/>
        </w:rPr>
        <w:t>年度D</w:t>
      </w:r>
      <w:r>
        <w:rPr>
          <w:rFonts w:ascii="仿宋_GB2312" w:eastAsia="仿宋_GB2312"/>
          <w:bCs/>
          <w:sz w:val="32"/>
          <w:szCs w:val="32"/>
        </w:rPr>
        <w:t>RG</w:t>
      </w:r>
      <w:r>
        <w:rPr>
          <w:rFonts w:hint="eastAsia" w:ascii="仿宋_GB2312" w:eastAsia="仿宋_GB2312"/>
          <w:bCs/>
          <w:sz w:val="32"/>
          <w:szCs w:val="32"/>
        </w:rPr>
        <w:t>付费预算包按照以下办法确定：</w:t>
      </w:r>
    </w:p>
    <w:p>
      <w:pPr>
        <w:spacing w:line="600" w:lineRule="exact"/>
        <w:ind w:firstLine="707" w:firstLineChars="221"/>
        <w:rPr>
          <w:rFonts w:ascii="仿宋_GB2312" w:eastAsia="仿宋_GB2312"/>
          <w:bCs/>
          <w:sz w:val="32"/>
          <w:szCs w:val="32"/>
        </w:rPr>
      </w:pPr>
      <w:r>
        <w:rPr>
          <w:rFonts w:hint="eastAsia" w:ascii="仿宋_GB2312" w:eastAsia="仿宋_GB2312"/>
          <w:bCs/>
          <w:sz w:val="32"/>
          <w:szCs w:val="32"/>
        </w:rPr>
        <w:t>城镇职工医疗保险D</w:t>
      </w:r>
      <w:r>
        <w:rPr>
          <w:rFonts w:ascii="仿宋_GB2312" w:eastAsia="仿宋_GB2312"/>
          <w:bCs/>
          <w:sz w:val="32"/>
          <w:szCs w:val="32"/>
        </w:rPr>
        <w:t>RG</w:t>
      </w:r>
      <w:r>
        <w:rPr>
          <w:rFonts w:hint="eastAsia" w:ascii="仿宋_GB2312" w:eastAsia="仿宋_GB2312"/>
          <w:bCs/>
          <w:sz w:val="32"/>
          <w:szCs w:val="32"/>
        </w:rPr>
        <w:t>付费预算包，综合</w:t>
      </w:r>
      <w:r>
        <w:rPr>
          <w:rFonts w:ascii="仿宋_GB2312" w:eastAsia="仿宋_GB2312"/>
          <w:bCs/>
          <w:sz w:val="32"/>
          <w:szCs w:val="32"/>
        </w:rPr>
        <w:t>17</w:t>
      </w:r>
      <w:r>
        <w:rPr>
          <w:rFonts w:hint="eastAsia" w:ascii="仿宋_GB2312" w:eastAsia="仿宋_GB2312"/>
          <w:bCs/>
          <w:sz w:val="32"/>
          <w:szCs w:val="32"/>
        </w:rPr>
        <w:t>家医疗机构预算前1</w:t>
      </w:r>
      <w:r>
        <w:rPr>
          <w:rFonts w:ascii="仿宋_GB2312" w:eastAsia="仿宋_GB2312"/>
          <w:bCs/>
          <w:sz w:val="32"/>
          <w:szCs w:val="32"/>
        </w:rPr>
        <w:t>2</w:t>
      </w:r>
      <w:r>
        <w:rPr>
          <w:rFonts w:hint="eastAsia" w:ascii="仿宋_GB2312" w:eastAsia="仿宋_GB2312"/>
          <w:bCs/>
          <w:sz w:val="32"/>
          <w:szCs w:val="32"/>
        </w:rPr>
        <w:t>个月住院基金（指统筹、医疗救助基金）实际发生总额、近三年基金支出增长率等因素确定。</w:t>
      </w:r>
    </w:p>
    <w:p>
      <w:pPr>
        <w:spacing w:line="600" w:lineRule="exact"/>
        <w:ind w:firstLine="707" w:firstLineChars="221"/>
        <w:rPr>
          <w:rFonts w:ascii="仿宋_GB2312" w:eastAsia="仿宋_GB2312"/>
          <w:bCs/>
          <w:sz w:val="32"/>
          <w:szCs w:val="32"/>
        </w:rPr>
      </w:pPr>
      <w:r>
        <w:rPr>
          <w:rFonts w:hint="eastAsia" w:ascii="仿宋_GB2312" w:eastAsia="仿宋_GB2312"/>
          <w:bCs/>
          <w:sz w:val="32"/>
          <w:szCs w:val="32"/>
        </w:rPr>
        <w:t>城乡居民医疗保险D</w:t>
      </w:r>
      <w:r>
        <w:rPr>
          <w:rFonts w:ascii="仿宋_GB2312" w:eastAsia="仿宋_GB2312"/>
          <w:bCs/>
          <w:sz w:val="32"/>
          <w:szCs w:val="32"/>
        </w:rPr>
        <w:t>RG</w:t>
      </w:r>
      <w:r>
        <w:rPr>
          <w:rFonts w:hint="eastAsia" w:ascii="仿宋_GB2312" w:eastAsia="仿宋_GB2312"/>
          <w:bCs/>
          <w:sz w:val="32"/>
          <w:szCs w:val="32"/>
        </w:rPr>
        <w:t>付费预算包，通过</w:t>
      </w:r>
      <w:r>
        <w:rPr>
          <w:rFonts w:ascii="仿宋_GB2312" w:eastAsia="仿宋_GB2312"/>
          <w:bCs/>
          <w:sz w:val="32"/>
          <w:szCs w:val="32"/>
        </w:rPr>
        <w:t>17</w:t>
      </w:r>
      <w:r>
        <w:rPr>
          <w:rFonts w:hint="eastAsia" w:ascii="仿宋_GB2312" w:eastAsia="仿宋_GB2312"/>
          <w:bCs/>
          <w:sz w:val="32"/>
          <w:szCs w:val="32"/>
        </w:rPr>
        <w:t>家医疗机构预算前1</w:t>
      </w:r>
      <w:r>
        <w:rPr>
          <w:rFonts w:ascii="仿宋_GB2312" w:eastAsia="仿宋_GB2312"/>
          <w:bCs/>
          <w:sz w:val="32"/>
          <w:szCs w:val="32"/>
        </w:rPr>
        <w:t>2</w:t>
      </w:r>
      <w:r>
        <w:rPr>
          <w:rFonts w:hint="eastAsia" w:ascii="仿宋_GB2312" w:eastAsia="仿宋_GB2312"/>
          <w:bCs/>
          <w:sz w:val="32"/>
          <w:szCs w:val="32"/>
        </w:rPr>
        <w:t>个月住院医保基金（指统筹基金、大病保险）实际发生总额在同期基金总支出中的占比划分2</w:t>
      </w:r>
      <w:r>
        <w:rPr>
          <w:rFonts w:ascii="仿宋_GB2312" w:eastAsia="仿宋_GB2312"/>
          <w:bCs/>
          <w:sz w:val="32"/>
          <w:szCs w:val="32"/>
        </w:rPr>
        <w:t>021</w:t>
      </w:r>
      <w:r>
        <w:rPr>
          <w:rFonts w:hint="eastAsia" w:ascii="仿宋_GB2312" w:eastAsia="仿宋_GB2312"/>
          <w:bCs/>
          <w:sz w:val="32"/>
          <w:szCs w:val="32"/>
        </w:rPr>
        <w:t>年度基金收入的方式确定。</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第七条 （预算发布）</w:t>
      </w:r>
      <w:r>
        <w:rPr>
          <w:rFonts w:hint="eastAsia" w:ascii="仿宋_GB2312" w:eastAsia="仿宋_GB2312"/>
          <w:sz w:val="32"/>
          <w:szCs w:val="32"/>
        </w:rPr>
        <w:t xml:space="preserve">医保基金住院年度支出预算由市医保部门会同市财政部门制定，另行发布。 </w:t>
      </w:r>
    </w:p>
    <w:p>
      <w:pPr>
        <w:spacing w:line="600" w:lineRule="exact"/>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第三章  入组管理</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w:t>
      </w:r>
      <w:r>
        <w:rPr>
          <w:rFonts w:hint="eastAsia" w:ascii="仿宋_GB2312" w:eastAsia="仿宋_GB2312"/>
          <w:b/>
          <w:sz w:val="32"/>
          <w:szCs w:val="32"/>
        </w:rPr>
        <w:t xml:space="preserve"> （分组规则）基于我市近三年住院医保结算和病案首页历史数据，依据国家医疗保障局疾病诊断相关分组（CHS-DRG）技术规范和分组方案，采用中间区段法和倍率法裁剪数据，原则上满足病组组内变异系数CV≤1，总体方差减小系数RIV≥ 70%，形成适合地方病种分布特点的DRG分组规则，共计1013组，其中稳定组831组，非稳定组182组。  1.稳定病组。</w:t>
      </w:r>
      <w:r>
        <w:rPr>
          <w:rFonts w:hint="eastAsia" w:ascii="仿宋_GB2312" w:eastAsia="仿宋_GB2312"/>
          <w:sz w:val="32"/>
          <w:szCs w:val="32"/>
        </w:rPr>
        <w:t>病组内例数符合大数定理要求界值的，或者例数大于5且CV小于或等于1的病组。</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2.非稳定病组</w:t>
      </w:r>
      <w:r>
        <w:rPr>
          <w:rFonts w:hint="eastAsia" w:ascii="仿宋_GB2312" w:eastAsia="仿宋_GB2312"/>
          <w:sz w:val="32"/>
          <w:szCs w:val="32"/>
        </w:rPr>
        <w:t>。组内例数小于或等于5例的病组。</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组内例数大于5且 CV大于1的病组经中间区段法再次裁剪后，组内例数大于5且CV小于或等于1的纳入稳定病组，否则纳入非稳定病组。</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 xml:space="preserve"> </w:t>
      </w:r>
      <w:r>
        <w:rPr>
          <w:rFonts w:hint="eastAsia" w:ascii="仿宋_GB2312" w:eastAsia="仿宋_GB2312"/>
          <w:b/>
          <w:sz w:val="32"/>
          <w:szCs w:val="32"/>
        </w:rPr>
        <w:t>（系统部署）</w:t>
      </w:r>
      <w:r>
        <w:rPr>
          <w:rFonts w:hint="eastAsia" w:ascii="仿宋_GB2312" w:eastAsia="仿宋_GB2312"/>
          <w:sz w:val="32"/>
          <w:szCs w:val="32"/>
        </w:rPr>
        <w:t>相关机构应按DRG付费管理实际需要，做好DRG相关软硬件设备与医保结算系统、医保智能审核系统、医疗机构信息系统的对接和调配，保证准确完整地提取DRG分组数据。</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w:t>
      </w:r>
      <w:r>
        <w:rPr>
          <w:rFonts w:hint="eastAsia" w:ascii="仿宋_GB2312" w:eastAsia="仿宋_GB2312"/>
          <w:b/>
          <w:sz w:val="32"/>
          <w:szCs w:val="32"/>
        </w:rPr>
        <w:t>（入组流程）</w:t>
      </w:r>
      <w:r>
        <w:rPr>
          <w:rFonts w:hint="eastAsia" w:ascii="仿宋_GB2312" w:eastAsia="仿宋_GB2312"/>
          <w:sz w:val="32"/>
          <w:szCs w:val="32"/>
        </w:rPr>
        <w:t>依据D</w:t>
      </w:r>
      <w:r>
        <w:rPr>
          <w:rFonts w:ascii="仿宋_GB2312" w:eastAsia="仿宋_GB2312"/>
          <w:sz w:val="32"/>
          <w:szCs w:val="32"/>
        </w:rPr>
        <w:t>RG</w:t>
      </w:r>
      <w:r>
        <w:rPr>
          <w:rFonts w:hint="eastAsia" w:ascii="仿宋_GB2312" w:eastAsia="仿宋_GB2312"/>
          <w:sz w:val="32"/>
          <w:szCs w:val="32"/>
        </w:rPr>
        <w:t>付费技术规范，</w:t>
      </w:r>
      <w:r>
        <w:rPr>
          <w:rFonts w:hint="eastAsia" w:ascii="仿宋_GB2312" w:eastAsia="仿宋_GB2312"/>
          <w:bCs/>
          <w:sz w:val="32"/>
          <w:szCs w:val="32"/>
        </w:rPr>
        <w:t>实际付费病例</w:t>
      </w:r>
      <w:r>
        <w:rPr>
          <w:rFonts w:hint="eastAsia" w:ascii="仿宋_GB2312" w:eastAsia="仿宋_GB2312"/>
          <w:sz w:val="32"/>
          <w:szCs w:val="32"/>
        </w:rPr>
        <w:t xml:space="preserve">按照以下流程进行入组管理： </w:t>
      </w:r>
    </w:p>
    <w:p>
      <w:pPr>
        <w:spacing w:line="600" w:lineRule="exact"/>
        <w:ind w:firstLine="707" w:firstLineChars="221"/>
        <w:rPr>
          <w:rFonts w:ascii="仿宋_GB2312" w:eastAsia="仿宋_GB2312"/>
          <w:sz w:val="32"/>
          <w:szCs w:val="32"/>
          <w:highlight w:val="yellow"/>
        </w:rPr>
      </w:pPr>
      <w:r>
        <w:rPr>
          <w:rFonts w:hint="eastAsia" w:ascii="仿宋_GB2312" w:eastAsia="仿宋_GB2312"/>
          <w:b/>
          <w:sz w:val="32"/>
          <w:szCs w:val="32"/>
        </w:rPr>
        <w:t>（一）病案上传。</w:t>
      </w:r>
      <w:r>
        <w:rPr>
          <w:rFonts w:hint="eastAsia" w:ascii="仿宋_GB2312" w:eastAsia="仿宋_GB2312"/>
          <w:sz w:val="32"/>
          <w:szCs w:val="32"/>
        </w:rPr>
        <w:t>在次月 15 日前，医疗机构应完成上月住院病例的病案上传。</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（二）病例入组。</w:t>
      </w:r>
      <w:r>
        <w:rPr>
          <w:rFonts w:hint="eastAsia" w:ascii="仿宋_GB2312" w:eastAsia="仿宋_GB2312"/>
          <w:sz w:val="32"/>
          <w:szCs w:val="32"/>
        </w:rPr>
        <w:t>病案上传完成后 5 个日内，医保经办机构应按时完成病例入组及结果分发。</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（三）结果反馈。</w:t>
      </w:r>
      <w:r>
        <w:rPr>
          <w:rFonts w:hint="eastAsia" w:ascii="仿宋_GB2312" w:eastAsia="仿宋_GB2312"/>
          <w:sz w:val="32"/>
          <w:szCs w:val="32"/>
        </w:rPr>
        <w:t>医疗机构收到入组结果后1</w:t>
      </w:r>
      <w:r>
        <w:rPr>
          <w:rFonts w:ascii="仿宋_GB2312" w:eastAsia="仿宋_GB2312"/>
          <w:sz w:val="32"/>
          <w:szCs w:val="32"/>
        </w:rPr>
        <w:t>0</w:t>
      </w:r>
      <w:r>
        <w:rPr>
          <w:rFonts w:hint="eastAsia" w:ascii="仿宋_GB2312" w:eastAsia="仿宋_GB2312"/>
          <w:sz w:val="32"/>
          <w:szCs w:val="32"/>
        </w:rPr>
        <w:t>日内，完成对入组结果的确认和对争议问题的申诉反馈。</w:t>
      </w:r>
    </w:p>
    <w:p>
      <w:pPr>
        <w:spacing w:line="600" w:lineRule="exact"/>
        <w:ind w:firstLine="707" w:firstLineChars="221"/>
        <w:rPr>
          <w:rFonts w:ascii="仿宋_GB2312" w:eastAsia="仿宋_GB2312"/>
          <w:sz w:val="32"/>
          <w:szCs w:val="32"/>
          <w:highlight w:val="yellow"/>
        </w:rPr>
      </w:pPr>
      <w:r>
        <w:rPr>
          <w:rFonts w:hint="eastAsia" w:ascii="仿宋_GB2312" w:eastAsia="仿宋_GB2312"/>
          <w:b/>
          <w:sz w:val="32"/>
          <w:szCs w:val="32"/>
        </w:rPr>
        <w:t>（四）分组审核。</w:t>
      </w:r>
      <w:r>
        <w:rPr>
          <w:rFonts w:hint="eastAsia" w:ascii="仿宋_GB2312" w:eastAsia="仿宋_GB2312"/>
          <w:sz w:val="32"/>
          <w:szCs w:val="32"/>
        </w:rPr>
        <w:t>在医疗机构完成申诉反馈后10日内（节假日顺延），</w:t>
      </w:r>
      <w:r>
        <w:rPr>
          <w:rFonts w:hint="eastAsia" w:ascii="仿宋_GB2312" w:eastAsia="仿宋_GB2312"/>
          <w:bCs/>
          <w:sz w:val="32"/>
          <w:szCs w:val="32"/>
        </w:rPr>
        <w:t>医保经办机构对</w:t>
      </w:r>
      <w:r>
        <w:rPr>
          <w:rFonts w:hint="eastAsia" w:ascii="仿宋_GB2312" w:eastAsia="仿宋_GB2312"/>
          <w:sz w:val="32"/>
          <w:szCs w:val="32"/>
        </w:rPr>
        <w:t>入组结果和申诉反馈情况进行审核，并完成病例入组调整、特病单议病例筛选等工作。</w:t>
      </w:r>
    </w:p>
    <w:p>
      <w:pPr>
        <w:spacing w:line="600" w:lineRule="exact"/>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第四章  拨付点数</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第十一条 （病例分类）</w:t>
      </w:r>
      <w:r>
        <w:rPr>
          <w:rFonts w:hint="eastAsia" w:ascii="仿宋_GB2312" w:eastAsia="仿宋_GB2312"/>
          <w:bCs/>
          <w:sz w:val="32"/>
          <w:szCs w:val="32"/>
        </w:rPr>
        <w:t>实际付费病例</w:t>
      </w:r>
      <w:r>
        <w:rPr>
          <w:rFonts w:hint="eastAsia" w:ascii="仿宋_GB2312" w:eastAsia="仿宋_GB2312"/>
          <w:sz w:val="32"/>
          <w:szCs w:val="32"/>
        </w:rPr>
        <w:t>按照合肥市DRG分组规则入组，入组后分为稳定组、非稳定组。进入稳定组的病例分为高倍率、低倍率、正常倍率病例。</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第十二条 （特病单议）</w:t>
      </w:r>
      <w:r>
        <w:rPr>
          <w:rFonts w:hint="eastAsia" w:ascii="仿宋_GB2312" w:eastAsia="仿宋_GB2312"/>
          <w:sz w:val="32"/>
          <w:szCs w:val="32"/>
        </w:rPr>
        <w:t>对于稳定病组高倍率病例、非稳定病组病例以及有必要进行审议的病例，由医疗机构申请，经医保经办机构同意，对相关病例进行特病单议。</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第十三条 （稳定组拨付点数计算）</w:t>
      </w:r>
      <w:r>
        <w:rPr>
          <w:rFonts w:hint="eastAsia" w:ascii="仿宋_GB2312" w:eastAsia="仿宋_GB2312"/>
          <w:sz w:val="32"/>
          <w:szCs w:val="32"/>
        </w:rPr>
        <w:t>医疗机构住院病例拨付点数按照以下办法确定：</w:t>
      </w:r>
    </w:p>
    <w:p>
      <w:pPr>
        <w:spacing w:line="600" w:lineRule="exact"/>
        <w:ind w:firstLine="707" w:firstLineChars="221"/>
        <w:rPr>
          <w:rFonts w:ascii="仿宋_GB2312" w:eastAsia="仿宋_GB2312"/>
          <w:b/>
          <w:sz w:val="32"/>
          <w:szCs w:val="32"/>
        </w:rPr>
      </w:pPr>
      <w:r>
        <w:rPr>
          <w:rFonts w:hint="eastAsia" w:ascii="仿宋_GB2312" w:eastAsia="仿宋_GB2312"/>
          <w:b/>
          <w:sz w:val="32"/>
          <w:szCs w:val="32"/>
        </w:rPr>
        <w:t>（一）正常倍率病例拨付点数。</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正常倍率病例拨付点数=病组基准点数×点数调整系数。</w:t>
      </w:r>
    </w:p>
    <w:p>
      <w:pPr>
        <w:spacing w:line="600" w:lineRule="exact"/>
        <w:ind w:firstLine="707" w:firstLineChars="221"/>
        <w:rPr>
          <w:rFonts w:ascii="仿宋_GB2312" w:eastAsia="仿宋_GB2312"/>
          <w:b/>
          <w:sz w:val="32"/>
          <w:szCs w:val="32"/>
        </w:rPr>
      </w:pPr>
      <w:r>
        <w:rPr>
          <w:rFonts w:hint="eastAsia" w:ascii="仿宋_GB2312" w:eastAsia="仿宋_GB2312"/>
          <w:b/>
          <w:sz w:val="32"/>
          <w:szCs w:val="32"/>
        </w:rPr>
        <w:t>（二）高倍率病例拨付点数。</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1.高倍率病例拨付点数=病组基准点数×点数调整系数；</w:t>
      </w:r>
    </w:p>
    <w:p>
      <w:pPr>
        <w:spacing w:line="600" w:lineRule="exact"/>
        <w:ind w:firstLine="707" w:firstLineChars="221"/>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.高倍率病例特病单议追加点数=该病组基准点数×核准追加倍数；</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核准追加倍数=（该病例医疗总费用-该病例不合理医疗费用）÷本病组次均住院费用-病组上限裁剪倍率。</w:t>
      </w:r>
    </w:p>
    <w:p>
      <w:pPr>
        <w:spacing w:line="600" w:lineRule="exact"/>
        <w:ind w:firstLine="707" w:firstLineChars="221"/>
        <w:rPr>
          <w:rFonts w:ascii="仿宋_GB2312" w:eastAsia="仿宋_GB2312"/>
          <w:b/>
          <w:sz w:val="32"/>
          <w:szCs w:val="32"/>
        </w:rPr>
      </w:pPr>
      <w:r>
        <w:rPr>
          <w:rFonts w:hint="eastAsia" w:ascii="仿宋_GB2312" w:eastAsia="仿宋_GB2312"/>
          <w:b/>
          <w:sz w:val="32"/>
          <w:szCs w:val="32"/>
        </w:rPr>
        <w:t>（三）低倍率病例拨付点数。</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低倍率病例拨付点数=病组基准点数×（该病例医疗总费用÷本病组次均住院费用）。</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w:t>
      </w:r>
      <w:r>
        <w:rPr>
          <w:rFonts w:hint="eastAsia" w:ascii="仿宋_GB2312" w:eastAsia="仿宋_GB2312"/>
          <w:b/>
          <w:sz w:val="32"/>
          <w:szCs w:val="32"/>
        </w:rPr>
        <w:t>（基准点数确定）</w:t>
      </w:r>
      <w:r>
        <w:rPr>
          <w:rFonts w:hint="eastAsia" w:ascii="仿宋_GB2312" w:eastAsia="仿宋_GB2312"/>
          <w:bCs/>
          <w:sz w:val="32"/>
          <w:szCs w:val="32"/>
        </w:rPr>
        <w:t>病组</w:t>
      </w:r>
      <w:r>
        <w:rPr>
          <w:rFonts w:hint="eastAsia" w:ascii="仿宋_GB2312" w:eastAsia="仿宋_GB2312"/>
          <w:sz w:val="32"/>
          <w:szCs w:val="32"/>
        </w:rPr>
        <w:t>基准点数以近三年的历史数据为主要依据进行确定。</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病组基准点数</w:t>
      </w:r>
      <w:r>
        <w:rPr>
          <w:rFonts w:ascii="仿宋_GB2312" w:eastAsia="仿宋_GB2312"/>
          <w:sz w:val="32"/>
          <w:szCs w:val="32"/>
        </w:rPr>
        <w:t>=</w:t>
      </w:r>
      <w:r>
        <w:rPr>
          <w:rFonts w:hint="eastAsia" w:ascii="仿宋_GB2312" w:eastAsia="仿宋_GB2312"/>
          <w:sz w:val="32"/>
          <w:szCs w:val="32"/>
        </w:rPr>
        <w:t>病组次均住院费用÷全部</w:t>
      </w:r>
      <w:r>
        <w:rPr>
          <w:rFonts w:hint="eastAsia" w:ascii="仿宋_GB2312" w:eastAsia="仿宋_GB2312"/>
          <w:color w:val="000000" w:themeColor="text1"/>
          <w:sz w:val="32"/>
          <w:szCs w:val="32"/>
          <w14:textFill>
            <w14:solidFill>
              <w14:schemeClr w14:val="tx1"/>
            </w14:solidFill>
          </w14:textFill>
        </w:rPr>
        <w:t>病例</w:t>
      </w:r>
      <w:r>
        <w:rPr>
          <w:rFonts w:hint="eastAsia" w:ascii="仿宋_GB2312" w:eastAsia="仿宋_GB2312"/>
          <w:sz w:val="32"/>
          <w:szCs w:val="32"/>
        </w:rPr>
        <w:t>次均住院费用×100。</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次均费用测算过程进行异常病例裁剪，病组上限裁剪倍率设定为2倍，下限设定为0</w:t>
      </w:r>
      <w:r>
        <w:rPr>
          <w:rFonts w:ascii="仿宋_GB2312" w:eastAsia="仿宋_GB2312"/>
          <w:sz w:val="32"/>
          <w:szCs w:val="32"/>
        </w:rPr>
        <w:t>.4</w:t>
      </w:r>
      <w:r>
        <w:rPr>
          <w:rFonts w:hint="eastAsia" w:ascii="仿宋_GB2312" w:eastAsia="仿宋_GB2312"/>
          <w:sz w:val="32"/>
          <w:szCs w:val="32"/>
        </w:rPr>
        <w:t>倍。</w:t>
      </w:r>
    </w:p>
    <w:p>
      <w:pPr>
        <w:spacing w:line="600" w:lineRule="exact"/>
        <w:ind w:firstLine="707" w:firstLineChars="221"/>
        <w:rPr>
          <w:rFonts w:ascii="仿宋_GB2312" w:eastAsia="仿宋_GB2312"/>
          <w:b/>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w:t>
      </w:r>
      <w:r>
        <w:rPr>
          <w:rFonts w:hint="eastAsia" w:ascii="仿宋_GB2312" w:eastAsia="仿宋_GB2312"/>
          <w:b/>
          <w:sz w:val="32"/>
          <w:szCs w:val="32"/>
        </w:rPr>
        <w:t>（点数调整系数）</w:t>
      </w:r>
      <w:r>
        <w:rPr>
          <w:rFonts w:hint="eastAsia" w:ascii="仿宋_GB2312" w:eastAsia="仿宋_GB2312"/>
          <w:bCs/>
          <w:sz w:val="32"/>
          <w:szCs w:val="32"/>
        </w:rPr>
        <w:t>医疗机构</w:t>
      </w:r>
      <w:r>
        <w:rPr>
          <w:rFonts w:hint="eastAsia" w:ascii="仿宋_GB2312" w:eastAsia="仿宋_GB2312"/>
          <w:sz w:val="32"/>
          <w:szCs w:val="32"/>
        </w:rPr>
        <w:t>病组点数调整系</w:t>
      </w:r>
      <w:r>
        <w:rPr>
          <w:rFonts w:hint="eastAsia" w:ascii="仿宋_GB2312" w:eastAsia="仿宋_GB2312"/>
          <w:bCs/>
          <w:sz w:val="32"/>
          <w:szCs w:val="32"/>
        </w:rPr>
        <w:t>数</w:t>
      </w:r>
      <w:r>
        <w:rPr>
          <w:rFonts w:hint="eastAsia" w:ascii="仿宋_GB2312" w:eastAsia="仿宋_GB2312"/>
          <w:sz w:val="32"/>
          <w:szCs w:val="32"/>
        </w:rPr>
        <w:t>实行分级分类管理。根据医疗机构近三年医疗费用情况，将病组点数调整系数由高至低依次设置三级一类、三级二类、三级三类、二级</w:t>
      </w:r>
      <w:r>
        <w:rPr>
          <w:rFonts w:hint="eastAsia" w:ascii="仿宋_GB2312" w:eastAsia="仿宋_GB2312"/>
          <w:color w:val="000000" w:themeColor="text1"/>
          <w:sz w:val="32"/>
          <w:szCs w:val="32"/>
          <w14:textFill>
            <w14:solidFill>
              <w14:schemeClr w14:val="tx1"/>
            </w14:solidFill>
          </w14:textFill>
        </w:rPr>
        <w:t>（详见附件1）</w:t>
      </w:r>
      <w:r>
        <w:rPr>
          <w:rFonts w:hint="eastAsia" w:ascii="仿宋_GB2312" w:eastAsia="仿宋_GB2312"/>
          <w:sz w:val="32"/>
          <w:szCs w:val="32"/>
        </w:rPr>
        <w:t xml:space="preserve">。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对于同一病组，下级医疗机构的点数调整系数原则上不得高于上一级医疗机构的平均点数调整系数；对于费用差异不大的常见病病组，设置为固定系数病组</w:t>
      </w:r>
      <w:r>
        <w:rPr>
          <w:rFonts w:hint="eastAsia" w:ascii="仿宋_GB2312" w:eastAsia="仿宋_GB2312"/>
          <w:color w:val="000000" w:themeColor="text1"/>
          <w:sz w:val="32"/>
          <w:szCs w:val="32"/>
          <w14:textFill>
            <w14:solidFill>
              <w14:schemeClr w14:val="tx1"/>
            </w14:solidFill>
          </w14:textFill>
        </w:rPr>
        <w:t>（详见附件</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，点数调整系数全部设定为1，实现同病同价。</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w:t>
      </w:r>
      <w:r>
        <w:rPr>
          <w:rFonts w:hint="eastAsia" w:ascii="仿宋_GB2312" w:eastAsia="仿宋_GB2312"/>
          <w:b/>
          <w:sz w:val="32"/>
          <w:szCs w:val="32"/>
        </w:rPr>
        <w:t>（非稳定组病例点数计算）</w:t>
      </w:r>
      <w:r>
        <w:rPr>
          <w:rFonts w:hint="eastAsia" w:ascii="仿宋_GB2312" w:eastAsia="仿宋_GB2312"/>
          <w:sz w:val="32"/>
          <w:szCs w:val="32"/>
        </w:rPr>
        <w:t>非稳定组病例，以及有必要进行特病单议的病例拨付点数按照以下办法确定：</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病例拨付点数=该病例医疗总费用÷全部</w:t>
      </w:r>
      <w:r>
        <w:rPr>
          <w:rFonts w:hint="eastAsia" w:ascii="仿宋_GB2312" w:eastAsia="仿宋_GB2312"/>
          <w:color w:val="000000" w:themeColor="text1"/>
          <w:sz w:val="32"/>
          <w:szCs w:val="32"/>
          <w14:textFill>
            <w14:solidFill>
              <w14:schemeClr w14:val="tx1"/>
            </w14:solidFill>
          </w14:textFill>
        </w:rPr>
        <w:t>病例</w:t>
      </w:r>
      <w:r>
        <w:rPr>
          <w:rFonts w:hint="eastAsia" w:ascii="仿宋_GB2312" w:eastAsia="仿宋_GB2312"/>
          <w:sz w:val="32"/>
          <w:szCs w:val="32"/>
        </w:rPr>
        <w:t>次均住院费用×100×70%；</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特病单议追加点数=该病例医疗总费用÷全部</w:t>
      </w:r>
      <w:r>
        <w:rPr>
          <w:rFonts w:hint="eastAsia" w:ascii="仿宋_GB2312" w:eastAsia="仿宋_GB2312"/>
          <w:color w:val="000000" w:themeColor="text1"/>
          <w:sz w:val="32"/>
          <w:szCs w:val="32"/>
          <w14:textFill>
            <w14:solidFill>
              <w14:schemeClr w14:val="tx1"/>
            </w14:solidFill>
          </w14:textFill>
        </w:rPr>
        <w:t>病例</w:t>
      </w:r>
      <w:r>
        <w:rPr>
          <w:rFonts w:hint="eastAsia" w:ascii="仿宋_GB2312" w:eastAsia="仿宋_GB2312"/>
          <w:sz w:val="32"/>
          <w:szCs w:val="32"/>
        </w:rPr>
        <w:t>次均住院费用×100×30% -该病例不合理医疗费用÷全部</w:t>
      </w:r>
      <w:r>
        <w:rPr>
          <w:rFonts w:hint="eastAsia" w:ascii="仿宋_GB2312" w:eastAsia="仿宋_GB2312"/>
          <w:color w:val="000000" w:themeColor="text1"/>
          <w:sz w:val="32"/>
          <w:szCs w:val="32"/>
          <w14:textFill>
            <w14:solidFill>
              <w14:schemeClr w14:val="tx1"/>
            </w14:solidFill>
          </w14:textFill>
        </w:rPr>
        <w:t>病例</w:t>
      </w:r>
      <w:r>
        <w:rPr>
          <w:rFonts w:hint="eastAsia" w:ascii="仿宋_GB2312" w:eastAsia="仿宋_GB2312"/>
          <w:sz w:val="32"/>
          <w:szCs w:val="32"/>
        </w:rPr>
        <w:t xml:space="preserve">次均住院费用×100。 </w:t>
      </w:r>
    </w:p>
    <w:p>
      <w:pPr>
        <w:spacing w:line="600" w:lineRule="exact"/>
        <w:ind w:firstLine="707" w:firstLineChars="221"/>
        <w:rPr>
          <w:rFonts w:ascii="仿宋_GB2312" w:eastAsia="仿宋_GB2312"/>
          <w:b/>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w:t>
      </w:r>
      <w:r>
        <w:rPr>
          <w:rFonts w:hint="eastAsia" w:ascii="仿宋_GB2312" w:eastAsia="仿宋_GB2312"/>
          <w:b/>
          <w:sz w:val="32"/>
          <w:szCs w:val="32"/>
        </w:rPr>
        <w:t>（点数调整）</w:t>
      </w:r>
      <w:r>
        <w:rPr>
          <w:rFonts w:hint="eastAsia" w:ascii="仿宋_GB2312" w:eastAsia="仿宋_GB2312"/>
          <w:sz w:val="32"/>
          <w:szCs w:val="32"/>
        </w:rPr>
        <w:t>医保经办机构原则上每季度第三个月，组织相关专家对上季度特病单议病例进行评审。医保经办机构应根据专家评审意见，确认并计算特病单议病例追加点数，在特病单议评审次月对相应病例作出点数调整。</w:t>
      </w:r>
    </w:p>
    <w:p>
      <w:pPr>
        <w:spacing w:line="600" w:lineRule="exact"/>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第五章  月度拨付</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w:t>
      </w:r>
      <w:r>
        <w:rPr>
          <w:rFonts w:hint="eastAsia" w:ascii="仿宋_GB2312" w:eastAsia="仿宋_GB2312"/>
          <w:b/>
          <w:sz w:val="32"/>
          <w:szCs w:val="32"/>
        </w:rPr>
        <w:t>（拨付办法）</w:t>
      </w:r>
      <w:r>
        <w:rPr>
          <w:rFonts w:hint="eastAsia" w:ascii="仿宋_GB2312" w:eastAsia="仿宋_GB2312"/>
          <w:bCs/>
          <w:sz w:val="32"/>
          <w:szCs w:val="32"/>
        </w:rPr>
        <w:t>DRG付费预算包</w:t>
      </w:r>
      <w:r>
        <w:rPr>
          <w:rFonts w:hint="eastAsia" w:ascii="仿宋_GB2312" w:eastAsia="仿宋_GB2312"/>
          <w:sz w:val="32"/>
          <w:szCs w:val="32"/>
        </w:rPr>
        <w:t xml:space="preserve">实行按月拨付，月度拨付医保基金额根据月度拨付点值、月度拨付点数及拨付比例确定。  </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第十九条 （点值计算）</w:t>
      </w:r>
      <w:r>
        <w:rPr>
          <w:rFonts w:hint="eastAsia" w:ascii="仿宋_GB2312" w:eastAsia="仿宋_GB2312"/>
          <w:sz w:val="32"/>
          <w:szCs w:val="32"/>
        </w:rPr>
        <w:t>月度拨付点值按照以下办法确定：</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月度拨付点值=（月度全部住院病例医疗总费用-月度全部住院病例医保基金实际报销总额+月度D</w:t>
      </w:r>
      <w:r>
        <w:rPr>
          <w:rFonts w:ascii="仿宋_GB2312" w:eastAsia="仿宋_GB2312"/>
          <w:sz w:val="32"/>
          <w:szCs w:val="32"/>
        </w:rPr>
        <w:t>RG</w:t>
      </w:r>
      <w:r>
        <w:rPr>
          <w:rFonts w:hint="eastAsia" w:ascii="仿宋_GB2312" w:eastAsia="仿宋_GB2312"/>
          <w:sz w:val="32"/>
          <w:szCs w:val="32"/>
        </w:rPr>
        <w:t>预算总额）÷月度全部病例总点数。</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月度D</w:t>
      </w:r>
      <w:r>
        <w:rPr>
          <w:rFonts w:ascii="仿宋_GB2312" w:eastAsia="仿宋_GB2312"/>
          <w:sz w:val="32"/>
          <w:szCs w:val="32"/>
        </w:rPr>
        <w:t>RG</w:t>
      </w:r>
      <w:r>
        <w:rPr>
          <w:rFonts w:hint="eastAsia" w:ascii="仿宋_GB2312" w:eastAsia="仿宋_GB2312"/>
          <w:sz w:val="32"/>
          <w:szCs w:val="32"/>
        </w:rPr>
        <w:t>预算总额</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按照当年</w:t>
      </w:r>
      <w:r>
        <w:rPr>
          <w:rFonts w:hint="eastAsia" w:ascii="仿宋_GB2312" w:eastAsia="仿宋_GB2312"/>
          <w:bCs/>
          <w:sz w:val="32"/>
          <w:szCs w:val="32"/>
        </w:rPr>
        <w:t>DRG付费预算包</w:t>
      </w:r>
      <w:r>
        <w:rPr>
          <w:rFonts w:hint="eastAsia" w:ascii="仿宋_GB2312" w:eastAsia="仿宋_GB2312"/>
          <w:sz w:val="32"/>
          <w:szCs w:val="32"/>
        </w:rPr>
        <w:t>除以12个月确定；月度D</w:t>
      </w:r>
      <w:r>
        <w:rPr>
          <w:rFonts w:ascii="仿宋_GB2312" w:eastAsia="仿宋_GB2312"/>
          <w:sz w:val="32"/>
          <w:szCs w:val="32"/>
        </w:rPr>
        <w:t>RG</w:t>
      </w:r>
      <w:r>
        <w:rPr>
          <w:rFonts w:hint="eastAsia" w:ascii="仿宋_GB2312" w:eastAsia="仿宋_GB2312"/>
          <w:sz w:val="32"/>
          <w:szCs w:val="32"/>
        </w:rPr>
        <w:t xml:space="preserve">预算总额大于月度全部住院病例医保基金实际报销总额时，以月度全部住院病例医保基金实际报销总额计算月度拨付点值。月度预算基金结余额滚存累积至次月预算基金额度内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月度全部病例总点数为月度所有D</w:t>
      </w:r>
      <w:r>
        <w:rPr>
          <w:rFonts w:ascii="仿宋_GB2312" w:eastAsia="仿宋_GB2312"/>
          <w:sz w:val="32"/>
          <w:szCs w:val="32"/>
        </w:rPr>
        <w:t>RG</w:t>
      </w:r>
      <w:r>
        <w:rPr>
          <w:rFonts w:hint="eastAsia" w:ascii="仿宋_GB2312" w:eastAsia="仿宋_GB2312"/>
          <w:sz w:val="32"/>
          <w:szCs w:val="32"/>
        </w:rPr>
        <w:t>付费医疗机构全部病例拨付点数之和；查处违规的病例，扣除相应的点数。</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w:t>
      </w:r>
      <w:r>
        <w:rPr>
          <w:rFonts w:hint="eastAsia" w:ascii="仿宋_GB2312" w:eastAsia="仿宋_GB2312"/>
          <w:b/>
          <w:sz w:val="32"/>
          <w:szCs w:val="32"/>
        </w:rPr>
        <w:t>（拨付费用）</w:t>
      </w:r>
      <w:r>
        <w:rPr>
          <w:rFonts w:hint="eastAsia" w:ascii="仿宋_GB2312" w:eastAsia="仿宋_GB2312"/>
          <w:sz w:val="32"/>
          <w:szCs w:val="32"/>
        </w:rPr>
        <w:t xml:space="preserve">月度拨付给医疗机构的医保基金按照以下办法确定：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 xml:space="preserve">医疗机构月度拨付额=（本月月度拨付点值×该机构月度拨付总点数-本月该机构实际已收总费用）×拨付比例-本月审核扣款+（特病单议核准追加点数×对应月月度拨付点值）×拨付比例。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该机构月度拨付总点数等于该医疗机构同期所有病例拨付点数之和。</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实际已收总费用=住院病例医疗总费用-住院病例医保基金实际报销总额，即：为纳入总额预算管理之外的费用类型之和。</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拨付比例按照90%确定，可结合基金预算执行情况适时予以调整。医保经办机构应在病例分组确认后10个工作日内进行费用拨付。</w:t>
      </w:r>
    </w:p>
    <w:p>
      <w:pPr>
        <w:spacing w:line="600" w:lineRule="exact"/>
        <w:ind w:firstLine="707" w:firstLineChars="221"/>
        <w:rPr>
          <w:rFonts w:ascii="仿宋_GB2312" w:eastAsia="仿宋_GB2312"/>
          <w:sz w:val="32"/>
          <w:szCs w:val="32"/>
        </w:rPr>
      </w:pPr>
      <w:r>
        <w:rPr>
          <w:rFonts w:ascii="仿宋_GB2312" w:eastAsia="仿宋_GB2312"/>
          <w:b/>
          <w:sz w:val="32"/>
          <w:szCs w:val="32"/>
        </w:rPr>
        <w:t>第二十</w:t>
      </w:r>
      <w:r>
        <w:rPr>
          <w:rFonts w:hint="eastAsia" w:ascii="仿宋_GB2312" w:eastAsia="仿宋_GB2312"/>
          <w:b/>
          <w:sz w:val="32"/>
          <w:szCs w:val="32"/>
        </w:rPr>
        <w:t>一</w:t>
      </w:r>
      <w:r>
        <w:rPr>
          <w:rFonts w:ascii="仿宋_GB2312" w:eastAsia="仿宋_GB2312"/>
          <w:b/>
          <w:sz w:val="32"/>
          <w:szCs w:val="32"/>
        </w:rPr>
        <w:t>条  （周转金）</w:t>
      </w:r>
      <w:r>
        <w:rPr>
          <w:rFonts w:ascii="仿宋_GB2312" w:eastAsia="仿宋_GB2312"/>
          <w:sz w:val="32"/>
          <w:szCs w:val="32"/>
        </w:rPr>
        <w:t>为减轻医疗机构垫资压力，2021年前两月</w:t>
      </w:r>
      <w:r>
        <w:rPr>
          <w:rFonts w:hint="eastAsia" w:ascii="仿宋_GB2312" w:eastAsia="仿宋_GB2312"/>
          <w:sz w:val="32"/>
          <w:szCs w:val="32"/>
        </w:rPr>
        <w:t>，</w:t>
      </w:r>
      <w:r>
        <w:rPr>
          <w:rFonts w:ascii="仿宋_GB2312" w:eastAsia="仿宋_GB2312"/>
          <w:sz w:val="32"/>
          <w:szCs w:val="32"/>
        </w:rPr>
        <w:t>医保经办机构按照上年</w:t>
      </w:r>
      <w:r>
        <w:rPr>
          <w:rFonts w:hint="eastAsia" w:ascii="仿宋_GB2312" w:eastAsia="仿宋_GB2312"/>
          <w:sz w:val="32"/>
          <w:szCs w:val="32"/>
        </w:rPr>
        <w:t>住院医保</w:t>
      </w:r>
      <w:r>
        <w:rPr>
          <w:rFonts w:ascii="仿宋_GB2312" w:eastAsia="仿宋_GB2312"/>
          <w:sz w:val="32"/>
          <w:szCs w:val="32"/>
        </w:rPr>
        <w:t>基金月度预算额度</w:t>
      </w:r>
      <w:r>
        <w:rPr>
          <w:rFonts w:hint="eastAsia" w:ascii="仿宋_GB2312" w:eastAsia="仿宋_GB2312"/>
          <w:sz w:val="32"/>
          <w:szCs w:val="32"/>
        </w:rPr>
        <w:t>的</w:t>
      </w:r>
      <w:r>
        <w:rPr>
          <w:rFonts w:ascii="仿宋_GB2312" w:eastAsia="仿宋_GB2312"/>
          <w:sz w:val="32"/>
          <w:szCs w:val="32"/>
        </w:rPr>
        <w:t>90%确定周转金，</w:t>
      </w:r>
      <w:r>
        <w:rPr>
          <w:rFonts w:hint="eastAsia" w:ascii="仿宋_GB2312" w:eastAsia="仿宋_GB2312"/>
          <w:sz w:val="32"/>
          <w:szCs w:val="32"/>
        </w:rPr>
        <w:t>拨付相关医疗机构，同年3月、4月对前两月进行清算</w:t>
      </w:r>
      <w:r>
        <w:rPr>
          <w:rFonts w:ascii="仿宋_GB2312" w:eastAsia="仿宋_GB2312"/>
          <w:sz w:val="32"/>
          <w:szCs w:val="32"/>
        </w:rPr>
        <w:t>。</w:t>
      </w:r>
    </w:p>
    <w:p>
      <w:pPr>
        <w:spacing w:line="600" w:lineRule="exact"/>
        <w:ind w:firstLine="707" w:firstLineChars="221"/>
        <w:rPr>
          <w:rFonts w:ascii="仿宋_GB2312" w:eastAsia="仿宋_GB2312"/>
          <w:sz w:val="32"/>
          <w:szCs w:val="32"/>
        </w:rPr>
      </w:pPr>
    </w:p>
    <w:p>
      <w:pPr>
        <w:spacing w:line="600" w:lineRule="exact"/>
        <w:jc w:val="center"/>
        <w:rPr>
          <w:rFonts w:ascii="黑体" w:eastAsia="黑体"/>
          <w:sz w:val="32"/>
          <w:szCs w:val="32"/>
        </w:rPr>
      </w:pPr>
      <w:r>
        <w:rPr>
          <w:rFonts w:hint="eastAsia" w:ascii="黑体" w:eastAsia="黑体"/>
          <w:sz w:val="32"/>
          <w:szCs w:val="32"/>
        </w:rPr>
        <w:t>第六章  年度清算</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w:t>
      </w:r>
      <w:r>
        <w:rPr>
          <w:rFonts w:hint="eastAsia" w:ascii="仿宋_GB2312" w:eastAsia="仿宋_GB2312"/>
          <w:b/>
          <w:sz w:val="32"/>
          <w:szCs w:val="32"/>
        </w:rPr>
        <w:t>（清算规则）</w:t>
      </w:r>
      <w:r>
        <w:rPr>
          <w:rFonts w:hint="eastAsia" w:ascii="仿宋_GB2312" w:eastAsia="仿宋_GB2312"/>
          <w:sz w:val="32"/>
          <w:szCs w:val="32"/>
        </w:rPr>
        <w:t xml:space="preserve">清算年度为当年1月1日至12月31日，每一病例按照结算时间纳入年度清算。医保经办机构应按照本办法的相关规定制定年终清算方案，报市医保局审定后进行年度清算。年度清算拨付应于次年4月底前完成。年终清算与年度考核结果挂钩。 </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w:t>
      </w:r>
      <w:r>
        <w:rPr>
          <w:rFonts w:hint="eastAsia" w:ascii="仿宋_GB2312" w:eastAsia="仿宋_GB2312"/>
          <w:b/>
          <w:sz w:val="32"/>
          <w:szCs w:val="32"/>
        </w:rPr>
        <w:t>（年度点值计算）</w:t>
      </w:r>
      <w:r>
        <w:rPr>
          <w:rFonts w:hint="eastAsia" w:ascii="仿宋_GB2312" w:eastAsia="仿宋_GB2312"/>
          <w:sz w:val="32"/>
          <w:szCs w:val="32"/>
        </w:rPr>
        <w:t xml:space="preserve"> 年度清算点值按照以下方式计算：</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年度清算点值=（年度D</w:t>
      </w:r>
      <w:r>
        <w:rPr>
          <w:rFonts w:ascii="仿宋_GB2312" w:eastAsia="仿宋_GB2312"/>
          <w:sz w:val="32"/>
          <w:szCs w:val="32"/>
        </w:rPr>
        <w:t>RG</w:t>
      </w:r>
      <w:r>
        <w:rPr>
          <w:rFonts w:hint="eastAsia" w:ascii="仿宋_GB2312" w:eastAsia="仿宋_GB2312"/>
          <w:sz w:val="32"/>
          <w:szCs w:val="32"/>
        </w:rPr>
        <w:t>付费预算包+年度所有D</w:t>
      </w:r>
      <w:r>
        <w:rPr>
          <w:rFonts w:ascii="仿宋_GB2312" w:eastAsia="仿宋_GB2312"/>
          <w:sz w:val="32"/>
          <w:szCs w:val="32"/>
        </w:rPr>
        <w:t>RG</w:t>
      </w:r>
      <w:r>
        <w:rPr>
          <w:rFonts w:hint="eastAsia" w:ascii="仿宋_GB2312" w:eastAsia="仿宋_GB2312"/>
          <w:sz w:val="32"/>
          <w:szCs w:val="32"/>
        </w:rPr>
        <w:t xml:space="preserve">付费医疗机构实际已收总费用）÷年度清算总点数。 </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w:t>
      </w:r>
      <w:r>
        <w:rPr>
          <w:rFonts w:hint="eastAsia" w:ascii="仿宋_GB2312" w:eastAsia="仿宋_GB2312"/>
          <w:b/>
          <w:sz w:val="32"/>
          <w:szCs w:val="32"/>
        </w:rPr>
        <w:t>（年度清算点数计算）</w:t>
      </w:r>
      <w:r>
        <w:rPr>
          <w:rFonts w:hint="eastAsia" w:ascii="仿宋_GB2312" w:eastAsia="仿宋_GB2312"/>
          <w:sz w:val="32"/>
          <w:szCs w:val="32"/>
        </w:rPr>
        <w:t>年度清算总点数按照以下方式计算：</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 xml:space="preserve">年度清算总点数等于各医疗机构年度清算点数之和。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 xml:space="preserve">医疗机构年度清算点数=医疗机构年度总点数×年度考核清算系数。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医疗机构年度总点数=年度拨付总点数+特病单议核准点数±病组点数调整-违规扣除点数。</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医疗机构年度考核清算系数根据个人自付比例增长率、人次人头比增长率、次均医疗费用增长率、疾病诊治编码数据上传准确率等4个指标平均数确定。</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（1）个人自付比例增长率指标=同级别医疗机构平均的个人自付比例增长率÷该院实际个人自付比例增长率。</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 xml:space="preserve">（2）人次人头比增长率指标=同级别医疗机构平均的人次人头比增长率÷该院实际人次人头比增长率。 </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（3）次均医疗费用增长率指标=同级别医疗机构平均的次均医疗费用增长率÷该院次均医疗费用增长率。</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（4）疾病诊治编码数据上传准确率指标=（医疗机构疾病诊治编码数据上传准确率÷全市平均的疾病诊治编码数据上传准确率+该院病案填报准确率÷全市平均的病案填报准确率）÷2。</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医疗机构年度考核清算系数低于 95%的，按照95%计算；高于105%的，按照 105%计算。新纳入D</w:t>
      </w:r>
      <w:r>
        <w:rPr>
          <w:rFonts w:ascii="仿宋_GB2312" w:eastAsia="仿宋_GB2312"/>
          <w:sz w:val="32"/>
          <w:szCs w:val="32"/>
        </w:rPr>
        <w:t>RG</w:t>
      </w:r>
      <w:r>
        <w:rPr>
          <w:rFonts w:hint="eastAsia" w:ascii="仿宋_GB2312" w:eastAsia="仿宋_GB2312"/>
          <w:sz w:val="32"/>
          <w:szCs w:val="32"/>
        </w:rPr>
        <w:t>付费管理的医疗机构，纳入的第一年考核清算系数为1，第二年及以后按照以上规定计算。无正当理由，医疗机构发生未在院结算情形的，年度考核清算系数按照95%执行。</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w:t>
      </w:r>
      <w:r>
        <w:rPr>
          <w:rFonts w:hint="eastAsia" w:ascii="仿宋_GB2312" w:eastAsia="仿宋_GB2312"/>
          <w:b/>
          <w:sz w:val="32"/>
          <w:szCs w:val="32"/>
        </w:rPr>
        <w:t>（清算费用）</w:t>
      </w:r>
      <w:r>
        <w:rPr>
          <w:rFonts w:hint="eastAsia" w:ascii="仿宋_GB2312" w:eastAsia="仿宋_GB2312"/>
          <w:sz w:val="32"/>
          <w:szCs w:val="32"/>
        </w:rPr>
        <w:t>年终清算拨付费用按照以下方法计算：</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医疗机构年度清算拨付费用=该医疗机构考核后年度应得总费用（即年度清算总点数×年度清算点值）-该医疗机构年度实际已收总费用-累计月已拨费用-年度违规扣款总额。</w:t>
      </w:r>
    </w:p>
    <w:p>
      <w:pPr>
        <w:spacing w:line="600" w:lineRule="exact"/>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第七章  管理与监督</w:t>
      </w:r>
    </w:p>
    <w:p>
      <w:pPr>
        <w:spacing w:line="600" w:lineRule="exact"/>
        <w:ind w:firstLine="707" w:firstLineChars="221"/>
        <w:rPr>
          <w:rFonts w:ascii="仿宋_GB2312" w:eastAsia="仿宋_GB2312"/>
          <w:sz w:val="32"/>
          <w:szCs w:val="32"/>
          <w:highlight w:val="none"/>
        </w:rPr>
      </w:pPr>
      <w:r>
        <w:rPr>
          <w:rFonts w:hint="eastAsia" w:ascii="仿宋_GB2312" w:eastAsia="仿宋_GB2312"/>
          <w:b/>
          <w:sz w:val="32"/>
          <w:szCs w:val="32"/>
        </w:rPr>
        <w:t>第二十六条</w:t>
      </w:r>
      <w:r>
        <w:rPr>
          <w:rFonts w:hint="eastAsia" w:ascii="仿宋_GB2312" w:eastAsia="仿宋_GB2312"/>
          <w:sz w:val="32"/>
          <w:szCs w:val="32"/>
        </w:rPr>
        <w:t xml:space="preserve">  </w:t>
      </w:r>
      <w:r>
        <w:rPr>
          <w:rFonts w:hint="eastAsia" w:ascii="仿宋_GB2312" w:eastAsia="仿宋_GB2312"/>
          <w:b/>
          <w:sz w:val="32"/>
          <w:szCs w:val="32"/>
        </w:rPr>
        <w:t>（就医管理）</w:t>
      </w:r>
      <w:r>
        <w:rPr>
          <w:rFonts w:hint="eastAsia" w:ascii="仿宋_GB2312" w:eastAsia="仿宋_GB2312"/>
          <w:sz w:val="32"/>
          <w:szCs w:val="32"/>
        </w:rPr>
        <w:t>医疗机构及医保医师应认真执行相关规定，坚持因病施治、合理检查、合理治疗、合理用药、合理收费。严格执行出入院标准，不得推诿病人，不得医疗不足。严禁分解住院、分解费用（特别是住院费用分解为门诊或院外）。严格控制加重个人经济负担的医疗行为，合理控制自费药品、材料和诊疗项目使用，医疗总费用中自费率（医保目录外费用占比）超过</w:t>
      </w:r>
      <w:r>
        <w:rPr>
          <w:rFonts w:hint="eastAsia" w:ascii="仿宋_GB2312" w:eastAsia="仿宋_GB2312"/>
          <w:sz w:val="32"/>
          <w:szCs w:val="32"/>
          <w:highlight w:val="none"/>
        </w:rPr>
        <w:t>8%的部分，从医疗机构年度清算拨付费用中扣除。</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 xml:space="preserve">第二十七条 </w:t>
      </w:r>
      <w:r>
        <w:rPr>
          <w:rFonts w:hint="eastAsia" w:ascii="仿宋_GB2312" w:eastAsia="仿宋_GB2312"/>
          <w:sz w:val="32"/>
          <w:szCs w:val="32"/>
        </w:rPr>
        <w:t xml:space="preserve"> </w:t>
      </w:r>
      <w:r>
        <w:rPr>
          <w:rFonts w:hint="eastAsia" w:ascii="仿宋_GB2312" w:eastAsia="仿宋_GB2312"/>
          <w:b/>
          <w:sz w:val="32"/>
          <w:szCs w:val="32"/>
        </w:rPr>
        <w:t>（病案质量）</w:t>
      </w:r>
      <w:r>
        <w:rPr>
          <w:rFonts w:hint="eastAsia" w:ascii="仿宋_GB2312" w:eastAsia="仿宋_GB2312"/>
          <w:sz w:val="32"/>
          <w:szCs w:val="32"/>
        </w:rPr>
        <w:t>医疗机构应加强病案质量管理，提高编码水平，可多种渠道配备编码管理人员，务必做到病案首页诊断能够真实、准确、完整地反映治疗过程，坚决杜绝人为升级疾病诊断和手术操作编码。病案首页主要、次要诊断和手术操作应严格按照国家医疗保障局有关规定选择排序、规范填写。</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医疗机构应将在用疾病诊断与手术操作分类代码转换成国家医保版后上传至DRG管理信息系统。</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w:t>
      </w:r>
      <w:r>
        <w:rPr>
          <w:rFonts w:hint="eastAsia" w:ascii="仿宋_GB2312" w:eastAsia="仿宋_GB2312"/>
          <w:b/>
          <w:sz w:val="32"/>
          <w:szCs w:val="32"/>
        </w:rPr>
        <w:t>（强化监督）</w:t>
      </w:r>
      <w:r>
        <w:rPr>
          <w:rFonts w:hint="eastAsia" w:ascii="仿宋_GB2312" w:eastAsia="仿宋_GB2312"/>
          <w:sz w:val="32"/>
          <w:szCs w:val="32"/>
        </w:rPr>
        <w:t>加强医疗机构协议及医保医师协议管理，建立病案抽检互查机制，设立符合D</w:t>
      </w:r>
      <w:r>
        <w:rPr>
          <w:rFonts w:ascii="仿宋_GB2312" w:eastAsia="仿宋_GB2312"/>
          <w:sz w:val="32"/>
          <w:szCs w:val="32"/>
        </w:rPr>
        <w:t>RG</w:t>
      </w:r>
      <w:r>
        <w:rPr>
          <w:rFonts w:hint="eastAsia" w:ascii="仿宋_GB2312" w:eastAsia="仿宋_GB2312"/>
          <w:sz w:val="32"/>
          <w:szCs w:val="32"/>
        </w:rPr>
        <w:t>付费管理要求的审核规则，提升综合分析判断能力。对于升级编码和不合理诊疗的行为，扣除违规费用或点数，并按照政策规定、协议约定对医疗机构和医师给予处罚，涉嫌犯罪的，移送司法机关处理。</w:t>
      </w:r>
      <w:r>
        <w:rPr>
          <w:rFonts w:ascii="仿宋_GB2312" w:eastAsia="仿宋_GB2312"/>
          <w:sz w:val="32"/>
          <w:szCs w:val="32"/>
        </w:rPr>
        <w:t xml:space="preserve"> </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w:t>
      </w:r>
      <w:r>
        <w:rPr>
          <w:rFonts w:hint="eastAsia" w:ascii="仿宋_GB2312" w:eastAsia="仿宋_GB2312"/>
          <w:b/>
          <w:sz w:val="32"/>
          <w:szCs w:val="32"/>
        </w:rPr>
        <w:t>（能力建设）</w:t>
      </w:r>
      <w:r>
        <w:rPr>
          <w:rFonts w:hint="eastAsia" w:ascii="仿宋_GB2312" w:eastAsia="仿宋_GB2312"/>
          <w:bCs/>
          <w:sz w:val="32"/>
          <w:szCs w:val="32"/>
        </w:rPr>
        <w:t>建立专家库制度和</w:t>
      </w:r>
      <w:r>
        <w:rPr>
          <w:rFonts w:hint="eastAsia" w:ascii="仿宋_GB2312" w:eastAsia="仿宋_GB2312"/>
          <w:sz w:val="32"/>
          <w:szCs w:val="32"/>
        </w:rPr>
        <w:t xml:space="preserve">引入第三方专业服务。持续提高病组分组技术应用能力，完善知识库，建立符合我市实际特点的医疗保障服务质量评价体系。一是强化临床路径管理，通过一段时间运行后，逐步建立疾病诊断与治疗项目一致性评价体系；二是提高医疗质量评价指标建模及应用分析能力，逐步形成符合各级各类医疗机构特点的医疗质量评价体系，实现对医疗机构分类管理、分类评价。三是最终形成费用效率指标，逐步弱化点数调整系数，扩大同病同价实施范围，将住院病例点数计算公式调整为：住院病例点数=对应病组基准点数×费用效率系数。 </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w:t>
      </w:r>
      <w:r>
        <w:rPr>
          <w:rFonts w:hint="eastAsia" w:ascii="仿宋_GB2312" w:eastAsia="仿宋_GB2312"/>
          <w:b/>
          <w:sz w:val="32"/>
          <w:szCs w:val="32"/>
        </w:rPr>
        <w:t>（考核奖惩）</w:t>
      </w:r>
      <w:r>
        <w:rPr>
          <w:rFonts w:hint="eastAsia" w:ascii="仿宋_GB2312" w:eastAsia="仿宋_GB2312"/>
          <w:sz w:val="32"/>
          <w:szCs w:val="32"/>
        </w:rPr>
        <w:t xml:space="preserve">建立医疗行为、服务质量、费用效率等评价指标，完善医疗机构年度综合评价。根据年度考核评价结果，建立点数调整激励惩罚机制，调增评估结果好的医疗机构点数，调减评估结果差的医疗机构点数。 </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 xml:space="preserve">第三十一条 </w:t>
      </w:r>
      <w:r>
        <w:rPr>
          <w:rFonts w:hint="eastAsia" w:ascii="仿宋_GB2312" w:eastAsia="仿宋_GB2312"/>
          <w:sz w:val="32"/>
          <w:szCs w:val="32"/>
        </w:rPr>
        <w:t xml:space="preserve"> </w:t>
      </w:r>
      <w:r>
        <w:rPr>
          <w:rFonts w:hint="eastAsia" w:ascii="仿宋_GB2312" w:eastAsia="仿宋_GB2312"/>
          <w:b/>
          <w:sz w:val="32"/>
          <w:szCs w:val="32"/>
        </w:rPr>
        <w:t>（协商机制）</w:t>
      </w:r>
      <w:r>
        <w:rPr>
          <w:rFonts w:hint="eastAsia" w:ascii="仿宋_GB2312" w:eastAsia="仿宋_GB2312"/>
          <w:sz w:val="32"/>
          <w:szCs w:val="32"/>
        </w:rPr>
        <w:t>医保经办机构与医疗机构应加强协商交流。对于在实际D</w:t>
      </w:r>
      <w:r>
        <w:rPr>
          <w:rFonts w:ascii="仿宋_GB2312" w:eastAsia="仿宋_GB2312"/>
          <w:sz w:val="32"/>
          <w:szCs w:val="32"/>
        </w:rPr>
        <w:t>RG</w:t>
      </w:r>
      <w:r>
        <w:rPr>
          <w:rFonts w:hint="eastAsia" w:ascii="仿宋_GB2312" w:eastAsia="仿宋_GB2312"/>
          <w:sz w:val="32"/>
          <w:szCs w:val="32"/>
        </w:rPr>
        <w:t>付费过程中产生的争议问题，应本着合理合法、实事求是的原则，通过协商一致、专家评审等方式予以解决。</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w:t>
      </w:r>
      <w:r>
        <w:rPr>
          <w:rFonts w:hint="eastAsia" w:ascii="仿宋_GB2312" w:eastAsia="仿宋_GB2312"/>
          <w:b/>
          <w:sz w:val="32"/>
          <w:szCs w:val="32"/>
        </w:rPr>
        <w:t>（评估决策）</w:t>
      </w:r>
      <w:r>
        <w:rPr>
          <w:rFonts w:hint="eastAsia" w:ascii="仿宋_GB2312" w:eastAsia="仿宋_GB2312"/>
          <w:sz w:val="32"/>
          <w:szCs w:val="32"/>
        </w:rPr>
        <w:t xml:space="preserve">DRG点数法付费过程中的重大事项，应及时报请市医疗保障局，并根据需要组织相关机构和专家开展评估。根据评估结果，由市医疗保障局会同市财政局等相关部门研究决定。 </w:t>
      </w:r>
    </w:p>
    <w:p>
      <w:pPr>
        <w:spacing w:line="600" w:lineRule="exact"/>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第八章  附则</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本办法涉及医疗机构病组基准点数、调整系数、费用清算等计算结果，均保留4位小数。</w:t>
      </w:r>
    </w:p>
    <w:p>
      <w:pPr>
        <w:spacing w:line="600" w:lineRule="exact"/>
        <w:ind w:firstLine="707" w:firstLineChars="221"/>
        <w:rPr>
          <w:rFonts w:ascii="仿宋_GB2312" w:eastAsia="仿宋_GB2312"/>
          <w:sz w:val="32"/>
          <w:szCs w:val="32"/>
        </w:rPr>
      </w:pPr>
      <w:r>
        <w:rPr>
          <w:rFonts w:hint="eastAsia" w:ascii="仿宋_GB2312" w:eastAsia="仿宋_GB2312"/>
          <w:b/>
          <w:sz w:val="32"/>
          <w:szCs w:val="32"/>
        </w:rPr>
        <w:t>第三十四条</w:t>
      </w:r>
      <w:r>
        <w:rPr>
          <w:rFonts w:hint="eastAsia" w:ascii="仿宋_GB2312" w:eastAsia="仿宋_GB2312"/>
          <w:sz w:val="32"/>
          <w:szCs w:val="32"/>
        </w:rPr>
        <w:t xml:space="preserve">  本办法由合肥市医疗保障局解释。</w:t>
      </w:r>
    </w:p>
    <w:p>
      <w:pPr>
        <w:spacing w:line="600" w:lineRule="exact"/>
        <w:ind w:firstLine="707" w:firstLineChars="221"/>
        <w:rPr>
          <w:rFonts w:ascii="仿宋_GB2312" w:eastAsia="仿宋_GB2312"/>
          <w:sz w:val="32"/>
          <w:szCs w:val="32"/>
        </w:rPr>
      </w:pPr>
    </w:p>
    <w:p>
      <w:pPr>
        <w:spacing w:line="600" w:lineRule="exact"/>
        <w:ind w:firstLine="707" w:firstLineChars="221"/>
        <w:rPr>
          <w:rFonts w:ascii="仿宋_GB2312" w:eastAsia="仿宋_GB2312"/>
          <w:sz w:val="32"/>
          <w:szCs w:val="32"/>
        </w:rPr>
      </w:pPr>
    </w:p>
    <w:p>
      <w:pPr>
        <w:spacing w:line="600" w:lineRule="exact"/>
        <w:ind w:firstLine="707" w:firstLineChars="221"/>
        <w:rPr>
          <w:rFonts w:ascii="仿宋_GB2312" w:eastAsia="仿宋_GB2312"/>
          <w:sz w:val="32"/>
          <w:szCs w:val="32"/>
        </w:rPr>
      </w:pPr>
    </w:p>
    <w:p>
      <w:pPr>
        <w:spacing w:line="600" w:lineRule="exact"/>
        <w:ind w:firstLine="707" w:firstLineChars="221"/>
        <w:rPr>
          <w:rFonts w:ascii="仿宋_GB2312" w:eastAsia="仿宋_GB2312"/>
          <w:sz w:val="32"/>
          <w:szCs w:val="32"/>
        </w:rPr>
      </w:pPr>
    </w:p>
    <w:tbl>
      <w:tblPr>
        <w:tblStyle w:val="6"/>
        <w:tblW w:w="8379" w:type="dxa"/>
        <w:tblInd w:w="93" w:type="dxa"/>
        <w:tblLayout w:type="fixed"/>
        <w:tblCellMar>
          <w:top w:w="0" w:type="dxa"/>
          <w:left w:w="108" w:type="dxa"/>
          <w:bottom w:w="0" w:type="dxa"/>
          <w:right w:w="108" w:type="dxa"/>
        </w:tblCellMar>
      </w:tblPr>
      <w:tblGrid>
        <w:gridCol w:w="767"/>
        <w:gridCol w:w="4713"/>
        <w:gridCol w:w="2899"/>
      </w:tblGrid>
      <w:tr>
        <w:tblPrEx>
          <w:tblCellMar>
            <w:top w:w="0" w:type="dxa"/>
            <w:left w:w="108" w:type="dxa"/>
            <w:bottom w:w="0" w:type="dxa"/>
            <w:right w:w="108" w:type="dxa"/>
          </w:tblCellMar>
        </w:tblPrEx>
        <w:trPr>
          <w:trHeight w:val="435" w:hRule="atLeast"/>
        </w:trPr>
        <w:tc>
          <w:tcPr>
            <w:tcW w:w="5480" w:type="dxa"/>
            <w:gridSpan w:val="2"/>
            <w:tcBorders>
              <w:top w:val="nil"/>
              <w:left w:val="nil"/>
              <w:bottom w:val="nil"/>
              <w:right w:val="nil"/>
            </w:tcBorders>
            <w:shd w:val="clear" w:color="auto" w:fill="auto"/>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附件1：</w:t>
            </w:r>
          </w:p>
        </w:tc>
        <w:tc>
          <w:tcPr>
            <w:tcW w:w="2899" w:type="dxa"/>
            <w:tcBorders>
              <w:top w:val="nil"/>
              <w:left w:val="nil"/>
              <w:bottom w:val="nil"/>
              <w:right w:val="nil"/>
            </w:tcBorders>
            <w:shd w:val="clear" w:color="auto" w:fill="auto"/>
            <w:vAlign w:val="center"/>
          </w:tcPr>
          <w:p>
            <w:pPr>
              <w:widowControl/>
              <w:jc w:val="center"/>
              <w:rPr>
                <w:rFonts w:ascii="宋体" w:hAnsi="宋体" w:eastAsia="宋体"/>
                <w:color w:val="000000"/>
                <w:kern w:val="0"/>
                <w:sz w:val="22"/>
              </w:rPr>
            </w:pPr>
          </w:p>
        </w:tc>
      </w:tr>
      <w:tr>
        <w:tblPrEx>
          <w:tblCellMar>
            <w:top w:w="0" w:type="dxa"/>
            <w:left w:w="108" w:type="dxa"/>
            <w:bottom w:w="0" w:type="dxa"/>
            <w:right w:w="108" w:type="dxa"/>
          </w:tblCellMar>
        </w:tblPrEx>
        <w:trPr>
          <w:trHeight w:val="675" w:hRule="atLeast"/>
        </w:trPr>
        <w:tc>
          <w:tcPr>
            <w:tcW w:w="8379" w:type="dxa"/>
            <w:gridSpan w:val="3"/>
            <w:tcBorders>
              <w:top w:val="nil"/>
              <w:left w:val="nil"/>
              <w:bottom w:val="single" w:color="auto" w:sz="4" w:space="0"/>
              <w:right w:val="nil"/>
            </w:tcBorders>
            <w:shd w:val="clear" w:color="auto" w:fill="auto"/>
            <w:vAlign w:val="center"/>
          </w:tcPr>
          <w:p>
            <w:pPr>
              <w:widowControl/>
              <w:jc w:val="center"/>
              <w:rPr>
                <w:rFonts w:hint="eastAsia" w:ascii="宋体" w:hAnsi="宋体" w:eastAsia="宋体"/>
                <w:b/>
                <w:bCs/>
                <w:color w:val="000000"/>
                <w:kern w:val="0"/>
                <w:sz w:val="44"/>
                <w:szCs w:val="44"/>
              </w:rPr>
            </w:pPr>
            <w:r>
              <w:rPr>
                <w:rFonts w:hint="eastAsia" w:ascii="宋体" w:hAnsi="宋体" w:eastAsia="宋体"/>
                <w:b/>
                <w:bCs/>
                <w:color w:val="000000"/>
                <w:kern w:val="0"/>
                <w:sz w:val="44"/>
                <w:szCs w:val="44"/>
              </w:rPr>
              <w:t>DRG付费医疗机构名单及点数调整系数  分级分类表</w:t>
            </w:r>
          </w:p>
          <w:p>
            <w:pPr>
              <w:widowControl/>
              <w:jc w:val="center"/>
              <w:rPr>
                <w:rFonts w:hint="eastAsia" w:ascii="楷体_GB2312" w:hAnsi="宋体" w:eastAsia="楷体_GB2312"/>
                <w:b/>
                <w:bCs/>
                <w:color w:val="000000"/>
                <w:kern w:val="0"/>
                <w:sz w:val="32"/>
                <w:szCs w:val="32"/>
              </w:rPr>
            </w:pPr>
            <w:r>
              <w:rPr>
                <w:rFonts w:hint="eastAsia" w:ascii="楷体_GB2312" w:hAnsi="宋体" w:eastAsia="楷体_GB2312"/>
                <w:b/>
                <w:bCs/>
                <w:color w:val="000000"/>
                <w:kern w:val="0"/>
                <w:sz w:val="32"/>
                <w:szCs w:val="32"/>
              </w:rPr>
              <w:t>（征求意见）</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序号</w:t>
            </w:r>
          </w:p>
        </w:tc>
        <w:tc>
          <w:tcPr>
            <w:tcW w:w="47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医疗机构名称</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分级分类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安徽医科大学第一附属医院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三级一类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2</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安徽省立医院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三级一类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安徽医科大学第二附属医院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三级一类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安徽省胸科医院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三级一类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安徽中医药大学第一附属医院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三级二类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合肥市第一人民医院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三级二类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合肥市滨湖医院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三级二类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8</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合肥市第二人民医院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三级二类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9</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安徽中医药大学第二附属医院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三级二类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10</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合肥市第三人民医院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三级三类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11</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安徽医科大学第四附属医院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三级三类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12</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安徽省第二人民医院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三级三类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13</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安徽中医药大学第三附属医院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三级三类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14</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安徽省妇幼保健院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三级三类</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15</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合肥市第五人民医院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二级</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16</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中铁四局中心医院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二级</w:t>
            </w:r>
          </w:p>
        </w:tc>
      </w:tr>
      <w:tr>
        <w:tblPrEx>
          <w:tblCellMar>
            <w:top w:w="0" w:type="dxa"/>
            <w:left w:w="108" w:type="dxa"/>
            <w:bottom w:w="0" w:type="dxa"/>
            <w:right w:w="108" w:type="dxa"/>
          </w:tblCellMar>
        </w:tblPrEx>
        <w:trPr>
          <w:trHeight w:val="405" w:hRule="atLeast"/>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17</w:t>
            </w:r>
          </w:p>
        </w:tc>
        <w:tc>
          <w:tcPr>
            <w:tcW w:w="47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22"/>
              </w:rPr>
            </w:pPr>
            <w:r>
              <w:rPr>
                <w:rFonts w:hint="eastAsia" w:ascii="宋体" w:hAnsi="宋体" w:eastAsia="宋体"/>
                <w:color w:val="000000"/>
                <w:kern w:val="0"/>
                <w:sz w:val="22"/>
              </w:rPr>
              <w:t>安化康复医院</w:t>
            </w:r>
          </w:p>
        </w:tc>
        <w:tc>
          <w:tcPr>
            <w:tcW w:w="28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二级</w:t>
            </w:r>
          </w:p>
        </w:tc>
      </w:tr>
    </w:tbl>
    <w:p>
      <w:pPr>
        <w:spacing w:line="600" w:lineRule="exact"/>
      </w:pPr>
    </w:p>
    <w:p>
      <w:pPr>
        <w:widowControl/>
        <w:jc w:val="left"/>
        <w:rPr>
          <w:rFonts w:hint="eastAsia" w:ascii="仿宋_GB2312" w:hAnsi="宋体" w:eastAsia="仿宋_GB2312"/>
          <w:color w:val="000000"/>
          <w:kern w:val="0"/>
          <w:sz w:val="32"/>
          <w:szCs w:val="32"/>
        </w:rPr>
        <w:sectPr>
          <w:footerReference r:id="rId3" w:type="default"/>
          <w:pgSz w:w="11906" w:h="16838"/>
          <w:pgMar w:top="1418" w:right="1797" w:bottom="992" w:left="1797" w:header="851" w:footer="992" w:gutter="0"/>
          <w:cols w:space="425" w:num="1"/>
          <w:docGrid w:type="linesAndChars" w:linePitch="312" w:charSpace="0"/>
        </w:sectPr>
      </w:pPr>
    </w:p>
    <w:tbl>
      <w:tblPr>
        <w:tblStyle w:val="6"/>
        <w:tblW w:w="13608" w:type="dxa"/>
        <w:tblInd w:w="534" w:type="dxa"/>
        <w:tblLayout w:type="fixed"/>
        <w:tblCellMar>
          <w:top w:w="0" w:type="dxa"/>
          <w:left w:w="108" w:type="dxa"/>
          <w:bottom w:w="0" w:type="dxa"/>
          <w:right w:w="108" w:type="dxa"/>
        </w:tblCellMar>
      </w:tblPr>
      <w:tblGrid>
        <w:gridCol w:w="729"/>
        <w:gridCol w:w="1411"/>
        <w:gridCol w:w="5220"/>
        <w:gridCol w:w="1640"/>
        <w:gridCol w:w="497"/>
        <w:gridCol w:w="1723"/>
        <w:gridCol w:w="261"/>
        <w:gridCol w:w="2127"/>
      </w:tblGrid>
      <w:tr>
        <w:tblPrEx>
          <w:tblCellMar>
            <w:top w:w="0" w:type="dxa"/>
            <w:left w:w="108" w:type="dxa"/>
            <w:bottom w:w="0" w:type="dxa"/>
            <w:right w:w="108" w:type="dxa"/>
          </w:tblCellMar>
        </w:tblPrEx>
        <w:trPr>
          <w:trHeight w:val="510" w:hRule="atLeast"/>
        </w:trPr>
        <w:tc>
          <w:tcPr>
            <w:tcW w:w="2140" w:type="dxa"/>
            <w:gridSpan w:val="2"/>
            <w:tcBorders>
              <w:top w:val="nil"/>
              <w:left w:val="nil"/>
              <w:bottom w:val="nil"/>
              <w:right w:val="nil"/>
            </w:tcBorders>
            <w:shd w:val="clear" w:color="auto" w:fill="auto"/>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w:t>
            </w:r>
            <w:r>
              <w:rPr>
                <w:rFonts w:hint="eastAsia" w:ascii="仿宋_GB2312" w:hAnsi="宋体" w:eastAsia="仿宋_GB2312"/>
                <w:color w:val="000000"/>
                <w:kern w:val="0"/>
                <w:sz w:val="32"/>
                <w:szCs w:val="32"/>
                <w:lang w:val="en-US" w:eastAsia="zh-CN"/>
              </w:rPr>
              <w:t>2</w:t>
            </w:r>
            <w:r>
              <w:rPr>
                <w:rFonts w:hint="eastAsia" w:ascii="仿宋_GB2312" w:hAnsi="宋体" w:eastAsia="仿宋_GB2312"/>
                <w:color w:val="000000"/>
                <w:kern w:val="0"/>
                <w:sz w:val="32"/>
                <w:szCs w:val="32"/>
              </w:rPr>
              <w:t>：</w:t>
            </w:r>
          </w:p>
        </w:tc>
        <w:tc>
          <w:tcPr>
            <w:tcW w:w="5220" w:type="dxa"/>
            <w:tcBorders>
              <w:top w:val="nil"/>
              <w:left w:val="nil"/>
              <w:bottom w:val="nil"/>
              <w:right w:val="nil"/>
            </w:tcBorders>
            <w:shd w:val="clear" w:color="auto" w:fill="auto"/>
            <w:vAlign w:val="center"/>
          </w:tcPr>
          <w:p>
            <w:pPr>
              <w:widowControl/>
              <w:jc w:val="left"/>
              <w:rPr>
                <w:rFonts w:ascii="宋体" w:hAnsi="宋体" w:eastAsia="宋体"/>
                <w:color w:val="000000"/>
                <w:kern w:val="0"/>
                <w:sz w:val="22"/>
              </w:rPr>
            </w:pPr>
          </w:p>
        </w:tc>
        <w:tc>
          <w:tcPr>
            <w:tcW w:w="1640" w:type="dxa"/>
            <w:tcBorders>
              <w:top w:val="nil"/>
              <w:left w:val="nil"/>
              <w:bottom w:val="nil"/>
              <w:right w:val="nil"/>
            </w:tcBorders>
            <w:shd w:val="clear" w:color="auto" w:fill="auto"/>
            <w:vAlign w:val="center"/>
          </w:tcPr>
          <w:p>
            <w:pPr>
              <w:widowControl/>
              <w:jc w:val="left"/>
              <w:rPr>
                <w:rFonts w:ascii="宋体" w:hAnsi="宋体" w:eastAsia="宋体"/>
                <w:color w:val="000000"/>
                <w:kern w:val="0"/>
                <w:sz w:val="22"/>
              </w:rPr>
            </w:pPr>
          </w:p>
        </w:tc>
        <w:tc>
          <w:tcPr>
            <w:tcW w:w="2220" w:type="dxa"/>
            <w:gridSpan w:val="2"/>
            <w:tcBorders>
              <w:top w:val="nil"/>
              <w:left w:val="nil"/>
              <w:bottom w:val="nil"/>
              <w:right w:val="nil"/>
            </w:tcBorders>
            <w:shd w:val="clear" w:color="auto" w:fill="auto"/>
            <w:vAlign w:val="center"/>
          </w:tcPr>
          <w:p>
            <w:pPr>
              <w:widowControl/>
              <w:jc w:val="left"/>
              <w:rPr>
                <w:rFonts w:ascii="宋体" w:hAnsi="宋体" w:eastAsia="宋体"/>
                <w:color w:val="000000"/>
                <w:kern w:val="0"/>
                <w:sz w:val="22"/>
              </w:rPr>
            </w:pPr>
          </w:p>
        </w:tc>
        <w:tc>
          <w:tcPr>
            <w:tcW w:w="2388" w:type="dxa"/>
            <w:gridSpan w:val="2"/>
            <w:tcBorders>
              <w:top w:val="nil"/>
              <w:left w:val="nil"/>
              <w:bottom w:val="nil"/>
              <w:right w:val="nil"/>
            </w:tcBorders>
            <w:shd w:val="clear" w:color="auto" w:fill="auto"/>
            <w:vAlign w:val="center"/>
          </w:tcPr>
          <w:p>
            <w:pPr>
              <w:widowControl/>
              <w:jc w:val="left"/>
              <w:rPr>
                <w:rFonts w:ascii="宋体" w:hAnsi="宋体" w:eastAsia="宋体"/>
                <w:color w:val="000000"/>
                <w:kern w:val="0"/>
                <w:sz w:val="22"/>
              </w:rPr>
            </w:pPr>
          </w:p>
        </w:tc>
      </w:tr>
      <w:tr>
        <w:tblPrEx>
          <w:tblCellMar>
            <w:top w:w="0" w:type="dxa"/>
            <w:left w:w="108" w:type="dxa"/>
            <w:bottom w:w="0" w:type="dxa"/>
            <w:right w:w="108" w:type="dxa"/>
          </w:tblCellMar>
        </w:tblPrEx>
        <w:trPr>
          <w:trHeight w:val="750" w:hRule="atLeast"/>
        </w:trPr>
        <w:tc>
          <w:tcPr>
            <w:tcW w:w="13608" w:type="dxa"/>
            <w:gridSpan w:val="8"/>
            <w:tcBorders>
              <w:top w:val="nil"/>
              <w:left w:val="nil"/>
              <w:bottom w:val="single" w:color="auto" w:sz="4" w:space="0"/>
              <w:right w:val="nil"/>
            </w:tcBorders>
            <w:shd w:val="clear" w:color="auto" w:fill="auto"/>
            <w:vAlign w:val="center"/>
          </w:tcPr>
          <w:p>
            <w:pPr>
              <w:widowControl/>
              <w:jc w:val="center"/>
              <w:rPr>
                <w:rFonts w:ascii="宋体" w:hAnsi="宋体" w:eastAsia="宋体"/>
                <w:b/>
                <w:color w:val="000000"/>
                <w:kern w:val="0"/>
                <w:sz w:val="44"/>
                <w:szCs w:val="44"/>
              </w:rPr>
            </w:pPr>
            <w:r>
              <w:rPr>
                <w:rFonts w:hint="eastAsia" w:ascii="宋体" w:hAnsi="宋体" w:eastAsia="宋体"/>
                <w:b/>
                <w:color w:val="000000"/>
                <w:kern w:val="0"/>
                <w:sz w:val="44"/>
                <w:szCs w:val="44"/>
              </w:rPr>
              <w:t>固定系数（同病同价）病组</w:t>
            </w:r>
            <w:r>
              <w:rPr>
                <w:rFonts w:hint="eastAsia" w:ascii="楷体_GB2312" w:hAnsi="宋体" w:eastAsia="楷体_GB2312"/>
                <w:b/>
                <w:color w:val="000000"/>
                <w:kern w:val="0"/>
                <w:sz w:val="44"/>
                <w:szCs w:val="44"/>
              </w:rPr>
              <w:t>（征求意见稿）</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序号</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分组编码</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分组名称</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2"/>
              </w:rPr>
            </w:pPr>
            <w:r>
              <w:rPr>
                <w:rFonts w:hint="eastAsia" w:ascii="宋体" w:hAnsi="宋体" w:eastAsia="宋体"/>
                <w:b/>
                <w:color w:val="000000"/>
                <w:kern w:val="0"/>
                <w:sz w:val="22"/>
              </w:rPr>
              <w:t>并发症</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18"/>
                <w:szCs w:val="18"/>
              </w:rPr>
            </w:pPr>
            <w:r>
              <w:rPr>
                <w:rFonts w:hint="eastAsia" w:ascii="宋体" w:hAnsi="宋体" w:eastAsia="宋体"/>
                <w:b/>
                <w:color w:val="000000"/>
                <w:kern w:val="0"/>
                <w:sz w:val="18"/>
                <w:szCs w:val="18"/>
              </w:rPr>
              <w:t>分组类别1</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18"/>
                <w:szCs w:val="18"/>
              </w:rPr>
            </w:pPr>
            <w:r>
              <w:rPr>
                <w:rFonts w:hint="eastAsia" w:ascii="宋体" w:hAnsi="宋体" w:eastAsia="宋体"/>
                <w:b/>
                <w:color w:val="000000"/>
                <w:kern w:val="0"/>
                <w:sz w:val="18"/>
                <w:szCs w:val="18"/>
              </w:rPr>
              <w:t>分组类别2</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108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CV19</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各种类型青光眼</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(无,普通,严重)</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109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CW19</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各种类型白内障</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(无,普通,严重)</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151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DJ15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头颈、耳、鼻、咽、口其他手术，不伴并发症与合并症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154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DK15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其他头颈、耳、鼻、咽、口治疗操作，不伴并发症与合并症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非手术室操作部分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162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DT15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中耳炎及上呼吸道感染，不伴并发症与合并症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206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ES25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呼吸系统感染/炎症，不伴并发症与合并症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319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FV25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高血压，不伴并发症与合并症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331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FW25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静脉疾患，不伴并发症与合并症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352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GD25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阑尾切除术，不伴并发症与合并症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356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GE15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腹股沟及腹疝手术，不伴并发症与合并症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362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GF15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肛管、肛门及肛周手术，不伴并发症与合并症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365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GF25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直肠其他手术，不伴并发症与合并症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389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GT15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炎症性肠病，不伴并发症与合并症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398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GV15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消化道梗阻或腹痛，不伴并发症与合并症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404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GZ15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其他消化系统诊断，不伴并发症与合并症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416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HC35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胆囊切除手术，不伴并发症与合并症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482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ID15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小关节手术，不伴并发症与合并症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485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IE15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骨盆髋臼手术，不伴并发症与合并症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489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IF15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上肢骨手术，不伴并发症与合并症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495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IF35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股骨手术，不伴并发症与合并症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502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IF55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骨科固定装置去除/修正术，不伴并发症与合并症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515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IR15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骨盆骨折，不伴并发症与合并症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518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IR25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股骨颈骨折，不伴并发症与合并症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521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IR35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股骨干及远端骨折，不伴并发症与合并症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536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IT35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感染性关节炎，不伴并发症与合并症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539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IU15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骨病及其他关节病，不伴并发症与合并症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542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IU25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颈腰背疾患，不伴并发症与合并症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551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IZ15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肌肉骨骼系统植入物/假体的康复照护，不伴并发症与合并症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560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JA25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乳房恶性肿瘤根治性切除术，不伴并发症与合并症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563</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JB15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乳房成型手术，不伴并发症与合并症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566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JB25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乳腺切除手术，不伴并发症与合并症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JU15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感染性皮肤病，不伴并发症与合并症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606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JV25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乳房良性病变，不伴并发症与合并症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612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KB15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肾上腺手术，不伴并发症与合并症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622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KD25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甲状旁腺、甲状舌管及甲状腺其他手术，不伴并发症与合并症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625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KE15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肥胖的手术室操作，不伴并发症与合并症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637</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KS15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糖尿病，不伴并发症与合并症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653</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LA15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肾、输尿管及膀胱恶性肿瘤的手术，不伴并发症与合并症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659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LC15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肾、输尿管、膀胱其他手术，不伴并发症与合并症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662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LD15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经尿道输尿管、膀胱手术，不伴并发症与合并症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665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LE15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尿道手术，不伴并发症与合并症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668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LF15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建立、设置、移除肾辅助装置，不伴并发症与合并症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671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LJ15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泌尿系统其他手术，不伴并发症与合并症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674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LK15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泌尿道结石碎石，不伴并发症与合并症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非手术室操作部分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677</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LL15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肾透析，不伴并发症与合并症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非手术室操作部分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680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LR15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肾功能不全，不伴并发症与合并症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683</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LS15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肾炎及肾病，不伴并发症与合并症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692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LV15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高血压/糖尿病性肾病，不伴并发症与合并症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696</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LX15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尿路结石、阻塞及尿道狭窄，不伴并发症与合并症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708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MB15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前列腺手术，不伴并发症与合并症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742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ND15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附件手术，不伴并发症与合并症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745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NE15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子宫内膜手术，不伴并发症与合并症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748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NF15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外阴、阴道、宫颈手术，不伴并发症与合并症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770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OD15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与妊娠相关的子宫及附件手术，不伴并发症与合并症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827</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QB15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脾切除术，不伴并发症与合并症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830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QC15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胸腺手术，不伴并发症与合并症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手术及操作组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外科部分</w:t>
            </w:r>
          </w:p>
        </w:tc>
      </w:tr>
      <w:tr>
        <w:tblPrEx>
          <w:tblCellMar>
            <w:top w:w="0" w:type="dxa"/>
            <w:left w:w="108" w:type="dxa"/>
            <w:bottom w:w="0" w:type="dxa"/>
            <w:right w:w="108" w:type="dxa"/>
          </w:tblCellMar>
        </w:tblPrEx>
        <w:trPr>
          <w:trHeight w:val="27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2"/>
              </w:rPr>
            </w:pPr>
            <w:r>
              <w:rPr>
                <w:rFonts w:hint="eastAsia" w:ascii="宋体" w:hAnsi="宋体" w:eastAsia="宋体"/>
                <w:color w:val="000000"/>
                <w:kern w:val="0"/>
                <w:sz w:val="22"/>
              </w:rPr>
              <w:t>984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XR15</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康复，不伴并发症与合并症</w:t>
            </w:r>
          </w:p>
        </w:tc>
        <w:tc>
          <w:tcPr>
            <w:tcW w:w="2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无</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内科部分</w:t>
            </w:r>
          </w:p>
        </w:tc>
      </w:tr>
    </w:tbl>
    <w:p>
      <w:pPr>
        <w:spacing w:line="600" w:lineRule="exact"/>
      </w:pPr>
    </w:p>
    <w:p>
      <w:pPr>
        <w:spacing w:line="600" w:lineRule="exact"/>
      </w:pPr>
    </w:p>
    <w:sectPr>
      <w:pgSz w:w="16838" w:h="11906" w:orient="landscape"/>
      <w:pgMar w:top="1797" w:right="1418" w:bottom="1797" w:left="992" w:header="851" w:footer="992" w:gutter="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15</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7A"/>
    <w:rsid w:val="00004864"/>
    <w:rsid w:val="00005830"/>
    <w:rsid w:val="00066600"/>
    <w:rsid w:val="00075723"/>
    <w:rsid w:val="0007635A"/>
    <w:rsid w:val="000942A4"/>
    <w:rsid w:val="000E7ED9"/>
    <w:rsid w:val="00130A84"/>
    <w:rsid w:val="002306E9"/>
    <w:rsid w:val="0027689E"/>
    <w:rsid w:val="00285C26"/>
    <w:rsid w:val="00290BCE"/>
    <w:rsid w:val="002C0E2A"/>
    <w:rsid w:val="002C791B"/>
    <w:rsid w:val="00314E92"/>
    <w:rsid w:val="00325B47"/>
    <w:rsid w:val="00360946"/>
    <w:rsid w:val="003E642D"/>
    <w:rsid w:val="00442B6D"/>
    <w:rsid w:val="0046607A"/>
    <w:rsid w:val="00493FF6"/>
    <w:rsid w:val="004E56AB"/>
    <w:rsid w:val="004F70EE"/>
    <w:rsid w:val="0052375A"/>
    <w:rsid w:val="005358F4"/>
    <w:rsid w:val="005625E2"/>
    <w:rsid w:val="0058771C"/>
    <w:rsid w:val="005915AD"/>
    <w:rsid w:val="005F0881"/>
    <w:rsid w:val="005F366C"/>
    <w:rsid w:val="00684440"/>
    <w:rsid w:val="006D1F0F"/>
    <w:rsid w:val="006F7281"/>
    <w:rsid w:val="0072216D"/>
    <w:rsid w:val="00723853"/>
    <w:rsid w:val="00747A0F"/>
    <w:rsid w:val="007B32E3"/>
    <w:rsid w:val="007C69D9"/>
    <w:rsid w:val="0081133C"/>
    <w:rsid w:val="0082752D"/>
    <w:rsid w:val="00886995"/>
    <w:rsid w:val="008C3997"/>
    <w:rsid w:val="008D06C6"/>
    <w:rsid w:val="008E09F6"/>
    <w:rsid w:val="008E7AE7"/>
    <w:rsid w:val="008F4DED"/>
    <w:rsid w:val="009105EE"/>
    <w:rsid w:val="00920605"/>
    <w:rsid w:val="00923436"/>
    <w:rsid w:val="00924EDF"/>
    <w:rsid w:val="0093353F"/>
    <w:rsid w:val="00974248"/>
    <w:rsid w:val="0098275F"/>
    <w:rsid w:val="00982EE0"/>
    <w:rsid w:val="00986014"/>
    <w:rsid w:val="009A790D"/>
    <w:rsid w:val="00A3151E"/>
    <w:rsid w:val="00A5128C"/>
    <w:rsid w:val="00A6730E"/>
    <w:rsid w:val="00A8603E"/>
    <w:rsid w:val="00AB763F"/>
    <w:rsid w:val="00AF1FA1"/>
    <w:rsid w:val="00B33018"/>
    <w:rsid w:val="00B44E24"/>
    <w:rsid w:val="00B46EEE"/>
    <w:rsid w:val="00B4747E"/>
    <w:rsid w:val="00B55AED"/>
    <w:rsid w:val="00B64035"/>
    <w:rsid w:val="00BF41FE"/>
    <w:rsid w:val="00C05C55"/>
    <w:rsid w:val="00C31308"/>
    <w:rsid w:val="00C33064"/>
    <w:rsid w:val="00C334CC"/>
    <w:rsid w:val="00C838DE"/>
    <w:rsid w:val="00CA7B39"/>
    <w:rsid w:val="00CB469E"/>
    <w:rsid w:val="00CF5E38"/>
    <w:rsid w:val="00CF7114"/>
    <w:rsid w:val="00D34136"/>
    <w:rsid w:val="00D45ECD"/>
    <w:rsid w:val="00D51352"/>
    <w:rsid w:val="00D61E35"/>
    <w:rsid w:val="00D73105"/>
    <w:rsid w:val="00D826D0"/>
    <w:rsid w:val="00DB7736"/>
    <w:rsid w:val="00DD0085"/>
    <w:rsid w:val="00DD2818"/>
    <w:rsid w:val="00DE0EDB"/>
    <w:rsid w:val="00DF3D2D"/>
    <w:rsid w:val="00E42AF0"/>
    <w:rsid w:val="00E6549A"/>
    <w:rsid w:val="00E72B26"/>
    <w:rsid w:val="00E863EA"/>
    <w:rsid w:val="00EA3113"/>
    <w:rsid w:val="00EC390A"/>
    <w:rsid w:val="00EE66A1"/>
    <w:rsid w:val="00F309F6"/>
    <w:rsid w:val="00F43D87"/>
    <w:rsid w:val="00FC50BA"/>
    <w:rsid w:val="00FD14A4"/>
    <w:rsid w:val="0A6D1F77"/>
    <w:rsid w:val="1DB63B99"/>
    <w:rsid w:val="2C392E92"/>
    <w:rsid w:val="43E83440"/>
    <w:rsid w:val="50B449E0"/>
    <w:rsid w:val="5F7B5E8F"/>
    <w:rsid w:val="628947A2"/>
    <w:rsid w:val="644D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合肥市医保中心医管科</Company>
  <Pages>17</Pages>
  <Words>1252</Words>
  <Characters>7142</Characters>
  <Lines>59</Lines>
  <Paragraphs>16</Paragraphs>
  <TotalTime>13</TotalTime>
  <ScaleCrop>false</ScaleCrop>
  <LinksUpToDate>false</LinksUpToDate>
  <CharactersWithSpaces>8378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2020-11-01T04:34:00Z</dcterms:created>
  <dc:creator>Administrator</dc:creator>
  <cp:lastModifiedBy>Administrator</cp:lastModifiedBy>
  <cp:lastPrinted>2020-11-04T01:48:00Z</cp:lastPrinted>
  <dcterms:modified xsi:type="dcterms:W3CDTF">2020-11-04T09:21:38Z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