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z w:val="32"/>
          <w:szCs w:val="32"/>
          <w:lang w:eastAsia="zh-CN"/>
        </w:rPr>
      </w:pPr>
      <w:bookmarkStart w:id="0" w:name="_Toc245720071"/>
      <w:bookmarkStart w:id="1" w:name="_Toc150143664"/>
      <w:bookmarkStart w:id="2" w:name="_Toc144803169"/>
      <w:bookmarkStart w:id="3" w:name="_Toc150560935"/>
      <w:bookmarkStart w:id="4" w:name="_Toc210965558"/>
      <w:bookmarkStart w:id="5" w:name="_Toc144803174"/>
      <w:bookmarkStart w:id="6" w:name="_Toc143958911"/>
      <w:bookmarkStart w:id="7" w:name="_Toc143958916"/>
      <w:bookmarkStart w:id="8" w:name="_Toc145321952"/>
      <w:bookmarkStart w:id="9" w:name="_Toc143948383"/>
      <w:bookmarkStart w:id="10" w:name="_Toc172865094"/>
      <w:bookmarkStart w:id="11" w:name="_Toc143948388"/>
      <w:bookmarkStart w:id="12" w:name="_Toc145321957"/>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ind w:right="120"/>
        <w:jc w:val="right"/>
        <w:rPr>
          <w:rFonts w:ascii="华文楷体" w:hAnsi="华文楷体" w:eastAsia="华文楷体"/>
          <w:bCs/>
          <w:sz w:val="16"/>
          <w:szCs w:val="21"/>
        </w:rPr>
      </w:pPr>
    </w:p>
    <w:p>
      <w:pPr>
        <w:ind w:right="120"/>
        <w:jc w:val="right"/>
        <w:rPr>
          <w:rFonts w:ascii="华文楷体" w:hAnsi="华文楷体" w:eastAsia="华文楷体"/>
          <w:bCs/>
          <w:sz w:val="16"/>
          <w:szCs w:val="21"/>
        </w:rPr>
      </w:pPr>
    </w:p>
    <w:p>
      <w:pPr>
        <w:jc w:val="center"/>
        <w:rPr>
          <w:rFonts w:ascii="黑体" w:eastAsia="黑体"/>
          <w:bCs/>
          <w:sz w:val="44"/>
        </w:rPr>
      </w:pPr>
    </w:p>
    <w:p>
      <w:pPr>
        <w:jc w:val="center"/>
        <w:rPr>
          <w:rFonts w:ascii="黑体" w:eastAsia="黑体"/>
          <w:bCs/>
          <w:sz w:val="44"/>
        </w:rPr>
      </w:pPr>
    </w:p>
    <w:p>
      <w:pPr>
        <w:spacing w:line="600" w:lineRule="exact"/>
        <w:jc w:val="center"/>
        <w:rPr>
          <w:rFonts w:ascii="方正小标宋简体" w:eastAsia="方正小标宋简体"/>
          <w:bCs/>
          <w:sz w:val="44"/>
        </w:rPr>
      </w:pPr>
      <w:r>
        <w:rPr>
          <w:rFonts w:hint="eastAsia" w:ascii="方正小标宋简体" w:eastAsia="方正小标宋简体"/>
          <w:bCs/>
          <w:sz w:val="44"/>
          <w:lang w:eastAsia="zh-CN"/>
        </w:rPr>
        <w:t>瑶海区</w:t>
      </w:r>
      <w:r>
        <w:rPr>
          <w:rFonts w:hint="eastAsia" w:ascii="方正小标宋简体" w:eastAsia="方正小标宋简体"/>
          <w:bCs/>
          <w:sz w:val="44"/>
        </w:rPr>
        <w:t>财政支出项目绩效自评报告</w:t>
      </w:r>
    </w:p>
    <w:p>
      <w:pPr>
        <w:jc w:val="center"/>
        <w:rPr>
          <w:rFonts w:ascii="楷体_GB2312" w:eastAsia="楷体_GB2312"/>
          <w:b/>
          <w:bCs/>
          <w:sz w:val="32"/>
        </w:rPr>
      </w:pPr>
    </w:p>
    <w:p>
      <w:pPr>
        <w:jc w:val="center"/>
        <w:rPr>
          <w:rFonts w:ascii="楷体_GB2312" w:eastAsia="楷体_GB2312"/>
          <w:b/>
          <w:bCs/>
          <w:sz w:val="32"/>
        </w:rPr>
      </w:pPr>
    </w:p>
    <w:p>
      <w:pPr>
        <w:spacing w:before="156" w:beforeLines="50" w:after="156" w:afterLines="50"/>
        <w:ind w:firstLine="614" w:firstLineChars="192"/>
        <w:rPr>
          <w:rFonts w:ascii="楷体_GB2312" w:eastAsia="楷体_GB2312"/>
          <w:sz w:val="32"/>
        </w:rPr>
      </w:pPr>
    </w:p>
    <w:p>
      <w:pPr>
        <w:spacing w:before="156" w:beforeLines="50" w:after="156" w:afterLines="50"/>
        <w:ind w:left="2207" w:leftChars="289" w:hanging="1600" w:hangingChars="500"/>
        <w:rPr>
          <w:rFonts w:ascii="楷体_GB2312" w:eastAsia="楷体_GB2312"/>
          <w:sz w:val="32"/>
          <w:u w:val="single"/>
        </w:rPr>
      </w:pPr>
      <w:r>
        <w:rPr>
          <w:rFonts w:hint="eastAsia" w:ascii="楷体_GB2312" w:eastAsia="楷体_GB2312"/>
          <w:sz w:val="32"/>
        </w:rPr>
        <w:t>项   目   名   称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市民中心日常运转费</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   目   单   位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瑶海区政务服务管理局</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项目责任人 （签字）：</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u w:val="single"/>
        </w:rPr>
      </w:pPr>
      <w:r>
        <w:rPr>
          <w:rFonts w:hint="eastAsia" w:ascii="楷体_GB2312" w:eastAsia="楷体_GB2312"/>
          <w:sz w:val="32"/>
        </w:rPr>
        <w:t>主 管 部 门（盖章）：</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rPr>
      </w:pPr>
    </w:p>
    <w:p>
      <w:pPr>
        <w:ind w:firstLine="614" w:firstLineChars="192"/>
        <w:jc w:val="center"/>
        <w:rPr>
          <w:rFonts w:ascii="楷体_GB2312" w:eastAsia="楷体_GB2312"/>
          <w:sz w:val="32"/>
        </w:rPr>
      </w:pPr>
    </w:p>
    <w:p>
      <w:pPr>
        <w:ind w:firstLine="614" w:firstLineChars="192"/>
        <w:jc w:val="center"/>
        <w:rPr>
          <w:rFonts w:ascii="楷体_GB2312" w:eastAsia="楷体_GB2312"/>
          <w:sz w:val="32"/>
        </w:rPr>
      </w:pPr>
    </w:p>
    <w:p>
      <w:pPr>
        <w:spacing w:line="600" w:lineRule="exact"/>
        <w:jc w:val="center"/>
        <w:rPr>
          <w:rFonts w:ascii="Times New Roman" w:eastAsia="方正小标宋简体"/>
          <w:bCs/>
          <w:sz w:val="44"/>
          <w:szCs w:val="24"/>
        </w:rPr>
      </w:pPr>
      <w:r>
        <w:rPr>
          <w:rFonts w:eastAsia="楷体"/>
          <w:sz w:val="32"/>
        </w:rPr>
        <w:t xml:space="preserve">      202</w:t>
      </w:r>
      <w:r>
        <w:rPr>
          <w:rFonts w:eastAsia="楷体_GB2312"/>
          <w:sz w:val="32"/>
        </w:rPr>
        <w:t>1</w:t>
      </w:r>
      <w:r>
        <w:rPr>
          <w:rFonts w:ascii="Times New Roman" w:eastAsia="楷体_GB2312"/>
          <w:sz w:val="32"/>
        </w:rPr>
        <w:t>年</w:t>
      </w:r>
      <w:r>
        <w:rPr>
          <w:rFonts w:eastAsia="楷体"/>
          <w:sz w:val="32"/>
        </w:rPr>
        <w:t>1</w:t>
      </w:r>
      <w:r>
        <w:rPr>
          <w:rFonts w:ascii="Times New Roman" w:eastAsia="楷体_GB2312"/>
          <w:sz w:val="32"/>
        </w:rPr>
        <w:t>月</w:t>
      </w:r>
      <w:r>
        <w:rPr>
          <w:rFonts w:ascii="Times New Roman" w:eastAsia="楷体_GB2312"/>
          <w:sz w:val="32"/>
        </w:rPr>
        <w:br w:type="page"/>
      </w:r>
      <w:r>
        <w:rPr>
          <w:rFonts w:eastAsia="方正小标宋简体"/>
          <w:bCs/>
          <w:sz w:val="44"/>
          <w:szCs w:val="24"/>
        </w:rPr>
        <w:t>2020</w:t>
      </w:r>
      <w:r>
        <w:rPr>
          <w:rFonts w:ascii="Times New Roman" w:eastAsia="方正小标宋简体"/>
          <w:bCs/>
          <w:sz w:val="44"/>
          <w:szCs w:val="24"/>
        </w:rPr>
        <w:t>年</w:t>
      </w:r>
      <w:r>
        <w:rPr>
          <w:rFonts w:hint="eastAsia" w:ascii="Times New Roman" w:eastAsia="方正小标宋简体"/>
          <w:bCs/>
          <w:sz w:val="44"/>
          <w:szCs w:val="24"/>
          <w:lang w:eastAsia="zh-CN"/>
        </w:rPr>
        <w:t>市民中心日常运转费</w:t>
      </w:r>
      <w:r>
        <w:rPr>
          <w:rFonts w:ascii="Times New Roman" w:eastAsia="方正小标宋简体"/>
          <w:bCs/>
          <w:sz w:val="44"/>
          <w:szCs w:val="24"/>
        </w:rPr>
        <w:t>项目绩效自评报告</w:t>
      </w:r>
    </w:p>
    <w:p>
      <w:pPr>
        <w:spacing w:line="580" w:lineRule="exact"/>
        <w:jc w:val="center"/>
        <w:rPr>
          <w:rFonts w:ascii="仿宋_GB2312" w:eastAsia="仿宋_GB2312"/>
          <w:bCs/>
          <w:sz w:val="32"/>
          <w:szCs w:val="32"/>
        </w:rPr>
      </w:pP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600" w:lineRule="exact"/>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（一）项目概况</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市民中心日常运转费</w:t>
      </w:r>
      <w:r>
        <w:rPr>
          <w:rFonts w:hint="eastAsia" w:ascii="Times New Roman" w:eastAsia="仿宋_GB2312"/>
          <w:color w:val="auto"/>
          <w:sz w:val="32"/>
          <w:szCs w:val="32"/>
          <w:lang w:val="en-US" w:eastAsia="zh-CN"/>
        </w:rPr>
        <w:t>项目为经常性项目，</w:t>
      </w:r>
      <w:r>
        <w:rPr>
          <w:rFonts w:hint="eastAsia" w:ascii="Times New Roman" w:eastAsia="仿宋_GB2312"/>
          <w:color w:val="auto"/>
          <w:sz w:val="32"/>
          <w:szCs w:val="32"/>
          <w:lang w:eastAsia="zh-CN"/>
        </w:rPr>
        <w:t>系我局牵头负责的市民中心范围内的水、电、燃气、物业费、维保等多项日常经费组成的项目，项目性质一般公共预算。</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（二）项目绩效目标</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.项目年度总体目标</w:t>
      </w:r>
    </w:p>
    <w:p>
      <w:pPr>
        <w:spacing w:line="600" w:lineRule="exact"/>
        <w:ind w:firstLine="640" w:firstLineChars="200"/>
        <w:rPr>
          <w:rFonts w:hint="default" w:ascii="Times New Roman" w:eastAsia="仿宋_GB2312"/>
          <w:color w:val="auto"/>
          <w:sz w:val="32"/>
          <w:szCs w:val="32"/>
          <w:lang w:val="en-US" w:eastAsia="zh-CN"/>
        </w:rPr>
      </w:pPr>
      <w:r>
        <w:rPr>
          <w:rFonts w:hint="eastAsia" w:ascii="Times New Roman" w:eastAsia="仿宋_GB2312"/>
          <w:color w:val="auto"/>
          <w:sz w:val="32"/>
          <w:szCs w:val="32"/>
          <w:lang w:eastAsia="zh-CN"/>
        </w:rPr>
        <w:t xml:space="preserve"> 做好市民中心全体工作人员就餐，锅炉房、配电房、空调机房等特种设备维保单位招标工作。坚持精细管理、强化监督、跟踪服务，确保市民中心参观、调研、考察等接待保障工作进一步提升质量，为政务服务、卫生与计划服务、文化艺术服务提供良好的运营环境，为服务全区市民建立瑶海新地标提供坚实的服务保障。</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总体目标完成情况</w:t>
      </w:r>
    </w:p>
    <w:p>
      <w:pPr>
        <w:numPr>
          <w:ilvl w:val="0"/>
          <w:numId w:val="0"/>
        </w:numPr>
        <w:spacing w:line="600" w:lineRule="exact"/>
        <w:ind w:leftChars="202"/>
        <w:jc w:val="center"/>
        <w:rPr>
          <w:rFonts w:hint="eastAsia" w:ascii="Times New Roman" w:eastAsia="仿宋_GB2312"/>
          <w:b/>
          <w:bCs/>
          <w:color w:val="000000"/>
          <w:sz w:val="30"/>
          <w:szCs w:val="30"/>
          <w:lang w:eastAsia="zh-CN"/>
        </w:rPr>
      </w:pPr>
      <w:r>
        <w:rPr>
          <w:rFonts w:hint="eastAsia" w:ascii="Times New Roman" w:eastAsia="仿宋_GB2312"/>
          <w:b/>
          <w:bCs/>
          <w:color w:val="000000"/>
          <w:sz w:val="30"/>
          <w:szCs w:val="30"/>
          <w:lang w:eastAsia="zh-CN"/>
        </w:rPr>
        <w:t>党组织活动经费项目主要绩效目标完成情况表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996"/>
        <w:gridCol w:w="1704"/>
        <w:gridCol w:w="170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gridSpan w:val="3"/>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仿宋_GB2312" w:hAnsi="仿宋_GB2312" w:eastAsia="仿宋_GB2312" w:cs="仿宋_GB2312"/>
                <w:b/>
                <w:bCs/>
                <w:color w:val="000000"/>
                <w:spacing w:val="-6"/>
                <w:kern w:val="0"/>
                <w:sz w:val="18"/>
                <w:szCs w:val="18"/>
                <w:lang w:val="en-US" w:eastAsia="zh-CN"/>
              </w:rPr>
              <w:t>指标名称</w:t>
            </w:r>
          </w:p>
        </w:tc>
        <w:tc>
          <w:tcPr>
            <w:tcW w:w="1704"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指标值</w:t>
            </w:r>
          </w:p>
        </w:tc>
        <w:tc>
          <w:tcPr>
            <w:tcW w:w="971"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一级指标</w:t>
            </w:r>
          </w:p>
        </w:tc>
        <w:tc>
          <w:tcPr>
            <w:tcW w:w="1996" w:type="dxa"/>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二级指标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b/>
                <w:bCs/>
                <w:color w:val="000000"/>
                <w:spacing w:val="-6"/>
                <w:kern w:val="0"/>
                <w:sz w:val="18"/>
                <w:szCs w:val="18"/>
                <w:lang w:val="en-US" w:eastAsia="zh-CN"/>
              </w:rPr>
              <w:t>三级指标</w:t>
            </w:r>
          </w:p>
        </w:tc>
        <w:tc>
          <w:tcPr>
            <w:tcW w:w="1704"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71"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产出指标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数量指标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各项维保工作完成次数</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100</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质量指标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市民中心综合管理质量</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为服务全区市民建立瑶海新地标提供坚实的服务保障。</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时效指标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各项维保工作完成及时性</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根据实际情况及时完成</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成本指标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项目总成本</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≤预算数</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效益指标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经济效益指标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不适用</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社会效益指标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环境</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为政务服务、卫生与计划服务、文化艺术服务提供良好的运营环境</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生态效益指标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节能</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推进瑶海市民中心节能环保工作，节约社会资源。</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可持续影响指标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影响</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打造全省最优的商务政务服务环境。</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满意度指标</w:t>
            </w:r>
          </w:p>
        </w:tc>
        <w:tc>
          <w:tcPr>
            <w:tcW w:w="1996"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服务对象满意度指标</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满意度</w:t>
            </w:r>
          </w:p>
        </w:tc>
        <w:tc>
          <w:tcPr>
            <w:tcW w:w="1704"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服务对象满意度≥98%</w:t>
            </w:r>
          </w:p>
        </w:tc>
        <w:tc>
          <w:tcPr>
            <w:tcW w:w="971" w:type="dxa"/>
            <w:vAlign w:val="center"/>
          </w:tcPr>
          <w:p>
            <w:pPr>
              <w:widowControl/>
              <w:spacing w:line="240" w:lineRule="exact"/>
              <w:jc w:val="center"/>
              <w:rPr>
                <w:rFonts w:hint="eastAsia"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是</w:t>
            </w:r>
          </w:p>
        </w:tc>
      </w:tr>
    </w:tbl>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二、绩效自评结论</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（一）总体结论</w:t>
      </w:r>
    </w:p>
    <w:p>
      <w:pPr>
        <w:spacing w:line="540" w:lineRule="exact"/>
        <w:ind w:firstLine="640" w:firstLineChars="200"/>
        <w:jc w:val="left"/>
        <w:rPr>
          <w:rFonts w:hint="eastAsia" w:eastAsia="仿宋_GB2312"/>
          <w:snapToGrid w:val="0"/>
          <w:color w:val="auto"/>
          <w:sz w:val="32"/>
          <w:szCs w:val="32"/>
          <w:lang w:val="en-US" w:eastAsia="zh-CN"/>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hAnsi="Times New Roman" w:eastAsia="仿宋_GB2312"/>
          <w:color w:val="auto"/>
          <w:sz w:val="32"/>
          <w:szCs w:val="32"/>
          <w:lang w:eastAsia="zh-CN"/>
        </w:rPr>
        <w:t>市民中心日常运转费</w:t>
      </w:r>
      <w:r>
        <w:rPr>
          <w:rFonts w:ascii="Times New Roman" w:hAnsi="Times New Roman" w:eastAsia="仿宋_GB2312"/>
          <w:color w:val="auto"/>
          <w:sz w:val="32"/>
          <w:szCs w:val="32"/>
        </w:rPr>
        <w:t>项目通过申请财政资金</w:t>
      </w:r>
      <w:r>
        <w:rPr>
          <w:rFonts w:hint="eastAsia" w:ascii="Times New Roman" w:hAnsi="Times New Roman" w:eastAsia="仿宋_GB2312"/>
          <w:color w:val="auto"/>
          <w:sz w:val="32"/>
          <w:szCs w:val="32"/>
          <w:lang w:val="en-US" w:eastAsia="zh-CN"/>
        </w:rPr>
        <w:t>569</w:t>
      </w:r>
      <w:r>
        <w:rPr>
          <w:rFonts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eastAsia="仿宋_GB2312"/>
          <w:snapToGrid w:val="0"/>
          <w:color w:val="auto"/>
          <w:sz w:val="32"/>
          <w:szCs w:val="32"/>
          <w:lang w:val="en-US" w:eastAsia="zh-CN"/>
        </w:rPr>
        <w:t>具体包括：</w:t>
      </w:r>
    </w:p>
    <w:p>
      <w:pPr>
        <w:spacing w:line="540" w:lineRule="exact"/>
        <w:ind w:firstLine="640" w:firstLineChars="200"/>
        <w:jc w:val="left"/>
        <w:rPr>
          <w:rFonts w:hint="eastAsia" w:eastAsia="仿宋_GB2312"/>
          <w:snapToGrid w:val="0"/>
          <w:color w:val="auto"/>
          <w:sz w:val="32"/>
          <w:szCs w:val="32"/>
          <w:lang w:val="en-US" w:eastAsia="zh-CN"/>
        </w:rPr>
      </w:pPr>
      <w:r>
        <w:rPr>
          <w:rFonts w:hint="eastAsia" w:eastAsia="仿宋_GB2312"/>
          <w:snapToGrid w:val="0"/>
          <w:color w:val="auto"/>
          <w:sz w:val="32"/>
          <w:szCs w:val="32"/>
          <w:lang w:val="en-US" w:eastAsia="zh-CN"/>
        </w:rPr>
        <w:t>一是市民中心日常工作经费559万元，其中水费20万元，电费185万元，物业管理费251万元，维修（护）费—市民中心维修、维护费50万元，专用燃料费（天然气、柴油）50万元，信息网络及软件购置更新3万元；</w:t>
      </w:r>
    </w:p>
    <w:p>
      <w:pPr>
        <w:spacing w:line="540" w:lineRule="exact"/>
        <w:ind w:firstLine="640" w:firstLineChars="200"/>
        <w:jc w:val="left"/>
        <w:rPr>
          <w:rFonts w:hint="eastAsia" w:ascii="仿宋_GB2312" w:hAnsi="仿宋" w:eastAsia="仿宋_GB2312"/>
          <w:sz w:val="32"/>
          <w:szCs w:val="32"/>
          <w:lang w:eastAsia="zh-CN"/>
        </w:rPr>
      </w:pPr>
      <w:r>
        <w:rPr>
          <w:rFonts w:hint="eastAsia" w:eastAsia="仿宋_GB2312"/>
          <w:snapToGrid w:val="0"/>
          <w:color w:val="auto"/>
          <w:sz w:val="32"/>
          <w:szCs w:val="32"/>
          <w:lang w:val="en-US" w:eastAsia="zh-CN"/>
        </w:rPr>
        <w:t>二是市民中心宣传活动费10万元—其他商品和服务支出，</w:t>
      </w:r>
      <w:r>
        <w:rPr>
          <w:rFonts w:ascii="Times New Roman" w:hAnsi="Times New Roman" w:eastAsia="仿宋_GB2312"/>
          <w:color w:val="auto"/>
          <w:sz w:val="32"/>
          <w:szCs w:val="32"/>
        </w:rPr>
        <w:t>已完成年度设定的绩效目标，达到项目预期效果。</w:t>
      </w:r>
    </w:p>
    <w:p>
      <w:pPr>
        <w:widowControl/>
        <w:spacing w:line="600" w:lineRule="exact"/>
        <w:ind w:firstLine="643" w:firstLineChars="200"/>
        <w:rPr>
          <w:rFonts w:ascii="楷体_GB2312" w:hAnsi="Times New Roman" w:eastAsia="楷体_GB2312"/>
          <w:b/>
          <w:color w:val="auto"/>
          <w:sz w:val="32"/>
          <w:szCs w:val="32"/>
        </w:rPr>
      </w:pPr>
      <w:r>
        <w:rPr>
          <w:rFonts w:ascii="楷体_GB2312" w:hAnsi="Times New Roman" w:eastAsia="楷体_GB2312"/>
          <w:b/>
          <w:color w:val="auto"/>
          <w:sz w:val="32"/>
          <w:szCs w:val="32"/>
        </w:rPr>
        <w:t>（二）自评结果</w:t>
      </w:r>
    </w:p>
    <w:p>
      <w:pPr>
        <w:spacing w:line="600" w:lineRule="exact"/>
        <w:ind w:firstLine="640" w:firstLineChars="200"/>
        <w:rPr>
          <w:rFonts w:hint="eastAsia" w:ascii="Times New Roman" w:eastAsia="仿宋_GB2312"/>
          <w:color w:val="FF0000"/>
          <w:sz w:val="32"/>
          <w:szCs w:val="32"/>
          <w:lang w:eastAsia="zh-CN"/>
        </w:rPr>
      </w:pPr>
      <w:r>
        <w:rPr>
          <w:rFonts w:ascii="Times New Roman" w:eastAsia="仿宋_GB2312"/>
          <w:color w:val="auto"/>
          <w:sz w:val="32"/>
          <w:szCs w:val="32"/>
        </w:rPr>
        <w:t>经自评，</w:t>
      </w: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服务热线总值班工作经费</w:t>
      </w:r>
      <w:r>
        <w:rPr>
          <w:rFonts w:ascii="Times New Roman" w:eastAsia="仿宋_GB2312"/>
          <w:color w:val="auto"/>
          <w:sz w:val="32"/>
          <w:szCs w:val="32"/>
        </w:rPr>
        <w:t>项目绩效自评综合得分为</w:t>
      </w:r>
      <w:r>
        <w:rPr>
          <w:rFonts w:hint="eastAsia" w:eastAsia="仿宋_GB2312"/>
          <w:snapToGrid w:val="0"/>
          <w:color w:val="auto"/>
          <w:sz w:val="32"/>
          <w:szCs w:val="32"/>
          <w:lang w:val="en-US" w:eastAsia="zh-CN"/>
        </w:rPr>
        <w:t>100</w:t>
      </w:r>
      <w:r>
        <w:rPr>
          <w:rFonts w:ascii="Times New Roman" w:eastAsia="仿宋_GB2312"/>
          <w:color w:val="auto"/>
          <w:sz w:val="32"/>
          <w:szCs w:val="32"/>
        </w:rPr>
        <w:t>分，自评结果为“</w:t>
      </w:r>
      <w:r>
        <w:rPr>
          <w:rFonts w:hint="eastAsia" w:ascii="Times New Roman" w:eastAsia="仿宋_GB2312"/>
          <w:color w:val="auto"/>
          <w:sz w:val="32"/>
          <w:szCs w:val="32"/>
          <w:lang w:eastAsia="zh-CN"/>
        </w:rPr>
        <w:t>优</w:t>
      </w:r>
      <w:r>
        <w:rPr>
          <w:rFonts w:ascii="Times New Roman" w:eastAsia="仿宋_GB2312"/>
          <w:color w:val="auto"/>
          <w:sz w:val="32"/>
          <w:szCs w:val="32"/>
        </w:rPr>
        <w:t>”。</w:t>
      </w:r>
      <w:r>
        <w:rPr>
          <w:rFonts w:hint="eastAsia" w:ascii="Times New Roman" w:eastAsia="仿宋_GB2312"/>
          <w:color w:val="auto"/>
          <w:sz w:val="32"/>
          <w:szCs w:val="32"/>
          <w:lang w:eastAsia="zh-CN"/>
        </w:rPr>
        <w:t>具体评分见下表：</w:t>
      </w:r>
    </w:p>
    <w:p>
      <w:pPr>
        <w:spacing w:line="600" w:lineRule="exact"/>
        <w:ind w:firstLine="640" w:firstLineChars="200"/>
        <w:rPr>
          <w:rFonts w:hint="eastAsia" w:ascii="Times New Roman" w:eastAsia="仿宋_GB2312"/>
          <w:color w:val="FF0000"/>
          <w:sz w:val="32"/>
          <w:szCs w:val="32"/>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258"/>
        <w:gridCol w:w="1583"/>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项目</w:t>
            </w:r>
          </w:p>
        </w:tc>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决策指标</w:t>
            </w:r>
          </w:p>
        </w:tc>
        <w:tc>
          <w:tcPr>
            <w:tcW w:w="1258"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过程指标</w:t>
            </w:r>
          </w:p>
        </w:tc>
        <w:tc>
          <w:tcPr>
            <w:tcW w:w="1583"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产出指标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效益指标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标准分值</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评价得分</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100</w:t>
            </w:r>
          </w:p>
        </w:tc>
      </w:tr>
    </w:tbl>
    <w:p>
      <w:pPr>
        <w:spacing w:line="600" w:lineRule="exact"/>
        <w:ind w:firstLine="640" w:firstLineChars="200"/>
        <w:rPr>
          <w:rFonts w:ascii="Times New Roman" w:eastAsia="仿宋_GB2312"/>
          <w:color w:val="FF0000"/>
          <w:sz w:val="32"/>
          <w:szCs w:val="32"/>
        </w:rPr>
      </w:pP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三、指标分析</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党组织活动经费</w:t>
      </w:r>
      <w:r>
        <w:rPr>
          <w:rFonts w:ascii="Times New Roman" w:eastAsia="仿宋_GB2312"/>
          <w:color w:val="auto"/>
          <w:sz w:val="32"/>
          <w:szCs w:val="32"/>
        </w:rPr>
        <w:t>项目绩效自评指标体系</w:t>
      </w:r>
      <w:r>
        <w:rPr>
          <w:rFonts w:hint="eastAsia" w:ascii="Times New Roman" w:eastAsia="仿宋_GB2312"/>
          <w:color w:val="auto"/>
          <w:sz w:val="32"/>
          <w:szCs w:val="32"/>
          <w:lang w:val="en-US" w:eastAsia="zh-CN"/>
        </w:rPr>
        <w:t>3个</w:t>
      </w:r>
      <w:r>
        <w:rPr>
          <w:rFonts w:ascii="Times New Roman" w:eastAsia="仿宋_GB2312"/>
          <w:color w:val="auto"/>
          <w:sz w:val="32"/>
          <w:szCs w:val="32"/>
        </w:rPr>
        <w:t>一级指标，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个二级指标，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个三级指标，各项指标评分情况分析如下：</w:t>
      </w:r>
    </w:p>
    <w:p>
      <w:pPr>
        <w:spacing w:line="600" w:lineRule="exact"/>
        <w:ind w:firstLine="602" w:firstLineChars="200"/>
        <w:rPr>
          <w:rFonts w:hint="eastAsia" w:ascii="Times New Roman" w:eastAsia="仿宋_GB2312"/>
          <w:b/>
          <w:bCs/>
          <w:color w:val="auto"/>
          <w:sz w:val="30"/>
          <w:szCs w:val="30"/>
          <w:lang w:val="en-US" w:eastAsia="zh-CN"/>
        </w:rPr>
      </w:pPr>
      <w:r>
        <w:rPr>
          <w:rFonts w:hint="eastAsia" w:ascii="Times New Roman" w:eastAsia="仿宋_GB2312"/>
          <w:b/>
          <w:bCs/>
          <w:color w:val="auto"/>
          <w:sz w:val="30"/>
          <w:szCs w:val="30"/>
          <w:lang w:val="en-US" w:eastAsia="zh-CN"/>
        </w:rPr>
        <w:t>2020年度党组织活动经费项目评价指标评分情况分析表</w:t>
      </w:r>
    </w:p>
    <w:tbl>
      <w:tblPr>
        <w:tblStyle w:val="10"/>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0"/>
        <w:gridCol w:w="2370"/>
        <w:gridCol w:w="328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w:t>
            </w:r>
          </w:p>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指标</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2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评价内容</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评价情况</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项目立项是否符合法律法规、相关政策、发展规划以及部门职责，项目申请、设立过程是否符合相关要求。</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100%，项目立项依据充分，符合法律法规、相关政策、发展规划及部门职责；立项程序规范，项目申请、设立符合相关要求。依据评分标准得 7 分。</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绩效目标设置是否合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理，用以反映和考核项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目绩效目标与项目实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施的是否相符；绩效指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标是否清晰、细化、可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衡量。</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，绩效目标设置基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本合理，能够反映和考核项目绩效目标与项目实施情况；绩效指标清晰、可衡量。依据评分标准得8分。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2370"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资金到位情况，预算执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行完成情况，资金使用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合规性。</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，项目资金到位率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default"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val="en-US" w:eastAsia="zh-CN"/>
              </w:rPr>
              <w:t xml:space="preserve">；经费列支不够准确，列支了部分其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他宣传业务支出。依据评分标准得15</w:t>
            </w:r>
            <w:r>
              <w:rPr>
                <w:rFonts w:hint="default" w:ascii="仿宋_GB2312" w:hAnsi="仿宋_GB2312" w:eastAsia="仿宋_GB2312" w:cs="仿宋_GB2312"/>
                <w:color w:val="000000"/>
                <w:spacing w:val="-6"/>
                <w:kern w:val="0"/>
                <w:sz w:val="18"/>
                <w:szCs w:val="18"/>
                <w:lang w:val="en-US" w:eastAsia="zh-CN"/>
              </w:rPr>
              <w:t xml:space="preserve"> </w:t>
            </w:r>
            <w:r>
              <w:rPr>
                <w:rFonts w:hint="eastAsia" w:ascii="仿宋_GB2312" w:hAnsi="仿宋_GB2312" w:eastAsia="仿宋_GB2312" w:cs="仿宋_GB2312"/>
                <w:color w:val="000000"/>
                <w:spacing w:val="-6"/>
                <w:kern w:val="0"/>
                <w:sz w:val="18"/>
                <w:szCs w:val="18"/>
                <w:lang w:val="en-US" w:eastAsia="zh-CN"/>
              </w:rPr>
              <w:t xml:space="preserve">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2370"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000000"/>
                <w:spacing w:val="-6"/>
                <w:kern w:val="0"/>
                <w:sz w:val="18"/>
                <w:szCs w:val="18"/>
                <w:lang w:val="en-US" w:eastAsia="zh-CN"/>
              </w:rPr>
            </w:pPr>
            <w:r>
              <w:rPr>
                <w:rFonts w:hint="eastAsia" w:ascii="仿宋_GB2312" w:hAnsi="仿宋_GB2312" w:eastAsia="仿宋_GB2312" w:cs="仿宋_GB2312"/>
                <w:color w:val="000000"/>
                <w:spacing w:val="-6"/>
                <w:kern w:val="0"/>
                <w:sz w:val="18"/>
                <w:szCs w:val="18"/>
                <w:lang w:val="en-US" w:eastAsia="zh-CN"/>
              </w:rPr>
              <w:t>相关制度执行有效</w:t>
            </w:r>
          </w:p>
        </w:tc>
        <w:tc>
          <w:tcPr>
            <w:tcW w:w="3285"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该指标得分率</w:t>
            </w:r>
            <w:r>
              <w:rPr>
                <w:rFonts w:hint="default" w:ascii="仿宋_GB2312" w:hAnsi="仿宋_GB2312" w:eastAsia="仿宋_GB2312" w:cs="仿宋_GB2312"/>
                <w:color w:val="auto"/>
                <w:spacing w:val="-6"/>
                <w:kern w:val="0"/>
                <w:sz w:val="18"/>
                <w:szCs w:val="18"/>
                <w:lang w:val="en-US" w:eastAsia="zh-CN"/>
              </w:rPr>
              <w:t>100</w:t>
            </w:r>
            <w:r>
              <w:rPr>
                <w:rFonts w:hint="eastAsia" w:ascii="仿宋_GB2312" w:hAnsi="仿宋_GB2312" w:eastAsia="仿宋_GB2312" w:cs="仿宋_GB2312"/>
                <w:color w:val="auto"/>
                <w:spacing w:val="-6"/>
                <w:kern w:val="0"/>
                <w:sz w:val="18"/>
                <w:szCs w:val="18"/>
                <w:lang w:val="en-US" w:eastAsia="zh-CN"/>
              </w:rPr>
              <w:t>%，依据评分标准得10分。</w:t>
            </w:r>
          </w:p>
        </w:tc>
        <w:tc>
          <w:tcPr>
            <w:tcW w:w="693" w:type="dxa"/>
            <w:tcBorders>
              <w:top w:val="single" w:color="auto" w:sz="4" w:space="0"/>
              <w:left w:val="nil"/>
              <w:bottom w:val="nil"/>
              <w:right w:val="single" w:color="auto" w:sz="4" w:space="0"/>
            </w:tcBorders>
            <w:vAlign w:val="center"/>
          </w:tcPr>
          <w:p>
            <w:pPr>
              <w:widowControl/>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各项维保工作完成次数</w:t>
            </w:r>
          </w:p>
        </w:tc>
        <w:tc>
          <w:tcPr>
            <w:tcW w:w="3285"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完成年度指标率</w:t>
            </w:r>
            <w:r>
              <w:rPr>
                <w:rFonts w:hint="eastAsia"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eastAsia="zh-CN"/>
              </w:rPr>
              <w:t>，</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各项维保工作完成及时性</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市民中心综合管理质量</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auto"/>
                <w:spacing w:val="-6"/>
                <w:kern w:val="0"/>
                <w:sz w:val="18"/>
                <w:szCs w:val="18"/>
                <w:lang w:eastAsia="zh-CN"/>
              </w:rPr>
              <w:t>，</w:t>
            </w:r>
            <w:r>
              <w:rPr>
                <w:rFonts w:hint="eastAsia" w:ascii="仿宋_GB2312" w:hAnsi="仿宋_GB2312" w:eastAsia="仿宋_GB2312" w:cs="仿宋_GB2312"/>
                <w:color w:val="auto"/>
                <w:spacing w:val="-6"/>
                <w:kern w:val="0"/>
                <w:sz w:val="18"/>
                <w:szCs w:val="18"/>
                <w:lang w:val="en-US" w:eastAsia="zh-CN"/>
              </w:rPr>
              <w:t>依据评分标准得</w:t>
            </w:r>
            <w:r>
              <w:rPr>
                <w:rFonts w:hint="eastAsia" w:ascii="Times New Roman" w:hAnsi="Times New Roman" w:eastAsia="仿宋_GB2312"/>
                <w:color w:val="auto"/>
                <w:spacing w:val="-6"/>
                <w:kern w:val="0"/>
                <w:sz w:val="18"/>
                <w:szCs w:val="18"/>
                <w:lang w:val="en-US" w:eastAsia="zh-CN"/>
              </w:rPr>
              <w:t>7</w:t>
            </w:r>
            <w:r>
              <w:rPr>
                <w:rFonts w:hint="eastAsia" w:ascii="仿宋_GB2312" w:hAnsi="仿宋_GB2312" w:eastAsia="仿宋_GB2312" w:cs="仿宋_GB2312"/>
                <w:color w:val="auto"/>
                <w:spacing w:val="-6"/>
                <w:kern w:val="0"/>
                <w:sz w:val="18"/>
                <w:szCs w:val="18"/>
                <w:lang w:val="en-US" w:eastAsia="zh-CN"/>
              </w:rPr>
              <w:t>分。</w:t>
            </w:r>
          </w:p>
        </w:tc>
        <w:tc>
          <w:tcPr>
            <w:tcW w:w="693"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项目成本</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≤预算数，</w:t>
            </w:r>
            <w:r>
              <w:rPr>
                <w:rFonts w:hint="eastAsia" w:ascii="仿宋_GB2312" w:hAnsi="仿宋_GB2312" w:eastAsia="仿宋_GB2312" w:cs="仿宋_GB2312"/>
                <w:color w:val="000000"/>
                <w:spacing w:val="-6"/>
                <w:kern w:val="0"/>
                <w:sz w:val="18"/>
                <w:szCs w:val="18"/>
                <w:lang w:val="en-US" w:eastAsia="zh-CN"/>
              </w:rPr>
              <w:t>依据评分标准得7分。</w:t>
            </w:r>
          </w:p>
        </w:tc>
        <w:tc>
          <w:tcPr>
            <w:tcW w:w="693"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宋体" w:eastAsia="仿宋_GB2312"/>
                <w:color w:val="000000"/>
                <w:spacing w:val="-6"/>
                <w:kern w:val="0"/>
                <w:sz w:val="18"/>
                <w:szCs w:val="18"/>
              </w:rPr>
              <w:t>不涉及</w:t>
            </w:r>
          </w:p>
        </w:tc>
        <w:tc>
          <w:tcPr>
            <w:tcW w:w="69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宋体" w:eastAsia="仿宋_GB2312"/>
                <w:bCs/>
                <w:color w:val="000000"/>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环境</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完成年度指标</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节能</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影响</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000000"/>
                <w:spacing w:val="-6"/>
                <w:kern w:val="0"/>
                <w:sz w:val="18"/>
                <w:szCs w:val="18"/>
                <w:lang w:eastAsia="zh-CN"/>
              </w:rPr>
              <w:t>完成年度指标</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满意度</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服务对象满意度≥</w:t>
            </w:r>
            <w:r>
              <w:rPr>
                <w:rFonts w:hint="eastAsia" w:ascii="仿宋_GB2312" w:hAnsi="仿宋_GB2312" w:eastAsia="仿宋_GB2312" w:cs="仿宋_GB2312"/>
                <w:color w:val="auto"/>
                <w:spacing w:val="-6"/>
                <w:kern w:val="0"/>
                <w:sz w:val="18"/>
                <w:szCs w:val="18"/>
                <w:lang w:val="en-US" w:eastAsia="zh-CN"/>
              </w:rPr>
              <w:t>98%。</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32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lang w:eastAsia="zh-CN"/>
              </w:rPr>
            </w:pPr>
            <w:r>
              <w:rPr>
                <w:rFonts w:hint="eastAsia" w:ascii="仿宋_GB2312" w:hAnsi="仿宋_GB2312" w:eastAsia="仿宋_GB2312" w:cs="仿宋_GB2312"/>
                <w:color w:val="auto"/>
                <w:spacing w:val="-6"/>
                <w:kern w:val="0"/>
                <w:sz w:val="18"/>
                <w:szCs w:val="18"/>
                <w:lang w:eastAsia="zh-CN"/>
              </w:rPr>
              <w:t>总分</w:t>
            </w:r>
          </w:p>
        </w:tc>
        <w:tc>
          <w:tcPr>
            <w:tcW w:w="693" w:type="dxa"/>
            <w:tcBorders>
              <w:left w:val="single" w:color="auto" w:sz="4" w:space="0"/>
              <w:bottom w:val="single" w:color="auto" w:sz="4" w:space="0"/>
              <w:right w:val="single" w:color="auto" w:sz="4" w:space="0"/>
            </w:tcBorders>
            <w:vAlign w:val="center"/>
          </w:tcPr>
          <w:p>
            <w:pPr>
              <w:spacing w:line="240" w:lineRule="exact"/>
              <w:jc w:val="center"/>
              <w:rPr>
                <w:rFonts w:hint="default" w:ascii="仿宋_GB2312" w:hAnsi="宋体" w:eastAsia="仿宋_GB2312"/>
                <w:bCs/>
                <w:color w:val="auto"/>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100</w:t>
            </w:r>
          </w:p>
        </w:tc>
      </w:tr>
    </w:tbl>
    <w:p>
      <w:pPr>
        <w:spacing w:line="600" w:lineRule="exact"/>
        <w:rPr>
          <w:rFonts w:ascii="Times New Roman" w:eastAsia="仿宋_GB2312"/>
          <w:color w:val="FF0000"/>
          <w:sz w:val="32"/>
          <w:szCs w:val="32"/>
        </w:rPr>
      </w:pPr>
    </w:p>
    <w:p>
      <w:pPr>
        <w:widowControl/>
        <w:spacing w:line="600" w:lineRule="exact"/>
        <w:ind w:right="-283"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（一）决策指标（满分</w:t>
      </w:r>
      <w:r>
        <w:rPr>
          <w:rFonts w:eastAsia="楷体_GB2312"/>
          <w:b/>
          <w:color w:val="auto"/>
          <w:sz w:val="32"/>
          <w:szCs w:val="32"/>
        </w:rPr>
        <w:t>15</w:t>
      </w:r>
      <w:r>
        <w:rPr>
          <w:rFonts w:ascii="Times New Roman" w:hAnsi="Times New Roman" w:eastAsia="楷体_GB2312"/>
          <w:b/>
          <w:color w:val="auto"/>
          <w:sz w:val="32"/>
          <w:szCs w:val="32"/>
        </w:rPr>
        <w:t>分</w:t>
      </w:r>
      <w:r>
        <w:rPr>
          <w:rFonts w:eastAsia="楷体_GB2312"/>
          <w:b/>
          <w:color w:val="auto"/>
          <w:sz w:val="32"/>
          <w:szCs w:val="32"/>
        </w:rPr>
        <w:t>，</w:t>
      </w:r>
      <w:r>
        <w:rPr>
          <w:rFonts w:ascii="Times New Roman" w:hAnsi="Times New Roman" w:eastAsia="楷体_GB2312"/>
          <w:b/>
          <w:color w:val="auto"/>
          <w:sz w:val="32"/>
          <w:szCs w:val="32"/>
        </w:rPr>
        <w:t>实得</w:t>
      </w:r>
      <w:r>
        <w:rPr>
          <w:rFonts w:hint="eastAsia" w:ascii="Times New Roman" w:hAnsi="Times New Roman" w:eastAsia="楷体_GB2312"/>
          <w:b/>
          <w:color w:val="auto"/>
          <w:sz w:val="32"/>
          <w:szCs w:val="32"/>
          <w:lang w:val="en-US" w:eastAsia="zh-CN"/>
        </w:rPr>
        <w:t>15</w:t>
      </w:r>
      <w:r>
        <w:rPr>
          <w:rFonts w:ascii="Times New Roman" w:hAnsi="Times New Roman" w:eastAsia="楷体_GB2312"/>
          <w:b/>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w:t>
      </w:r>
      <w:r>
        <w:rPr>
          <w:rFonts w:ascii="Times New Roman" w:eastAsia="仿宋_GB2312"/>
          <w:color w:val="auto"/>
          <w:sz w:val="32"/>
          <w:szCs w:val="32"/>
        </w:rPr>
        <w:t>.项目立项（满分</w:t>
      </w:r>
      <w:r>
        <w:rPr>
          <w:rFonts w:eastAsia="仿宋_GB2312"/>
          <w:color w:val="auto"/>
          <w:sz w:val="32"/>
          <w:szCs w:val="32"/>
        </w:rPr>
        <w:t>7</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eastAsia="仿宋_GB2312"/>
          <w:color w:val="auto"/>
          <w:sz w:val="32"/>
          <w:szCs w:val="32"/>
        </w:rPr>
        <w:t>（</w:t>
      </w:r>
      <w:r>
        <w:rPr>
          <w:rFonts w:eastAsia="仿宋_GB2312"/>
          <w:color w:val="auto"/>
          <w:sz w:val="32"/>
          <w:szCs w:val="32"/>
        </w:rPr>
        <w:t>1</w:t>
      </w:r>
      <w:r>
        <w:rPr>
          <w:rFonts w:ascii="Times New Roman" w:eastAsia="仿宋_GB2312"/>
          <w:color w:val="auto"/>
          <w:sz w:val="32"/>
          <w:szCs w:val="32"/>
        </w:rPr>
        <w:t>）项目立项规范性（满分</w:t>
      </w:r>
      <w:r>
        <w:rPr>
          <w:rFonts w:eastAsia="仿宋_GB2312"/>
          <w:color w:val="auto"/>
          <w:sz w:val="32"/>
          <w:szCs w:val="32"/>
        </w:rPr>
        <w:t>7</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项目实施前，已经过会议进行集体决策。按照规定的程序进行审批，申请设立。</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w:t>
      </w:r>
      <w:r>
        <w:rPr>
          <w:rFonts w:ascii="Times New Roman" w:eastAsia="仿宋_GB2312"/>
          <w:color w:val="auto"/>
          <w:sz w:val="32"/>
          <w:szCs w:val="32"/>
        </w:rPr>
        <w:t>.绩效目标（满分</w:t>
      </w:r>
      <w:r>
        <w:rPr>
          <w:rFonts w:eastAsia="仿宋_GB2312"/>
          <w:color w:val="auto"/>
          <w:sz w:val="32"/>
          <w:szCs w:val="32"/>
        </w:rPr>
        <w:t>8</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8</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（1）绩效目标合理性（满分4分</w:t>
      </w:r>
      <w:r>
        <w:rPr>
          <w:rFonts w:hint="eastAsia" w:eastAsia="仿宋_GB2312"/>
          <w:color w:val="auto"/>
          <w:sz w:val="32"/>
          <w:szCs w:val="32"/>
        </w:rPr>
        <w:t>，</w:t>
      </w:r>
      <w:r>
        <w:rPr>
          <w:rFonts w:eastAsia="仿宋_GB2312"/>
          <w:color w:val="auto"/>
          <w:sz w:val="32"/>
          <w:szCs w:val="32"/>
        </w:rPr>
        <w:t>实</w:t>
      </w:r>
      <w:r>
        <w:rPr>
          <w:rFonts w:ascii="Times New Roman" w:eastAsia="仿宋_GB2312"/>
          <w:color w:val="auto"/>
          <w:sz w:val="32"/>
          <w:szCs w:val="32"/>
        </w:rPr>
        <w:t>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hAnsi="Times New Roman" w:eastAsia="仿宋_GB2312"/>
          <w:color w:val="auto"/>
          <w:sz w:val="32"/>
          <w:szCs w:val="32"/>
        </w:rPr>
        <w:t>项目绩效目标与实际工作内容具有相关性</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项目预期产出效益和效果符合正常的业绩水平</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项目绩效目标与预算确定的项目投资额或资金量相匹配。</w:t>
      </w:r>
    </w:p>
    <w:p>
      <w:pPr>
        <w:numPr>
          <w:ilvl w:val="0"/>
          <w:numId w:val="2"/>
        </w:numPr>
        <w:spacing w:line="600" w:lineRule="exact"/>
        <w:ind w:firstLine="640" w:firstLineChars="200"/>
        <w:rPr>
          <w:rFonts w:ascii="Times New Roman" w:eastAsia="仿宋_GB2312"/>
          <w:color w:val="auto"/>
          <w:sz w:val="32"/>
          <w:szCs w:val="32"/>
        </w:rPr>
      </w:pPr>
      <w:r>
        <w:rPr>
          <w:rFonts w:eastAsia="仿宋_GB2312"/>
          <w:color w:val="auto"/>
          <w:sz w:val="32"/>
          <w:szCs w:val="32"/>
        </w:rPr>
        <w:t>绩效指标明确性（满分4分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项目绩效目标细化分解为具体的绩效指标；通过清晰、可衡量的指标值予以体现；与项目目标任务数相对应。</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（二）过程指标（满分</w:t>
      </w:r>
      <w:r>
        <w:rPr>
          <w:rFonts w:eastAsia="楷体_GB2312"/>
          <w:b/>
          <w:color w:val="000000"/>
          <w:sz w:val="32"/>
          <w:szCs w:val="32"/>
        </w:rPr>
        <w:t>25</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25</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1.资金管理（满分15分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15</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（1）预算执行率（满分10分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hint="eastAsia" w:ascii="Times New Roman" w:hAnsi="Times New Roman" w:eastAsia="仿宋_GB2312"/>
          <w:color w:val="000000"/>
          <w:sz w:val="32"/>
          <w:szCs w:val="32"/>
        </w:rPr>
        <w:t>全年执行数</w:t>
      </w:r>
      <w:r>
        <w:rPr>
          <w:rFonts w:hint="eastAsia" w:ascii="Times New Roman" w:hAnsi="Times New Roman" w:eastAsia="仿宋_GB2312"/>
          <w:color w:val="000000"/>
          <w:sz w:val="32"/>
          <w:szCs w:val="32"/>
          <w:lang w:val="en-US" w:eastAsia="zh-CN"/>
        </w:rPr>
        <w:t>569</w:t>
      </w:r>
      <w:r>
        <w:rPr>
          <w:rFonts w:hint="eastAsia" w:ascii="Times New Roman" w:hAnsi="Times New Roman" w:eastAsia="仿宋_GB2312"/>
          <w:color w:val="000000"/>
          <w:sz w:val="32"/>
          <w:szCs w:val="32"/>
        </w:rPr>
        <w:t>万元，全年预算数</w:t>
      </w:r>
      <w:r>
        <w:rPr>
          <w:rFonts w:hint="eastAsia" w:ascii="Times New Roman" w:hAnsi="Times New Roman" w:eastAsia="仿宋_GB2312"/>
          <w:color w:val="000000"/>
          <w:sz w:val="32"/>
          <w:szCs w:val="32"/>
          <w:lang w:val="en-US" w:eastAsia="zh-CN"/>
        </w:rPr>
        <w:t>569</w:t>
      </w:r>
      <w:r>
        <w:rPr>
          <w:rFonts w:hint="eastAsia" w:ascii="Times New Roman" w:hAnsi="Times New Roman" w:eastAsia="仿宋_GB2312"/>
          <w:color w:val="000000"/>
          <w:sz w:val="32"/>
          <w:szCs w:val="32"/>
        </w:rPr>
        <w:t>万元，预算执行率100%。</w:t>
      </w:r>
    </w:p>
    <w:p>
      <w:pPr>
        <w:spacing w:line="600" w:lineRule="exact"/>
        <w:ind w:firstLine="640" w:firstLineChars="200"/>
        <w:rPr>
          <w:rFonts w:ascii="Times New Roman" w:eastAsia="仿宋_GB2312"/>
          <w:sz w:val="32"/>
          <w:szCs w:val="32"/>
        </w:rPr>
      </w:pPr>
      <w:r>
        <w:rPr>
          <w:rFonts w:eastAsia="仿宋_GB2312"/>
          <w:sz w:val="32"/>
          <w:szCs w:val="32"/>
        </w:rPr>
        <w:t>（2）资金使用合规性</w:t>
      </w:r>
      <w:r>
        <w:rPr>
          <w:rFonts w:eastAsia="仿宋_GB2312"/>
          <w:sz w:val="32"/>
          <w:szCs w:val="32"/>
        </w:rPr>
        <w:tab/>
      </w:r>
      <w:r>
        <w:rPr>
          <w:rFonts w:eastAsia="仿宋_GB2312"/>
          <w:sz w:val="32"/>
          <w:szCs w:val="32"/>
        </w:rPr>
        <w:t>（满分5分，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eastAsia="仿宋_GB2312"/>
          <w:sz w:val="32"/>
          <w:szCs w:val="32"/>
        </w:rPr>
      </w:pPr>
      <w:r>
        <w:rPr>
          <w:rFonts w:hint="eastAsia" w:ascii="Times New Roman" w:hAnsi="Times New Roman" w:eastAsia="仿宋_GB2312"/>
          <w:color w:val="000000"/>
          <w:sz w:val="32"/>
          <w:szCs w:val="32"/>
        </w:rPr>
        <w:t>资金使用</w:t>
      </w:r>
      <w:r>
        <w:rPr>
          <w:rFonts w:ascii="Times New Roman" w:hAnsi="Times New Roman" w:eastAsia="仿宋_GB2312"/>
          <w:sz w:val="32"/>
          <w:szCs w:val="32"/>
        </w:rPr>
        <w:t>符合国家财经法规和财务管理制度以及有关专项资金管理办法的规定；资金的拨付有完整的审批程序和手续；</w:t>
      </w:r>
      <w:r>
        <w:rPr>
          <w:rFonts w:hint="eastAsia" w:ascii="Times New Roman" w:hAnsi="Times New Roman" w:eastAsia="仿宋_GB2312"/>
          <w:sz w:val="32"/>
          <w:szCs w:val="32"/>
        </w:rPr>
        <w:t>资金使用</w:t>
      </w:r>
      <w:r>
        <w:rPr>
          <w:rFonts w:ascii="Times New Roman" w:hAnsi="Times New Roman" w:eastAsia="仿宋_GB2312"/>
          <w:sz w:val="32"/>
          <w:szCs w:val="32"/>
        </w:rPr>
        <w:t>符合项目预算批复用途；</w:t>
      </w:r>
      <w:r>
        <w:rPr>
          <w:rFonts w:hint="eastAsia" w:ascii="Times New Roman" w:hAnsi="Times New Roman" w:eastAsia="仿宋_GB2312"/>
          <w:sz w:val="32"/>
          <w:szCs w:val="32"/>
        </w:rPr>
        <w:t>不</w:t>
      </w:r>
      <w:r>
        <w:rPr>
          <w:rFonts w:ascii="Times New Roman" w:hAnsi="Times New Roman" w:eastAsia="仿宋_GB2312"/>
          <w:sz w:val="32"/>
          <w:szCs w:val="32"/>
        </w:rPr>
        <w:t>存在截留、挤占、挪用、虚列支出等情况。</w:t>
      </w:r>
    </w:p>
    <w:p>
      <w:pPr>
        <w:spacing w:line="600" w:lineRule="exact"/>
        <w:ind w:firstLine="640" w:firstLineChars="200"/>
        <w:rPr>
          <w:rFonts w:ascii="Times New Roman" w:eastAsia="仿宋_GB2312"/>
          <w:color w:val="000000"/>
          <w:sz w:val="32"/>
          <w:szCs w:val="32"/>
        </w:rPr>
      </w:pPr>
      <w:r>
        <w:rPr>
          <w:rFonts w:eastAsia="仿宋_GB2312"/>
          <w:sz w:val="32"/>
          <w:szCs w:val="32"/>
        </w:rPr>
        <w:t>2.组织实施（满分10分，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（1）管理制度健全性（满分5分，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hint="eastAsia" w:ascii="Times New Roman" w:hAnsi="Times New Roman" w:eastAsia="仿宋_GB2312" w:cstheme="minorBidi"/>
          <w:b w:val="0"/>
          <w:bCs w:val="0"/>
          <w:color w:val="000000"/>
          <w:kern w:val="2"/>
          <w:sz w:val="32"/>
          <w:szCs w:val="32"/>
          <w:lang w:val="en-US" w:eastAsia="zh-CN" w:bidi="ar-SA"/>
        </w:rPr>
      </w:pPr>
      <w:r>
        <w:rPr>
          <w:rFonts w:hint="eastAsia" w:ascii="Times New Roman" w:hAnsi="Times New Roman" w:eastAsia="仿宋_GB2312" w:cstheme="minorBidi"/>
          <w:b w:val="0"/>
          <w:bCs w:val="0"/>
          <w:color w:val="000000"/>
          <w:kern w:val="2"/>
          <w:sz w:val="32"/>
          <w:szCs w:val="32"/>
          <w:lang w:val="en-US" w:eastAsia="zh-CN" w:bidi="ar-SA"/>
        </w:rPr>
        <w:t>已制定相应的财务和业务管理制度；财务和业务管理制度合法、合规、完整。</w:t>
      </w:r>
    </w:p>
    <w:p>
      <w:pPr>
        <w:spacing w:line="600" w:lineRule="exact"/>
        <w:ind w:firstLine="640" w:firstLineChars="200"/>
        <w:rPr>
          <w:rFonts w:ascii="Times New Roman" w:eastAsia="仿宋_GB2312"/>
          <w:color w:val="000000"/>
          <w:sz w:val="32"/>
          <w:szCs w:val="32"/>
        </w:rPr>
      </w:pPr>
      <w:r>
        <w:rPr>
          <w:rFonts w:eastAsia="仿宋_GB2312"/>
          <w:sz w:val="32"/>
          <w:szCs w:val="32"/>
        </w:rPr>
        <w:t>（2）制度执行有效性（满分5分，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ascii="Times New Roman" w:eastAsia="仿宋_GB2312"/>
          <w:color w:val="000000"/>
          <w:sz w:val="32"/>
          <w:szCs w:val="32"/>
        </w:rPr>
      </w:pPr>
      <w:r>
        <w:rPr>
          <w:rFonts w:hint="eastAsia" w:ascii="Times New Roman" w:hAnsi="Times New Roman" w:eastAsia="仿宋_GB2312" w:cstheme="minorBidi"/>
          <w:b w:val="0"/>
          <w:bCs w:val="0"/>
          <w:color w:val="000000"/>
          <w:kern w:val="2"/>
          <w:sz w:val="32"/>
          <w:szCs w:val="32"/>
          <w:lang w:val="en-US" w:eastAsia="zh-CN" w:bidi="ar-SA"/>
        </w:rPr>
        <w:t>制度执行遵守相关法律法规和相关管理规定；项目调整及支出调整手续完备；项目合同书、验收报告、技术鉴定等资料齐全并及时归档；项目实施的人员条件、场地设备、信息支撑等落实到位。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（三）产出指标（满分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1.数量指标（满分8分，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实际完成率为</w:t>
      </w:r>
      <w:r>
        <w:rPr>
          <w:rFonts w:hint="eastAsia" w:ascii="Times New Roman" w:eastAsia="仿宋_GB2312"/>
          <w:color w:val="000000"/>
          <w:sz w:val="32"/>
          <w:szCs w:val="32"/>
          <w:lang w:val="en-US" w:eastAsia="zh-CN"/>
        </w:rPr>
        <w:t>100</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2.时效指标（满分8分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年度设定的时效指标为</w:t>
      </w:r>
      <w:r>
        <w:rPr>
          <w:rFonts w:hint="eastAsia" w:ascii="Times New Roman" w:eastAsia="仿宋_GB2312"/>
          <w:color w:val="000000"/>
          <w:sz w:val="32"/>
          <w:szCs w:val="32"/>
          <w:lang w:val="en-US" w:eastAsia="zh-CN"/>
        </w:rPr>
        <w:t>1年</w:t>
      </w:r>
      <w:r>
        <w:rPr>
          <w:rFonts w:ascii="Times New Roman" w:eastAsia="仿宋_GB2312"/>
          <w:color w:val="000000"/>
          <w:sz w:val="32"/>
          <w:szCs w:val="32"/>
        </w:rPr>
        <w:t>；实际完成情况为</w:t>
      </w:r>
      <w:r>
        <w:rPr>
          <w:rFonts w:hint="eastAsia" w:ascii="Times New Roman" w:eastAsia="仿宋_GB2312"/>
          <w:color w:val="000000"/>
          <w:sz w:val="32"/>
          <w:szCs w:val="32"/>
          <w:lang w:val="en-US" w:eastAsia="zh-CN"/>
        </w:rPr>
        <w:t>1年</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3.质量指标（满分7分，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年度设定的质量指标为</w:t>
      </w:r>
      <w:r>
        <w:rPr>
          <w:rFonts w:hint="eastAsia" w:ascii="Times New Roman" w:eastAsia="仿宋_GB2312"/>
          <w:color w:val="000000"/>
          <w:sz w:val="32"/>
          <w:szCs w:val="32"/>
          <w:lang w:eastAsia="zh-CN"/>
        </w:rPr>
        <w:t>优化服务质量</w:t>
      </w:r>
      <w:r>
        <w:rPr>
          <w:rFonts w:ascii="Times New Roman" w:eastAsia="仿宋_GB2312"/>
          <w:color w:val="000000"/>
          <w:sz w:val="32"/>
          <w:szCs w:val="32"/>
        </w:rPr>
        <w:t>；实际完成情况为</w:t>
      </w:r>
      <w:r>
        <w:rPr>
          <w:rFonts w:hint="eastAsia" w:ascii="Times New Roman" w:eastAsia="仿宋_GB2312"/>
          <w:color w:val="000000"/>
          <w:sz w:val="32"/>
          <w:szCs w:val="32"/>
          <w:lang w:eastAsia="zh-CN"/>
        </w:rPr>
        <w:t>全面提升服务质量和效率</w:t>
      </w:r>
      <w:r>
        <w:rPr>
          <w:rFonts w:ascii="Times New Roman" w:hAnsi="Times New Roman" w:eastAsia="仿宋_GB2312"/>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sz w:val="32"/>
          <w:szCs w:val="32"/>
        </w:rPr>
      </w:pPr>
      <w:r>
        <w:rPr>
          <w:rFonts w:eastAsia="仿宋_GB2312"/>
          <w:color w:val="000000"/>
          <w:sz w:val="32"/>
          <w:szCs w:val="32"/>
        </w:rPr>
        <w:t>4.成本指标（满分7分，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r>
        <w:rPr>
          <w:rFonts w:ascii="Times New Roman" w:eastAsia="仿宋_GB2312"/>
          <w:sz w:val="32"/>
          <w:szCs w:val="32"/>
        </w:rPr>
        <w:tab/>
      </w:r>
    </w:p>
    <w:p>
      <w:pPr>
        <w:spacing w:line="600" w:lineRule="exact"/>
        <w:ind w:right="-283" w:firstLine="640" w:firstLineChars="200"/>
        <w:rPr>
          <w:rFonts w:ascii="Times New Roman" w:hAnsi="Times New Roman" w:eastAsia="仿宋_GB2312"/>
          <w:color w:val="000000"/>
          <w:sz w:val="32"/>
          <w:szCs w:val="32"/>
        </w:rPr>
      </w:pPr>
      <w:r>
        <w:rPr>
          <w:rFonts w:ascii="Times New Roman" w:eastAsia="仿宋_GB2312"/>
          <w:color w:val="000000"/>
          <w:sz w:val="32"/>
          <w:szCs w:val="32"/>
        </w:rPr>
        <w:t>年度设定的成本指标为</w:t>
      </w:r>
      <w:r>
        <w:rPr>
          <w:rFonts w:hint="eastAsia" w:ascii="Times New Roman" w:eastAsia="仿宋_GB2312"/>
          <w:color w:val="000000"/>
          <w:sz w:val="32"/>
          <w:szCs w:val="32"/>
          <w:lang w:eastAsia="zh-CN"/>
        </w:rPr>
        <w:t>项目总成本</w:t>
      </w:r>
      <w:r>
        <w:rPr>
          <w:rFonts w:ascii="Times New Roman" w:eastAsia="仿宋_GB2312"/>
          <w:color w:val="000000"/>
          <w:sz w:val="32"/>
          <w:szCs w:val="32"/>
        </w:rPr>
        <w:t>；实际完成</w:t>
      </w:r>
      <w:r>
        <w:rPr>
          <w:rFonts w:hint="eastAsia" w:ascii="Times New Roman" w:eastAsia="仿宋_GB2312"/>
          <w:color w:val="000000"/>
          <w:sz w:val="32"/>
          <w:szCs w:val="32"/>
          <w:lang w:eastAsia="zh-CN"/>
        </w:rPr>
        <w:t>率</w:t>
      </w:r>
      <w:r>
        <w:rPr>
          <w:rFonts w:hint="eastAsia" w:ascii="Times New Roman" w:eastAsia="仿宋_GB2312"/>
          <w:color w:val="000000"/>
          <w:sz w:val="32"/>
          <w:szCs w:val="32"/>
          <w:lang w:val="en-US" w:eastAsia="zh-CN"/>
        </w:rPr>
        <w:t>100%</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（四）效益指标（满分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经济效益指标（满分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本项目不涉及经济效益。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eastAsia="仿宋_GB2312"/>
          <w:color w:val="000000"/>
          <w:sz w:val="32"/>
          <w:szCs w:val="32"/>
        </w:rPr>
        <w:t>2.</w:t>
      </w:r>
      <w:r>
        <w:rPr>
          <w:rFonts w:ascii="Times New Roman" w:eastAsia="仿宋_GB2312"/>
          <w:color w:val="000000"/>
          <w:sz w:val="32"/>
          <w:szCs w:val="32"/>
        </w:rPr>
        <w:t>社会效益指标（满分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rPr>
          <w:rFonts w:hint="eastAsia" w:eastAsia="仿宋_GB2312"/>
          <w:b w:val="0"/>
          <w:bCs w:val="0"/>
          <w:lang w:eastAsia="zh-CN"/>
        </w:rPr>
      </w:pPr>
      <w:r>
        <w:rPr>
          <w:rFonts w:hint="eastAsia" w:ascii="Times New Roman" w:eastAsia="仿宋_GB2312"/>
          <w:b w:val="0"/>
          <w:bCs w:val="0"/>
          <w:color w:val="000000"/>
          <w:sz w:val="32"/>
          <w:szCs w:val="32"/>
          <w:lang w:eastAsia="zh-CN"/>
        </w:rPr>
        <w:t>为政务服务、卫生与计划服务、文化艺术服务提供良好的运营环境。</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生态效益指标（满分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推进瑶海市民中心节能环保工作，节约社会资源。</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可持续影响指标（满分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numPr>
          <w:ilvl w:val="0"/>
          <w:numId w:val="0"/>
        </w:numPr>
        <w:ind w:leftChars="202"/>
        <w:jc w:val="both"/>
        <w:rPr>
          <w:rFonts w:hint="eastAsia" w:ascii="Times New Roman" w:eastAsia="仿宋_GB2312"/>
          <w:b w:val="0"/>
          <w:bCs w:val="0"/>
          <w:color w:val="000000"/>
          <w:sz w:val="32"/>
          <w:szCs w:val="32"/>
          <w:lang w:val="en-US" w:eastAsia="zh-CN"/>
        </w:rPr>
      </w:pPr>
      <w:r>
        <w:rPr>
          <w:rFonts w:hint="eastAsia"/>
          <w:lang w:val="en-US" w:eastAsia="zh-CN"/>
        </w:rPr>
        <w:t xml:space="preserve"> </w:t>
      </w:r>
      <w:r>
        <w:rPr>
          <w:rFonts w:hint="eastAsia" w:ascii="Times New Roman" w:eastAsia="仿宋_GB2312"/>
          <w:b w:val="0"/>
          <w:bCs w:val="0"/>
          <w:color w:val="000000"/>
          <w:sz w:val="32"/>
          <w:szCs w:val="32"/>
          <w:lang w:val="en-US" w:eastAsia="zh-CN"/>
        </w:rPr>
        <w:t>打造全省最优的商务政务服务环境。</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5.</w:t>
      </w:r>
      <w:r>
        <w:rPr>
          <w:rFonts w:ascii="Times New Roman" w:eastAsia="仿宋_GB2312"/>
          <w:color w:val="000000"/>
          <w:sz w:val="32"/>
          <w:szCs w:val="32"/>
        </w:rPr>
        <w:t>满意度指标（满分</w:t>
      </w:r>
      <w:r>
        <w:rPr>
          <w:rFonts w:hint="eastAsia" w:eastAsia="仿宋_GB2312"/>
          <w:color w:val="000000"/>
          <w:sz w:val="32"/>
          <w:szCs w:val="32"/>
        </w:rPr>
        <w:t>10</w:t>
      </w:r>
      <w:r>
        <w:rPr>
          <w:rFonts w:ascii="Times New Roman" w:eastAsia="仿宋_GB2312"/>
          <w:color w:val="000000"/>
          <w:sz w:val="32"/>
          <w:szCs w:val="32"/>
        </w:rPr>
        <w:t>分，实得</w:t>
      </w:r>
      <w:r>
        <w:rPr>
          <w:rFonts w:hint="eastAsia" w:ascii="Times New Roman" w:eastAsia="仿宋_GB2312"/>
          <w:color w:val="000000"/>
          <w:sz w:val="32"/>
          <w:szCs w:val="32"/>
        </w:rPr>
        <w:t>10</w:t>
      </w:r>
      <w:r>
        <w:rPr>
          <w:rFonts w:ascii="Times New Roman" w:eastAsia="仿宋_GB2312"/>
          <w:color w:val="000000"/>
          <w:sz w:val="32"/>
          <w:szCs w:val="32"/>
        </w:rPr>
        <w:t>分）</w:t>
      </w:r>
    </w:p>
    <w:p>
      <w:pPr>
        <w:pStyle w:val="9"/>
        <w:numPr>
          <w:ilvl w:val="0"/>
          <w:numId w:val="0"/>
        </w:numPr>
        <w:ind w:leftChars="202"/>
        <w:jc w:val="both"/>
        <w:rPr>
          <w:rFonts w:hint="default" w:ascii="Times New Roman" w:eastAsia="仿宋_GB2312"/>
          <w:b w:val="0"/>
          <w:bCs w:val="0"/>
          <w:color w:val="000000"/>
          <w:sz w:val="32"/>
          <w:szCs w:val="32"/>
          <w:lang w:val="en-US" w:eastAsia="zh-CN"/>
        </w:rPr>
      </w:pPr>
      <w:r>
        <w:rPr>
          <w:rFonts w:hint="eastAsia" w:ascii="Times New Roman" w:eastAsia="仿宋_GB2312"/>
          <w:b w:val="0"/>
          <w:bCs w:val="0"/>
          <w:color w:val="000000"/>
          <w:sz w:val="32"/>
          <w:szCs w:val="32"/>
          <w:lang w:val="en-US" w:eastAsia="zh-CN"/>
        </w:rPr>
        <w:t>服务对象满意度≥98%</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六、自评依据</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上级下发的关于开展部门绩效自评</w:t>
      </w:r>
      <w:r>
        <w:rPr>
          <w:rFonts w:ascii="Times New Roman" w:hAnsi="Times New Roman" w:eastAsia="仿宋_GB2312"/>
          <w:color w:val="000000"/>
          <w:sz w:val="32"/>
          <w:szCs w:val="32"/>
        </w:rPr>
        <w:t>工作的文件</w:t>
      </w:r>
      <w:r>
        <w:rPr>
          <w:rFonts w:hint="eastAsia" w:ascii="Times New Roman" w:hAnsi="Times New Roman" w:eastAsia="仿宋_GB2312"/>
          <w:color w:val="000000"/>
          <w:sz w:val="32"/>
          <w:szCs w:val="32"/>
          <w:lang w:eastAsia="zh-CN"/>
        </w:rPr>
        <w:t>通知</w:t>
      </w:r>
      <w:r>
        <w:rPr>
          <w:rFonts w:ascii="Times New Roman" w:hAnsi="Times New Roman" w:eastAsia="仿宋_GB2312"/>
          <w:color w:val="000000"/>
          <w:sz w:val="32"/>
          <w:szCs w:val="32"/>
        </w:rPr>
        <w:t>，项目管理办法、专项资金管理办法等。</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项目支出绩效自评表（附后）</w:t>
      </w:r>
    </w:p>
    <w:bookmarkEnd w:id="0"/>
    <w:bookmarkEnd w:id="1"/>
    <w:bookmarkEnd w:id="2"/>
    <w:bookmarkEnd w:id="3"/>
    <w:bookmarkEnd w:id="4"/>
    <w:bookmarkEnd w:id="5"/>
    <w:bookmarkEnd w:id="6"/>
    <w:bookmarkEnd w:id="7"/>
    <w:bookmarkEnd w:id="8"/>
    <w:bookmarkEnd w:id="9"/>
    <w:bookmarkEnd w:id="10"/>
    <w:bookmarkEnd w:id="11"/>
    <w:bookmarkEnd w:id="12"/>
    <w:p>
      <w:pPr>
        <w:spacing w:line="400" w:lineRule="exact"/>
        <w:jc w:val="center"/>
        <w:rPr>
          <w:rFonts w:ascii="方正小标宋简体" w:hAnsi="宋体" w:eastAsia="方正小标宋简体"/>
          <w:sz w:val="36"/>
          <w:szCs w:val="30"/>
        </w:rPr>
      </w:pPr>
      <w:r>
        <w:rPr>
          <w:rFonts w:ascii="仿宋_GB2312" w:hAnsi="仿宋" w:eastAsia="仿宋_GB2312"/>
          <w:color w:val="000000"/>
          <w:spacing w:val="-10"/>
          <w:sz w:val="32"/>
          <w:szCs w:val="32"/>
        </w:rPr>
        <w:br w:type="page"/>
      </w:r>
      <w:r>
        <w:rPr>
          <w:rFonts w:hint="eastAsia" w:ascii="方正小标宋简体" w:hAnsi="宋体" w:eastAsia="方正小标宋简体"/>
          <w:sz w:val="36"/>
          <w:szCs w:val="30"/>
        </w:rPr>
        <w:t>项目支出绩效自评表</w:t>
      </w:r>
    </w:p>
    <w:p>
      <w:pPr>
        <w:spacing w:line="500" w:lineRule="exact"/>
        <w:jc w:val="center"/>
        <w:rPr>
          <w:rFonts w:ascii="仿宋_GB2312" w:eastAsia="仿宋_GB2312"/>
          <w:sz w:val="28"/>
          <w:szCs w:val="30"/>
        </w:rPr>
      </w:pPr>
      <w:r>
        <w:rPr>
          <w:rFonts w:hint="eastAsia" w:ascii="仿宋_GB2312" w:eastAsia="仿宋_GB2312"/>
          <w:sz w:val="28"/>
          <w:szCs w:val="30"/>
        </w:rPr>
        <w:t>（</w:t>
      </w:r>
      <w:r>
        <w:rPr>
          <w:rFonts w:eastAsia="仿宋_GB2312"/>
          <w:sz w:val="28"/>
          <w:szCs w:val="30"/>
        </w:rPr>
        <w:t>2020</w:t>
      </w:r>
      <w:r>
        <w:rPr>
          <w:rFonts w:hint="eastAsia" w:ascii="仿宋_GB2312" w:eastAsia="仿宋_GB2312"/>
          <w:sz w:val="28"/>
          <w:szCs w:val="30"/>
        </w:rPr>
        <w:t>年度）</w:t>
      </w:r>
    </w:p>
    <w:tbl>
      <w:tblPr>
        <w:tblStyle w:val="10"/>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04"/>
        <w:gridCol w:w="761"/>
        <w:gridCol w:w="1258"/>
        <w:gridCol w:w="455"/>
        <w:gridCol w:w="1417"/>
        <w:gridCol w:w="1270"/>
        <w:gridCol w:w="715"/>
        <w:gridCol w:w="70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836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仿宋_GB2312" w:hAnsi="宋体" w:eastAsia="仿宋_GB2312" w:cs="宋体"/>
                <w:lang w:val="en-US" w:eastAsia="zh-CN"/>
              </w:rPr>
            </w:pPr>
            <w:r>
              <w:rPr>
                <w:rFonts w:hint="eastAsia" w:ascii="仿宋_GB2312" w:hAnsi="宋体" w:eastAsia="仿宋_GB2312" w:cs="宋体"/>
                <w:lang w:val="en-US" w:eastAsia="zh-CN"/>
              </w:rPr>
              <w:t>党组织活动经费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38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lang w:eastAsia="zh-CN"/>
              </w:rPr>
            </w:pPr>
            <w:r>
              <w:rPr>
                <w:rFonts w:hint="eastAsia" w:ascii="仿宋_GB2312" w:hAnsi="宋体" w:eastAsia="仿宋_GB2312" w:cs="宋体"/>
                <w:lang w:eastAsia="zh-CN"/>
              </w:rPr>
              <w:t>瑶海区政务服务管理局</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预算单位</w:t>
            </w:r>
          </w:p>
        </w:tc>
        <w:tc>
          <w:tcPr>
            <w:tcW w:w="32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cs="宋体"/>
                <w:lang w:eastAsia="zh-CN"/>
              </w:rPr>
              <w:t>瑶海区政务服务管理局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项目责任人</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张莉</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联系方式</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64496853</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项目起止时间</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kern w:val="0"/>
                <w:sz w:val="18"/>
                <w:szCs w:val="18"/>
                <w:lang w:val="en-US" w:eastAsia="zh-CN"/>
              </w:rPr>
            </w:pPr>
            <w:r>
              <w:rPr>
                <w:rFonts w:hint="default" w:ascii="仿宋_GB2312" w:hAnsi="宋体" w:eastAsia="仿宋_GB2312"/>
                <w:kern w:val="0"/>
                <w:sz w:val="18"/>
                <w:szCs w:val="18"/>
                <w:lang w:val="en-US" w:eastAsia="zh-CN"/>
              </w:rPr>
              <w:t>20200101-2020123</w:t>
            </w:r>
            <w:r>
              <w:rPr>
                <w:rFonts w:hint="eastAsia" w:ascii="仿宋_GB2312" w:hAnsi="宋体" w:eastAsia="仿宋_GB2312"/>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（万元）</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仿宋_GB2312" w:hAnsi="宋体" w:eastAsia="仿宋_GB2312" w:cs="宋体"/>
              </w:rPr>
            </w:pP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r>
              <w:rPr>
                <w:rFonts w:ascii="Times New Roman" w:hAnsi="Times New Roman" w:eastAsia="仿宋_GB2312"/>
                <w:kern w:val="0"/>
                <w:sz w:val="18"/>
                <w:szCs w:val="18"/>
              </w:rPr>
              <w:t>A</w:t>
            </w:r>
            <w:r>
              <w:rPr>
                <w:rFonts w:hint="eastAsia" w:ascii="仿宋_GB2312" w:hAnsi="宋体" w:eastAsia="仿宋_GB2312"/>
                <w:kern w:val="0"/>
                <w:sz w:val="18"/>
                <w:szCs w:val="18"/>
              </w:rPr>
              <w:t>）</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全年执行数</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预算执行率</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其中：当年财政资金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总体</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目标</w:t>
            </w: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做好市民中心全体工作人员就餐，锅炉房、配电房、空调机房等特种设备维保单位招标工作。坚持精细管理、强化监督、跟踪服务，确保市民中心参观、调研、考察等接待保障工作进一步提升质量，为政务服务、卫生与计划服务、文化艺术服务提供良好的运营环境，为服务全区市民建立瑶海新地标提供坚实的服务保障。</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做好市民中心全体工作人员就餐，锅炉房、配电房、空调机房等特种设备维保单位招标工作。坚持精细管理、强化监督、跟踪服务，确保市民中心参观、调研、考察等接待保障工作进一步提升质量，为政务服务、卫生与计划服务、文化艺术服务提供良好的运营环境，为服务全区市民建立瑶海新地标提供坚实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二级指标</w:t>
            </w:r>
          </w:p>
        </w:tc>
        <w:tc>
          <w:tcPr>
            <w:tcW w:w="17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三级指标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年度指标值</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实际完成值</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分值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得分</w:t>
            </w: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偏差原因分析及</w:t>
            </w:r>
          </w:p>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spacing w:val="-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10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7</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绩效目标合理明确</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绩效指标明确性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绩效指标清晰量化</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预算执行率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8"/>
              </w:rPr>
            </w:pPr>
            <w:r>
              <w:rPr>
                <w:rFonts w:ascii="Times New Roman" w:hAnsi="Times New Roman" w:eastAsia="仿宋_GB2312"/>
                <w:color w:val="000000"/>
                <w:kern w:val="0"/>
                <w:sz w:val="15"/>
                <w:szCs w:val="18"/>
              </w:rPr>
              <w:t>100</w:t>
            </w:r>
            <w:r>
              <w:rPr>
                <w:rFonts w:hint="eastAsia" w:ascii="仿宋_GB2312" w:hAnsi="宋体" w:eastAsia="仿宋_GB2312"/>
                <w:color w:val="000000"/>
                <w:kern w:val="0"/>
                <w:sz w:val="15"/>
                <w:szCs w:val="18"/>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10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资金使用合规性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项目资金使用合规</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管理制度健全性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管理制度健全</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nil"/>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5"/>
                <w:szCs w:val="18"/>
              </w:rPr>
              <w:t>制度执行有效性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相关制度执行有效</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各项维保工作完成次数</w:t>
            </w:r>
          </w:p>
        </w:tc>
        <w:tc>
          <w:tcPr>
            <w:tcW w:w="1417" w:type="dxa"/>
            <w:tcBorders>
              <w:top w:val="single" w:color="auto" w:sz="4" w:space="0"/>
              <w:left w:val="nil"/>
              <w:right w:val="single" w:color="auto" w:sz="4" w:space="0"/>
            </w:tcBorders>
            <w:vAlign w:val="center"/>
          </w:tcPr>
          <w:p>
            <w:pPr>
              <w:widowControl/>
              <w:spacing w:line="220" w:lineRule="exact"/>
              <w:rPr>
                <w:rFonts w:hint="default" w:ascii="仿宋_GB2312" w:hAnsi="宋体" w:eastAsia="仿宋_GB2312"/>
                <w:color w:val="000000"/>
                <w:spacing w:val="-6"/>
                <w:kern w:val="0"/>
                <w:sz w:val="15"/>
                <w:szCs w:val="18"/>
                <w:lang w:val="en-US" w:eastAsia="zh-CN"/>
              </w:rPr>
            </w:pPr>
            <w:r>
              <w:rPr>
                <w:rFonts w:hint="eastAsia" w:ascii="仿宋_GB2312" w:hAnsi="宋体" w:eastAsia="仿宋_GB2312"/>
                <w:color w:val="000000"/>
                <w:spacing w:val="-6"/>
                <w:kern w:val="0"/>
                <w:sz w:val="15"/>
                <w:szCs w:val="18"/>
                <w:lang w:val="en-US" w:eastAsia="zh-CN"/>
              </w:rPr>
              <w:t>100</w:t>
            </w:r>
          </w:p>
        </w:tc>
        <w:tc>
          <w:tcPr>
            <w:tcW w:w="1270" w:type="dxa"/>
            <w:tcBorders>
              <w:top w:val="single" w:color="auto" w:sz="4" w:space="0"/>
              <w:left w:val="nil"/>
              <w:right w:val="single" w:color="auto" w:sz="4" w:space="0"/>
            </w:tcBorders>
            <w:vAlign w:val="center"/>
          </w:tcPr>
          <w:p>
            <w:pPr>
              <w:widowControl/>
              <w:spacing w:line="22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各项维保工作完成及时性</w:t>
            </w:r>
          </w:p>
        </w:tc>
        <w:tc>
          <w:tcPr>
            <w:tcW w:w="1417" w:type="dxa"/>
            <w:tcBorders>
              <w:top w:val="nil"/>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根据实际情况及时完成</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市民中心综合管理质量</w:t>
            </w:r>
          </w:p>
        </w:tc>
        <w:tc>
          <w:tcPr>
            <w:tcW w:w="1417"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lang w:eastAsia="zh-CN"/>
              </w:rPr>
              <w:t>为服务全区市民建立瑶海新地标提供坚实的服务保障。</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vMerge w:val="restart"/>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项目总成本</w:t>
            </w:r>
          </w:p>
        </w:tc>
        <w:tc>
          <w:tcPr>
            <w:tcW w:w="1417" w:type="dxa"/>
            <w:vMerge w:val="restart"/>
            <w:tcBorders>
              <w:top w:val="nil"/>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≤预算数</w:t>
            </w:r>
          </w:p>
        </w:tc>
        <w:tc>
          <w:tcPr>
            <w:tcW w:w="1270" w:type="dxa"/>
            <w:vMerge w:val="restart"/>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vMerge w:val="restart"/>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不涉及</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环境</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为政务服务、卫生与计划服务、文化艺术服务提供良好的运营环境。</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节能</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推进瑶海市民中心节能环保工作，节约社会资源。</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bookmarkStart w:id="13" w:name="_GoBack"/>
            <w:bookmarkEnd w:id="13"/>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影响</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打造全省最优的商务政务服务环境。</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满意度</w:t>
            </w:r>
          </w:p>
        </w:tc>
        <w:tc>
          <w:tcPr>
            <w:tcW w:w="1417" w:type="dxa"/>
            <w:tcBorders>
              <w:top w:val="single" w:color="auto" w:sz="4" w:space="0"/>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服务对象满意度≥</w:t>
            </w:r>
            <w:r>
              <w:rPr>
                <w:rFonts w:hint="eastAsia" w:ascii="仿宋_GB2312" w:hAnsi="宋体" w:eastAsia="仿宋_GB2312"/>
                <w:color w:val="000000"/>
                <w:spacing w:val="-6"/>
                <w:kern w:val="0"/>
                <w:sz w:val="18"/>
                <w:szCs w:val="18"/>
                <w:lang w:val="en-US" w:eastAsia="zh-CN"/>
              </w:rPr>
              <w:t>98%</w:t>
            </w:r>
          </w:p>
        </w:tc>
        <w:tc>
          <w:tcPr>
            <w:tcW w:w="1270"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kern w:val="0"/>
                <w:sz w:val="18"/>
                <w:szCs w:val="18"/>
                <w:lang w:eastAsia="zh-CN"/>
              </w:rPr>
              <w:t>已完成</w:t>
            </w:r>
          </w:p>
        </w:tc>
        <w:tc>
          <w:tcPr>
            <w:tcW w:w="715" w:type="dxa"/>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642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b/>
                <w:color w:val="000000"/>
                <w:kern w:val="0"/>
                <w:szCs w:val="21"/>
              </w:rPr>
            </w:pPr>
            <w:r>
              <w:rPr>
                <w:rFonts w:hint="eastAsia" w:ascii="仿宋_GB2312" w:eastAsia="仿宋_GB2312"/>
                <w:b/>
                <w:color w:val="000000"/>
                <w:kern w:val="0"/>
                <w:szCs w:val="21"/>
              </w:rPr>
              <w:t>总  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default" w:eastAsia="仿宋_GB2312"/>
                <w:color w:val="000000"/>
                <w:spacing w:val="-6"/>
                <w:kern w:val="0"/>
                <w:sz w:val="18"/>
                <w:szCs w:val="18"/>
                <w:lang w:val="en-US" w:eastAsia="zh-CN"/>
              </w:rPr>
            </w:pPr>
            <w:r>
              <w:rPr>
                <w:rFonts w:hint="eastAsia" w:eastAsia="仿宋_GB2312"/>
                <w:color w:val="000000"/>
                <w:spacing w:val="-6"/>
                <w:kern w:val="0"/>
                <w:sz w:val="18"/>
                <w:szCs w:val="18"/>
                <w:lang w:val="en-US" w:eastAsia="zh-CN"/>
              </w:rPr>
              <w:t>100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24" w:type="dxa"/>
            <w:gridSpan w:val="10"/>
            <w:tcBorders>
              <w:top w:val="single" w:color="auto" w:sz="4" w:space="0"/>
              <w:left w:val="nil"/>
              <w:bottom w:val="nil"/>
              <w:right w:val="nil"/>
            </w:tcBorders>
          </w:tcPr>
          <w:p>
            <w:pPr>
              <w:spacing w:line="240" w:lineRule="exact"/>
              <w:rPr>
                <w:rFonts w:ascii="Times New Roman" w:hAnsi="Times New Roman" w:eastAsia="仿宋_GB2312"/>
                <w:bCs/>
                <w:sz w:val="18"/>
                <w:szCs w:val="18"/>
              </w:rPr>
            </w:pPr>
            <w:r>
              <w:rPr>
                <w:rFonts w:hint="eastAsia" w:ascii="Times New Roman" w:hAnsi="Times New Roman" w:eastAsia="仿宋_GB2312"/>
                <w:bCs/>
                <w:sz w:val="18"/>
                <w:szCs w:val="18"/>
              </w:rPr>
              <w:t>注：1.决策、过程两类指标统一设定三级指标、指标值和分值权重。</w:t>
            </w:r>
          </w:p>
          <w:p>
            <w:pPr>
              <w:spacing w:line="240" w:lineRule="exact"/>
              <w:ind w:firstLine="360" w:firstLineChars="200"/>
              <w:rPr>
                <w:rFonts w:ascii="Times New Roman" w:hAnsi="Times New Roman" w:eastAsia="仿宋_GB2312"/>
                <w:bCs/>
                <w:sz w:val="18"/>
                <w:szCs w:val="18"/>
              </w:rPr>
            </w:pPr>
            <w:r>
              <w:rPr>
                <w:rFonts w:hint="eastAsia" w:ascii="Times New Roman" w:hAnsi="Times New Roman" w:eastAsia="仿宋_GB2312"/>
                <w:bCs/>
                <w:sz w:val="18"/>
                <w:szCs w:val="18"/>
              </w:rPr>
              <w:t>2.产出、效益两类指标的三级指标和指标值按年初批复或追加项目时设定的具体绩效指标和指标值逐项填写（按程序调整绩效目标的</w:t>
            </w:r>
            <w:r>
              <w:rPr>
                <w:rFonts w:ascii="Times New Roman" w:hAnsi="Times New Roman" w:eastAsia="仿宋_GB2312"/>
                <w:bCs/>
                <w:sz w:val="18"/>
                <w:szCs w:val="18"/>
              </w:rPr>
              <w:t>250</w:t>
            </w:r>
            <w:r>
              <w:rPr>
                <w:rFonts w:hint="eastAsia" w:ascii="Times New Roman" w:hAnsi="Times New Roman" w:eastAsia="仿宋_GB2312"/>
                <w:bCs/>
                <w:sz w:val="18"/>
                <w:szCs w:val="18"/>
              </w:rPr>
              <w:t>个项目，以调整后的绩效目标填写），产出类指标三级指标分值权重、效益类指标二级指标</w:t>
            </w:r>
            <w:r>
              <w:rPr>
                <w:rFonts w:hint="eastAsia" w:eastAsia="仿宋_GB2312"/>
                <w:bCs/>
                <w:sz w:val="18"/>
                <w:szCs w:val="18"/>
              </w:rPr>
              <w:t>（满意度指标除外）</w:t>
            </w:r>
            <w:r>
              <w:rPr>
                <w:rFonts w:hint="eastAsia" w:ascii="Times New Roman" w:hAnsi="Times New Roman" w:eastAsia="仿宋_GB2312"/>
                <w:bCs/>
                <w:sz w:val="18"/>
                <w:szCs w:val="18"/>
              </w:rPr>
              <w:t>及三级指标分值权重，由单位根据实际情况合理设置。</w:t>
            </w:r>
          </w:p>
        </w:tc>
      </w:tr>
    </w:tbl>
    <w:p>
      <w:pPr>
        <w:jc w:val="left"/>
        <w:rPr>
          <w:rFonts w:ascii="Times New Roman" w:hAnsi="Times New Roman" w:eastAsia="黑体"/>
          <w:bCs/>
          <w:sz w:val="32"/>
          <w:szCs w:val="32"/>
        </w:rPr>
      </w:pPr>
    </w:p>
    <w:p>
      <w:pPr>
        <w:spacing w:line="400" w:lineRule="exact"/>
        <w:jc w:val="center"/>
        <w:rPr>
          <w:rFonts w:hint="eastAsia" w:ascii="方正小标宋简体" w:hAnsi="宋体" w:eastAsia="方正小标宋简体"/>
          <w:sz w:val="36"/>
          <w:szCs w:val="30"/>
        </w:rPr>
      </w:pPr>
    </w:p>
    <w:p>
      <w:pPr>
        <w:spacing w:line="400" w:lineRule="exact"/>
        <w:jc w:val="left"/>
        <w:rPr>
          <w:rFonts w:hint="eastAsia" w:ascii="方正小标宋简体" w:hAnsi="宋体" w:eastAsia="方正小标宋简体"/>
          <w:sz w:val="36"/>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A733A"/>
    <w:multiLevelType w:val="singleLevel"/>
    <w:tmpl w:val="5E8A733A"/>
    <w:lvl w:ilvl="0" w:tentative="0">
      <w:start w:val="2"/>
      <w:numFmt w:val="decimal"/>
      <w:lvlText w:val="%1."/>
      <w:lvlJc w:val="left"/>
      <w:pPr>
        <w:tabs>
          <w:tab w:val="left" w:pos="312"/>
        </w:tabs>
      </w:pPr>
    </w:lvl>
  </w:abstractNum>
  <w:abstractNum w:abstractNumId="1">
    <w:nsid w:val="6D6E9ECF"/>
    <w:multiLevelType w:val="singleLevel"/>
    <w:tmpl w:val="6D6E9EC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56"/>
    <w:rsid w:val="0000272A"/>
    <w:rsid w:val="000074DB"/>
    <w:rsid w:val="000215E7"/>
    <w:rsid w:val="00024B78"/>
    <w:rsid w:val="000333B7"/>
    <w:rsid w:val="000369D0"/>
    <w:rsid w:val="00045A25"/>
    <w:rsid w:val="00050B99"/>
    <w:rsid w:val="000521A2"/>
    <w:rsid w:val="00060E82"/>
    <w:rsid w:val="00071A73"/>
    <w:rsid w:val="00072ECF"/>
    <w:rsid w:val="00087AD9"/>
    <w:rsid w:val="000921B9"/>
    <w:rsid w:val="00094DDF"/>
    <w:rsid w:val="00096024"/>
    <w:rsid w:val="00096BEA"/>
    <w:rsid w:val="000A0BD2"/>
    <w:rsid w:val="000A2B01"/>
    <w:rsid w:val="000A3270"/>
    <w:rsid w:val="000B05BB"/>
    <w:rsid w:val="000B24DC"/>
    <w:rsid w:val="000C07BA"/>
    <w:rsid w:val="000C3815"/>
    <w:rsid w:val="000C3EFC"/>
    <w:rsid w:val="000C6717"/>
    <w:rsid w:val="000D56B4"/>
    <w:rsid w:val="000F77CE"/>
    <w:rsid w:val="001004CC"/>
    <w:rsid w:val="00100BCA"/>
    <w:rsid w:val="001018B2"/>
    <w:rsid w:val="00110A25"/>
    <w:rsid w:val="00111B1D"/>
    <w:rsid w:val="00125A14"/>
    <w:rsid w:val="00130D97"/>
    <w:rsid w:val="00136701"/>
    <w:rsid w:val="00136886"/>
    <w:rsid w:val="00150D36"/>
    <w:rsid w:val="001536B6"/>
    <w:rsid w:val="001620B3"/>
    <w:rsid w:val="00165688"/>
    <w:rsid w:val="00170D4C"/>
    <w:rsid w:val="001734CA"/>
    <w:rsid w:val="00174CDA"/>
    <w:rsid w:val="00181564"/>
    <w:rsid w:val="00181FC4"/>
    <w:rsid w:val="0019017C"/>
    <w:rsid w:val="00191913"/>
    <w:rsid w:val="00191969"/>
    <w:rsid w:val="00192156"/>
    <w:rsid w:val="00192ACC"/>
    <w:rsid w:val="001940C5"/>
    <w:rsid w:val="001A0A5F"/>
    <w:rsid w:val="001A0D99"/>
    <w:rsid w:val="001A3CC7"/>
    <w:rsid w:val="001A58CB"/>
    <w:rsid w:val="001A5C8B"/>
    <w:rsid w:val="001A694B"/>
    <w:rsid w:val="001C4318"/>
    <w:rsid w:val="001D1E4C"/>
    <w:rsid w:val="001D3226"/>
    <w:rsid w:val="001D4994"/>
    <w:rsid w:val="001D5615"/>
    <w:rsid w:val="001D6B55"/>
    <w:rsid w:val="001E02D9"/>
    <w:rsid w:val="001F1D49"/>
    <w:rsid w:val="001F43A9"/>
    <w:rsid w:val="00204E47"/>
    <w:rsid w:val="00220B48"/>
    <w:rsid w:val="00225F36"/>
    <w:rsid w:val="002366F3"/>
    <w:rsid w:val="00237881"/>
    <w:rsid w:val="002422EF"/>
    <w:rsid w:val="002604CF"/>
    <w:rsid w:val="00261501"/>
    <w:rsid w:val="002744D0"/>
    <w:rsid w:val="0029361A"/>
    <w:rsid w:val="002A178C"/>
    <w:rsid w:val="002A2144"/>
    <w:rsid w:val="002B369A"/>
    <w:rsid w:val="002B4F16"/>
    <w:rsid w:val="002C6460"/>
    <w:rsid w:val="002C668E"/>
    <w:rsid w:val="002C7793"/>
    <w:rsid w:val="002D275C"/>
    <w:rsid w:val="002D4264"/>
    <w:rsid w:val="002D42FC"/>
    <w:rsid w:val="002D706D"/>
    <w:rsid w:val="002E0890"/>
    <w:rsid w:val="002E0C00"/>
    <w:rsid w:val="002E385F"/>
    <w:rsid w:val="002E5523"/>
    <w:rsid w:val="002F127F"/>
    <w:rsid w:val="003035A5"/>
    <w:rsid w:val="003146B2"/>
    <w:rsid w:val="00315762"/>
    <w:rsid w:val="00320D45"/>
    <w:rsid w:val="00340B74"/>
    <w:rsid w:val="003531EE"/>
    <w:rsid w:val="00363B11"/>
    <w:rsid w:val="003675A0"/>
    <w:rsid w:val="003678D7"/>
    <w:rsid w:val="00371894"/>
    <w:rsid w:val="00371DFA"/>
    <w:rsid w:val="003856EB"/>
    <w:rsid w:val="00387B35"/>
    <w:rsid w:val="003901E3"/>
    <w:rsid w:val="00392656"/>
    <w:rsid w:val="003A49CC"/>
    <w:rsid w:val="003B02B9"/>
    <w:rsid w:val="003B756F"/>
    <w:rsid w:val="003C18CB"/>
    <w:rsid w:val="003C5226"/>
    <w:rsid w:val="003D2AE8"/>
    <w:rsid w:val="003D2CB7"/>
    <w:rsid w:val="003D485F"/>
    <w:rsid w:val="003E0F29"/>
    <w:rsid w:val="003E4174"/>
    <w:rsid w:val="003F4B38"/>
    <w:rsid w:val="003F6BFC"/>
    <w:rsid w:val="004076F9"/>
    <w:rsid w:val="00414837"/>
    <w:rsid w:val="00424B8B"/>
    <w:rsid w:val="00435926"/>
    <w:rsid w:val="004359DB"/>
    <w:rsid w:val="00440DEA"/>
    <w:rsid w:val="004419E1"/>
    <w:rsid w:val="0044342B"/>
    <w:rsid w:val="004454AB"/>
    <w:rsid w:val="00446658"/>
    <w:rsid w:val="0045354D"/>
    <w:rsid w:val="00454634"/>
    <w:rsid w:val="00454DAA"/>
    <w:rsid w:val="00472677"/>
    <w:rsid w:val="00485168"/>
    <w:rsid w:val="004856D4"/>
    <w:rsid w:val="00495C77"/>
    <w:rsid w:val="004973DF"/>
    <w:rsid w:val="004A0BD6"/>
    <w:rsid w:val="004A4078"/>
    <w:rsid w:val="004A4AF4"/>
    <w:rsid w:val="004A7640"/>
    <w:rsid w:val="004B1709"/>
    <w:rsid w:val="004B4FEE"/>
    <w:rsid w:val="004B5493"/>
    <w:rsid w:val="004D1ABC"/>
    <w:rsid w:val="004D40A5"/>
    <w:rsid w:val="004D6527"/>
    <w:rsid w:val="004E1C52"/>
    <w:rsid w:val="004E4A47"/>
    <w:rsid w:val="004E4C61"/>
    <w:rsid w:val="004F4190"/>
    <w:rsid w:val="0051355C"/>
    <w:rsid w:val="00515190"/>
    <w:rsid w:val="005171A0"/>
    <w:rsid w:val="00522049"/>
    <w:rsid w:val="005442AC"/>
    <w:rsid w:val="00553264"/>
    <w:rsid w:val="00557D02"/>
    <w:rsid w:val="00560F97"/>
    <w:rsid w:val="00564E0E"/>
    <w:rsid w:val="00570AB0"/>
    <w:rsid w:val="00571627"/>
    <w:rsid w:val="005772D9"/>
    <w:rsid w:val="005848DF"/>
    <w:rsid w:val="0058504B"/>
    <w:rsid w:val="00585324"/>
    <w:rsid w:val="00594322"/>
    <w:rsid w:val="005968DC"/>
    <w:rsid w:val="00597164"/>
    <w:rsid w:val="005A1497"/>
    <w:rsid w:val="005A3389"/>
    <w:rsid w:val="005A3705"/>
    <w:rsid w:val="005B6FBE"/>
    <w:rsid w:val="005C40B9"/>
    <w:rsid w:val="005C57DA"/>
    <w:rsid w:val="005D0437"/>
    <w:rsid w:val="005D2B08"/>
    <w:rsid w:val="005D654E"/>
    <w:rsid w:val="005D6859"/>
    <w:rsid w:val="005D68D6"/>
    <w:rsid w:val="005E125C"/>
    <w:rsid w:val="005E4262"/>
    <w:rsid w:val="005F3419"/>
    <w:rsid w:val="005F3CBA"/>
    <w:rsid w:val="006355FE"/>
    <w:rsid w:val="006437EA"/>
    <w:rsid w:val="00662F34"/>
    <w:rsid w:val="00663774"/>
    <w:rsid w:val="00677348"/>
    <w:rsid w:val="00677646"/>
    <w:rsid w:val="006831EE"/>
    <w:rsid w:val="00685395"/>
    <w:rsid w:val="006948E0"/>
    <w:rsid w:val="006965E7"/>
    <w:rsid w:val="00697520"/>
    <w:rsid w:val="006A14C4"/>
    <w:rsid w:val="006A3FD5"/>
    <w:rsid w:val="006A4236"/>
    <w:rsid w:val="006A45AC"/>
    <w:rsid w:val="006B3063"/>
    <w:rsid w:val="006B46ED"/>
    <w:rsid w:val="006B79CA"/>
    <w:rsid w:val="006B7B07"/>
    <w:rsid w:val="006C0B18"/>
    <w:rsid w:val="006C19E0"/>
    <w:rsid w:val="006C3746"/>
    <w:rsid w:val="006C4310"/>
    <w:rsid w:val="006D502B"/>
    <w:rsid w:val="006D7757"/>
    <w:rsid w:val="006E02E2"/>
    <w:rsid w:val="006E0AD0"/>
    <w:rsid w:val="006E26BC"/>
    <w:rsid w:val="006E4B18"/>
    <w:rsid w:val="006F22E5"/>
    <w:rsid w:val="006F51A9"/>
    <w:rsid w:val="006F58EC"/>
    <w:rsid w:val="006F695F"/>
    <w:rsid w:val="006F7CAD"/>
    <w:rsid w:val="007000CC"/>
    <w:rsid w:val="00701870"/>
    <w:rsid w:val="00722E7A"/>
    <w:rsid w:val="00735BB1"/>
    <w:rsid w:val="007402AB"/>
    <w:rsid w:val="0074108F"/>
    <w:rsid w:val="00752C25"/>
    <w:rsid w:val="00754E89"/>
    <w:rsid w:val="00761524"/>
    <w:rsid w:val="00761D96"/>
    <w:rsid w:val="00767873"/>
    <w:rsid w:val="00767FE9"/>
    <w:rsid w:val="00770481"/>
    <w:rsid w:val="007707B8"/>
    <w:rsid w:val="00776D2C"/>
    <w:rsid w:val="00780B10"/>
    <w:rsid w:val="0078356B"/>
    <w:rsid w:val="0079117B"/>
    <w:rsid w:val="0079327B"/>
    <w:rsid w:val="0079799B"/>
    <w:rsid w:val="007A06D9"/>
    <w:rsid w:val="007A090C"/>
    <w:rsid w:val="007A102C"/>
    <w:rsid w:val="007A32A4"/>
    <w:rsid w:val="007A45BF"/>
    <w:rsid w:val="007A5CDE"/>
    <w:rsid w:val="007A5E2F"/>
    <w:rsid w:val="007B23E7"/>
    <w:rsid w:val="007B4F28"/>
    <w:rsid w:val="007B718E"/>
    <w:rsid w:val="007C2C6A"/>
    <w:rsid w:val="007C3293"/>
    <w:rsid w:val="007C414E"/>
    <w:rsid w:val="007C7505"/>
    <w:rsid w:val="007C78D7"/>
    <w:rsid w:val="007D1928"/>
    <w:rsid w:val="007D54F8"/>
    <w:rsid w:val="007D78C2"/>
    <w:rsid w:val="007E2AE4"/>
    <w:rsid w:val="007E67F8"/>
    <w:rsid w:val="007E7F05"/>
    <w:rsid w:val="007F2134"/>
    <w:rsid w:val="007F2698"/>
    <w:rsid w:val="0080213C"/>
    <w:rsid w:val="008031B2"/>
    <w:rsid w:val="00806E3D"/>
    <w:rsid w:val="00807923"/>
    <w:rsid w:val="008134B8"/>
    <w:rsid w:val="008177FE"/>
    <w:rsid w:val="00820E94"/>
    <w:rsid w:val="00823B83"/>
    <w:rsid w:val="00824785"/>
    <w:rsid w:val="00832AB1"/>
    <w:rsid w:val="00835200"/>
    <w:rsid w:val="00835705"/>
    <w:rsid w:val="00842350"/>
    <w:rsid w:val="00845612"/>
    <w:rsid w:val="00856E3F"/>
    <w:rsid w:val="00857795"/>
    <w:rsid w:val="00867CFD"/>
    <w:rsid w:val="00873446"/>
    <w:rsid w:val="00876C69"/>
    <w:rsid w:val="00881C34"/>
    <w:rsid w:val="00881C4F"/>
    <w:rsid w:val="00890C89"/>
    <w:rsid w:val="008A0412"/>
    <w:rsid w:val="008A10FF"/>
    <w:rsid w:val="008A5F56"/>
    <w:rsid w:val="008B05BA"/>
    <w:rsid w:val="008B24DA"/>
    <w:rsid w:val="008B4B5B"/>
    <w:rsid w:val="008C59DC"/>
    <w:rsid w:val="008D28BC"/>
    <w:rsid w:val="008D5B68"/>
    <w:rsid w:val="008D7C61"/>
    <w:rsid w:val="008E1FE0"/>
    <w:rsid w:val="008E495C"/>
    <w:rsid w:val="008F48A2"/>
    <w:rsid w:val="009065BE"/>
    <w:rsid w:val="00907379"/>
    <w:rsid w:val="00907AA8"/>
    <w:rsid w:val="0091141A"/>
    <w:rsid w:val="0091165E"/>
    <w:rsid w:val="00911A94"/>
    <w:rsid w:val="009130CE"/>
    <w:rsid w:val="00924F87"/>
    <w:rsid w:val="00927967"/>
    <w:rsid w:val="00931F35"/>
    <w:rsid w:val="00932F06"/>
    <w:rsid w:val="00934E8E"/>
    <w:rsid w:val="00935C4C"/>
    <w:rsid w:val="00936045"/>
    <w:rsid w:val="0094070D"/>
    <w:rsid w:val="00944814"/>
    <w:rsid w:val="0094537C"/>
    <w:rsid w:val="00947C62"/>
    <w:rsid w:val="00951B0E"/>
    <w:rsid w:val="0095617D"/>
    <w:rsid w:val="00957C1C"/>
    <w:rsid w:val="00962DFE"/>
    <w:rsid w:val="0096782D"/>
    <w:rsid w:val="0097214E"/>
    <w:rsid w:val="00977AAC"/>
    <w:rsid w:val="00983B74"/>
    <w:rsid w:val="009861E0"/>
    <w:rsid w:val="009969DA"/>
    <w:rsid w:val="009A3615"/>
    <w:rsid w:val="009A365D"/>
    <w:rsid w:val="009A77F1"/>
    <w:rsid w:val="009B1385"/>
    <w:rsid w:val="009B1866"/>
    <w:rsid w:val="009C2658"/>
    <w:rsid w:val="009C27D3"/>
    <w:rsid w:val="009C3BD3"/>
    <w:rsid w:val="009C7648"/>
    <w:rsid w:val="009D4128"/>
    <w:rsid w:val="009D76CB"/>
    <w:rsid w:val="009F32A9"/>
    <w:rsid w:val="009F35ED"/>
    <w:rsid w:val="009F4C85"/>
    <w:rsid w:val="009F72A7"/>
    <w:rsid w:val="00A01EE0"/>
    <w:rsid w:val="00A06889"/>
    <w:rsid w:val="00A11B4B"/>
    <w:rsid w:val="00A11DD2"/>
    <w:rsid w:val="00A17ADE"/>
    <w:rsid w:val="00A20AEF"/>
    <w:rsid w:val="00A21E90"/>
    <w:rsid w:val="00A2377B"/>
    <w:rsid w:val="00A40563"/>
    <w:rsid w:val="00A42F87"/>
    <w:rsid w:val="00A54D46"/>
    <w:rsid w:val="00A62D7B"/>
    <w:rsid w:val="00A652B8"/>
    <w:rsid w:val="00A65E7A"/>
    <w:rsid w:val="00A72594"/>
    <w:rsid w:val="00A81393"/>
    <w:rsid w:val="00A843D0"/>
    <w:rsid w:val="00A913D5"/>
    <w:rsid w:val="00AB036A"/>
    <w:rsid w:val="00AB3763"/>
    <w:rsid w:val="00AD6367"/>
    <w:rsid w:val="00AE0561"/>
    <w:rsid w:val="00AE2143"/>
    <w:rsid w:val="00AE49CA"/>
    <w:rsid w:val="00AE6ADC"/>
    <w:rsid w:val="00AE7672"/>
    <w:rsid w:val="00AF7D29"/>
    <w:rsid w:val="00B042D2"/>
    <w:rsid w:val="00B052BA"/>
    <w:rsid w:val="00B14E30"/>
    <w:rsid w:val="00B161F6"/>
    <w:rsid w:val="00B21D9F"/>
    <w:rsid w:val="00B300D2"/>
    <w:rsid w:val="00B433D1"/>
    <w:rsid w:val="00B45278"/>
    <w:rsid w:val="00B5185E"/>
    <w:rsid w:val="00B607B6"/>
    <w:rsid w:val="00B666F5"/>
    <w:rsid w:val="00B734FE"/>
    <w:rsid w:val="00B76AC0"/>
    <w:rsid w:val="00B8253B"/>
    <w:rsid w:val="00B8783F"/>
    <w:rsid w:val="00B87C65"/>
    <w:rsid w:val="00B91337"/>
    <w:rsid w:val="00B97927"/>
    <w:rsid w:val="00B97CEE"/>
    <w:rsid w:val="00BA76C2"/>
    <w:rsid w:val="00BB1245"/>
    <w:rsid w:val="00BB298E"/>
    <w:rsid w:val="00BC18A2"/>
    <w:rsid w:val="00BC6CCB"/>
    <w:rsid w:val="00BC7AA8"/>
    <w:rsid w:val="00BD158F"/>
    <w:rsid w:val="00BD3423"/>
    <w:rsid w:val="00BD3BDF"/>
    <w:rsid w:val="00BD710A"/>
    <w:rsid w:val="00BE2410"/>
    <w:rsid w:val="00BE34E9"/>
    <w:rsid w:val="00BE483F"/>
    <w:rsid w:val="00BE7D69"/>
    <w:rsid w:val="00BF5A3E"/>
    <w:rsid w:val="00C01D7E"/>
    <w:rsid w:val="00C04BD1"/>
    <w:rsid w:val="00C06DCA"/>
    <w:rsid w:val="00C1163A"/>
    <w:rsid w:val="00C14858"/>
    <w:rsid w:val="00C17E10"/>
    <w:rsid w:val="00C25820"/>
    <w:rsid w:val="00C36AEA"/>
    <w:rsid w:val="00C50A56"/>
    <w:rsid w:val="00C64664"/>
    <w:rsid w:val="00C666BF"/>
    <w:rsid w:val="00C67850"/>
    <w:rsid w:val="00C7077F"/>
    <w:rsid w:val="00C81FD2"/>
    <w:rsid w:val="00C8454B"/>
    <w:rsid w:val="00C87B9F"/>
    <w:rsid w:val="00C9306D"/>
    <w:rsid w:val="00CB0E8B"/>
    <w:rsid w:val="00CB0FE6"/>
    <w:rsid w:val="00CB2CB4"/>
    <w:rsid w:val="00CB7AAF"/>
    <w:rsid w:val="00CC3CB9"/>
    <w:rsid w:val="00CD48DE"/>
    <w:rsid w:val="00CE385C"/>
    <w:rsid w:val="00CE57DC"/>
    <w:rsid w:val="00CE72E4"/>
    <w:rsid w:val="00CF414E"/>
    <w:rsid w:val="00CF645D"/>
    <w:rsid w:val="00D00BB2"/>
    <w:rsid w:val="00D01D8C"/>
    <w:rsid w:val="00D04DEB"/>
    <w:rsid w:val="00D058E5"/>
    <w:rsid w:val="00D1016B"/>
    <w:rsid w:val="00D131B6"/>
    <w:rsid w:val="00D13985"/>
    <w:rsid w:val="00D163A5"/>
    <w:rsid w:val="00D16413"/>
    <w:rsid w:val="00D204AE"/>
    <w:rsid w:val="00D24532"/>
    <w:rsid w:val="00D24BD9"/>
    <w:rsid w:val="00D355DA"/>
    <w:rsid w:val="00D41C31"/>
    <w:rsid w:val="00D4335B"/>
    <w:rsid w:val="00D462B4"/>
    <w:rsid w:val="00D468DD"/>
    <w:rsid w:val="00D471E3"/>
    <w:rsid w:val="00D47347"/>
    <w:rsid w:val="00D4775B"/>
    <w:rsid w:val="00D525E0"/>
    <w:rsid w:val="00D547F2"/>
    <w:rsid w:val="00D65E96"/>
    <w:rsid w:val="00D66E4B"/>
    <w:rsid w:val="00D67D38"/>
    <w:rsid w:val="00D71FA2"/>
    <w:rsid w:val="00D769DD"/>
    <w:rsid w:val="00D83E63"/>
    <w:rsid w:val="00D8556B"/>
    <w:rsid w:val="00D85EEF"/>
    <w:rsid w:val="00D86643"/>
    <w:rsid w:val="00D918E0"/>
    <w:rsid w:val="00D9492B"/>
    <w:rsid w:val="00D94C8F"/>
    <w:rsid w:val="00DA00B7"/>
    <w:rsid w:val="00DA0B12"/>
    <w:rsid w:val="00DA2DB4"/>
    <w:rsid w:val="00DA4411"/>
    <w:rsid w:val="00DA477A"/>
    <w:rsid w:val="00DA4CDC"/>
    <w:rsid w:val="00DB028F"/>
    <w:rsid w:val="00DC2FB6"/>
    <w:rsid w:val="00DD0389"/>
    <w:rsid w:val="00DD1FB9"/>
    <w:rsid w:val="00DE358A"/>
    <w:rsid w:val="00DF0606"/>
    <w:rsid w:val="00DF0A56"/>
    <w:rsid w:val="00DF2A89"/>
    <w:rsid w:val="00E03BEA"/>
    <w:rsid w:val="00E1797D"/>
    <w:rsid w:val="00E21407"/>
    <w:rsid w:val="00E21D70"/>
    <w:rsid w:val="00E24B64"/>
    <w:rsid w:val="00E360E7"/>
    <w:rsid w:val="00E43C5C"/>
    <w:rsid w:val="00E46AB6"/>
    <w:rsid w:val="00E54696"/>
    <w:rsid w:val="00E550F4"/>
    <w:rsid w:val="00E56F20"/>
    <w:rsid w:val="00E675BC"/>
    <w:rsid w:val="00E67788"/>
    <w:rsid w:val="00E72083"/>
    <w:rsid w:val="00E735AC"/>
    <w:rsid w:val="00E95998"/>
    <w:rsid w:val="00EA06A4"/>
    <w:rsid w:val="00EB77C9"/>
    <w:rsid w:val="00EC7E99"/>
    <w:rsid w:val="00ED5B06"/>
    <w:rsid w:val="00EE180A"/>
    <w:rsid w:val="00EE301D"/>
    <w:rsid w:val="00EE4D22"/>
    <w:rsid w:val="00EF78BC"/>
    <w:rsid w:val="00F031B3"/>
    <w:rsid w:val="00F068E0"/>
    <w:rsid w:val="00F11311"/>
    <w:rsid w:val="00F12AC9"/>
    <w:rsid w:val="00F168DE"/>
    <w:rsid w:val="00F16DF3"/>
    <w:rsid w:val="00F27FBA"/>
    <w:rsid w:val="00F42C4A"/>
    <w:rsid w:val="00F4495A"/>
    <w:rsid w:val="00F46070"/>
    <w:rsid w:val="00F47D94"/>
    <w:rsid w:val="00F53E48"/>
    <w:rsid w:val="00F61B60"/>
    <w:rsid w:val="00F62210"/>
    <w:rsid w:val="00F67DCF"/>
    <w:rsid w:val="00F835A3"/>
    <w:rsid w:val="00F8480F"/>
    <w:rsid w:val="00FA133C"/>
    <w:rsid w:val="00FA1C4B"/>
    <w:rsid w:val="00FB08F6"/>
    <w:rsid w:val="00FC23C7"/>
    <w:rsid w:val="00FC7560"/>
    <w:rsid w:val="00FD5131"/>
    <w:rsid w:val="00FD5EB9"/>
    <w:rsid w:val="00FE4D3A"/>
    <w:rsid w:val="00FE721E"/>
    <w:rsid w:val="00FF13A9"/>
    <w:rsid w:val="00FF1A73"/>
    <w:rsid w:val="00FF4300"/>
    <w:rsid w:val="0B3C6C87"/>
    <w:rsid w:val="19EC106F"/>
    <w:rsid w:val="32676692"/>
    <w:rsid w:val="32684131"/>
    <w:rsid w:val="45CE731E"/>
    <w:rsid w:val="47AC414A"/>
    <w:rsid w:val="47E84A1D"/>
    <w:rsid w:val="47F23114"/>
    <w:rsid w:val="5D1C4CF8"/>
    <w:rsid w:val="5F297546"/>
    <w:rsid w:val="5F453926"/>
    <w:rsid w:val="626B7651"/>
    <w:rsid w:val="63CB1F17"/>
    <w:rsid w:val="71AF3F47"/>
    <w:rsid w:val="7ECE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MS Gothic" w:cs="Times New Roman"/>
      <w:b/>
      <w:bCs/>
      <w:kern w:val="44"/>
      <w:sz w:val="44"/>
      <w:szCs w:val="44"/>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spacing w:line="560" w:lineRule="atLeast"/>
      <w:ind w:firstLine="567"/>
    </w:pPr>
    <w:rPr>
      <w:sz w:val="28"/>
    </w:rPr>
  </w:style>
  <w:style w:type="paragraph" w:styleId="4">
    <w:name w:val="Date"/>
    <w:basedOn w:val="1"/>
    <w:next w:val="1"/>
    <w:link w:val="24"/>
    <w:qFormat/>
    <w:uiPriority w:val="0"/>
    <w:pPr>
      <w:ind w:left="100" w:leftChars="2500"/>
    </w:pPr>
    <w:rPr>
      <w:rFonts w:ascii="Times New Roman" w:hAnsi="Times New Roman" w:eastAsia="宋体" w:cs="Times New Roman"/>
      <w:szCs w:val="24"/>
    </w:rPr>
  </w:style>
  <w:style w:type="paragraph" w:styleId="5">
    <w:name w:val="Balloon Text"/>
    <w:basedOn w:val="1"/>
    <w:link w:val="23"/>
    <w:unhideWhenUsed/>
    <w:qFormat/>
    <w:uiPriority w:val="99"/>
    <w:rPr>
      <w:rFonts w:ascii="Times New Roman" w:hAnsi="Times New Roman" w:eastAsia="宋体" w:cs="Times New Roman"/>
      <w:sz w:val="18"/>
      <w:szCs w:val="18"/>
      <w:lang w:val="zh-CN" w:eastAsia="zh-CN"/>
    </w:rPr>
  </w:style>
  <w:style w:type="paragraph" w:styleId="6">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pPr>
      <w:tabs>
        <w:tab w:val="right" w:leader="dot" w:pos="9135"/>
      </w:tabs>
      <w:spacing w:line="480" w:lineRule="auto"/>
      <w:ind w:left="105" w:leftChars="50"/>
      <w:jc w:val="center"/>
    </w:pPr>
    <w:rPr>
      <w:rFonts w:ascii="黑体" w:hAnsi="宋体" w:eastAsia="黑体" w:cs="宋体"/>
      <w:color w:val="000000"/>
      <w:kern w:val="0"/>
      <w:sz w:val="32"/>
      <w:szCs w:val="32"/>
    </w:rPr>
  </w:style>
  <w:style w:type="paragraph" w:styleId="9">
    <w:name w:val="Title"/>
    <w:basedOn w:val="1"/>
    <w:next w:val="1"/>
    <w:qFormat/>
    <w:uiPriority w:val="0"/>
    <w:pPr>
      <w:spacing w:before="240" w:after="60"/>
      <w:jc w:val="center"/>
      <w:outlineLvl w:val="0"/>
    </w:pPr>
    <w:rPr>
      <w:rFonts w:ascii="Cambria" w:hAnsi="Cambria"/>
      <w:b/>
      <w:bCs/>
      <w:kern w:val="28"/>
      <w:szCs w:val="32"/>
    </w:rPr>
  </w:style>
  <w:style w:type="table" w:styleId="11">
    <w:name w:val="Table Grid"/>
    <w:basedOn w:val="1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标题 1 Char"/>
    <w:basedOn w:val="12"/>
    <w:link w:val="2"/>
    <w:qFormat/>
    <w:uiPriority w:val="0"/>
    <w:rPr>
      <w:rFonts w:ascii="Times New Roman" w:hAnsi="Times New Roman" w:eastAsia="MS Gothic" w:cs="Times New Roman"/>
      <w:b/>
      <w:bCs/>
      <w:kern w:val="44"/>
      <w:sz w:val="44"/>
      <w:szCs w:val="44"/>
      <w:lang w:val="zh-CN" w:eastAsia="zh-CN"/>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页眉 Char"/>
    <w:basedOn w:val="12"/>
    <w:link w:val="7"/>
    <w:qFormat/>
    <w:uiPriority w:val="0"/>
    <w:rPr>
      <w:rFonts w:ascii="Times New Roman" w:hAnsi="Times New Roman" w:eastAsia="宋体" w:cs="Times New Roman"/>
      <w:sz w:val="18"/>
      <w:szCs w:val="18"/>
    </w:rPr>
  </w:style>
  <w:style w:type="character" w:customStyle="1" w:styleId="18">
    <w:name w:val="页脚 Char Char"/>
    <w:qFormat/>
    <w:uiPriority w:val="0"/>
    <w:rPr>
      <w:rFonts w:ascii="Times New Roman" w:hAnsi="Times New Roman" w:eastAsia="宋体" w:cs="Times New Roman"/>
      <w:sz w:val="18"/>
      <w:szCs w:val="18"/>
    </w:rPr>
  </w:style>
  <w:style w:type="character" w:customStyle="1" w:styleId="19">
    <w:name w:val="正文缩进 Char"/>
    <w:link w:val="3"/>
    <w:qFormat/>
    <w:uiPriority w:val="0"/>
    <w:rPr>
      <w:sz w:val="28"/>
    </w:rPr>
  </w:style>
  <w:style w:type="character" w:customStyle="1" w:styleId="20">
    <w:name w:val="正文啊 Char Char"/>
    <w:link w:val="21"/>
    <w:qFormat/>
    <w:uiPriority w:val="0"/>
    <w:rPr>
      <w:rFonts w:ascii="仿宋_GB2312" w:hAnsi="宋体" w:eastAsia="仿宋_GB2312"/>
      <w:bCs/>
      <w:sz w:val="30"/>
      <w:szCs w:val="30"/>
    </w:rPr>
  </w:style>
  <w:style w:type="paragraph" w:customStyle="1" w:styleId="21">
    <w:name w:val="正文啊"/>
    <w:basedOn w:val="1"/>
    <w:link w:val="20"/>
    <w:qFormat/>
    <w:uiPriority w:val="0"/>
    <w:pPr>
      <w:spacing w:line="560" w:lineRule="exact"/>
      <w:ind w:firstLine="600" w:firstLineChars="200"/>
    </w:pPr>
    <w:rPr>
      <w:rFonts w:ascii="仿宋_GB2312" w:hAnsi="宋体" w:eastAsia="仿宋_GB2312"/>
      <w:bCs/>
      <w:sz w:val="30"/>
      <w:szCs w:val="30"/>
    </w:rPr>
  </w:style>
  <w:style w:type="paragraph" w:customStyle="1" w:styleId="22">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character" w:customStyle="1" w:styleId="23">
    <w:name w:val="批注框文本 Char"/>
    <w:basedOn w:val="12"/>
    <w:link w:val="5"/>
    <w:qFormat/>
    <w:uiPriority w:val="99"/>
    <w:rPr>
      <w:rFonts w:ascii="Times New Roman" w:hAnsi="Times New Roman" w:eastAsia="宋体" w:cs="Times New Roman"/>
      <w:sz w:val="18"/>
      <w:szCs w:val="18"/>
      <w:lang w:val="zh-CN" w:eastAsia="zh-CN"/>
    </w:rPr>
  </w:style>
  <w:style w:type="character" w:customStyle="1" w:styleId="24">
    <w:name w:val="日期 Char"/>
    <w:basedOn w:val="12"/>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620</Words>
  <Characters>3534</Characters>
  <Lines>29</Lines>
  <Paragraphs>8</Paragraphs>
  <TotalTime>1</TotalTime>
  <ScaleCrop>false</ScaleCrop>
  <LinksUpToDate>false</LinksUpToDate>
  <CharactersWithSpaces>4146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2020-12-28T07:20:00Z</dcterms:created>
  <dc:creator>王焱</dc:creator>
  <cp:lastModifiedBy>抖抖擞擞小蘑菇</cp:lastModifiedBy>
  <cp:lastPrinted>2020-12-28T07:38:00Z</cp:lastPrinted>
  <dcterms:modified xsi:type="dcterms:W3CDTF">2021-02-24T06:49:46Z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