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仿宋_GB2312" w:cs="Times New Roman"/>
          <w:color w:val="FF0000"/>
          <w:sz w:val="32"/>
          <w:szCs w:val="24"/>
        </w:rPr>
      </w:pPr>
      <w:bookmarkStart w:id="0" w:name="_Toc26971052"/>
      <w:r>
        <w:rPr>
          <w:rFonts w:ascii="Times New Roman" w:hAnsi="Times New Roman" w:eastAsia="仿宋_GB2312" w:cs="Times New Roman"/>
          <w:color w:val="FF0000"/>
          <w:sz w:val="32"/>
          <w:szCs w:val="24"/>
        </w:rPr>
        <w:pict>
          <v:shape id="_x0000_i1025" o:spt="136" alt="合肥市瑶海区人民政府文件" type="#_x0000_t136" style="height:89.25pt;width:441.9pt;" fillcolor="#FF0000" filled="t" stroked="t" coordsize="21600,21600">
            <v:path/>
            <v:fill on="t" focussize="0,0"/>
            <v:stroke color="#FF0000"/>
            <v:imagedata o:title=""/>
            <o:lock v:ext="edit"/>
            <v:textpath on="t" fitshape="t" fitpath="t" trim="t" xscale="f" string="合肥市瑶海区人民政府文件" style="font-family:方正小标宋简体;font-size:54pt;v-rotate-letters:f;v-same-letter-heights:f;v-text-align:center;"/>
            <w10:wrap type="none"/>
            <w10:anchorlock/>
          </v:shape>
        </w:pict>
      </w:r>
    </w:p>
    <w:p>
      <w:pPr>
        <w:spacing w:line="560" w:lineRule="exact"/>
        <w:jc w:val="center"/>
        <w:rPr>
          <w:rFonts w:ascii="Times New Roman" w:hAnsi="Times New Roman" w:eastAsia="仿宋_GB2312" w:cs="Times New Roman"/>
          <w:color w:val="FF0000"/>
          <w:sz w:val="32"/>
          <w:szCs w:val="24"/>
        </w:rPr>
      </w:pPr>
    </w:p>
    <w:p>
      <w:pPr>
        <w:spacing w:line="560" w:lineRule="exact"/>
        <w:jc w:val="center"/>
        <w:rPr>
          <w:rFonts w:hint="eastAsia" w:ascii="Times New Roman" w:hAnsi="Times New Roman" w:eastAsia="仿宋_GB2312" w:cs="Times New Roman"/>
          <w:color w:val="FF0000"/>
          <w:sz w:val="32"/>
          <w:szCs w:val="24"/>
        </w:rPr>
      </w:pPr>
    </w:p>
    <w:p>
      <w:pPr>
        <w:spacing w:line="560" w:lineRule="exact"/>
        <w:jc w:val="center"/>
        <w:rPr>
          <w:rFonts w:hint="eastAsia" w:ascii="仿宋_GB2312" w:hAnsi="仿宋_GB2312" w:eastAsia="仿宋_GB2312" w:cs="仿宋_GB2312"/>
          <w:sz w:val="32"/>
          <w:szCs w:val="24"/>
        </w:rPr>
      </w:pPr>
      <w:bookmarkStart w:id="1" w:name="sendDocNum"/>
      <w:r>
        <w:rPr>
          <w:rFonts w:hint="eastAsia" w:ascii="仿宋_GB2312" w:hAnsi="仿宋_GB2312" w:eastAsia="仿宋_GB2312" w:cs="仿宋_GB2312"/>
          <w:sz w:val="32"/>
          <w:szCs w:val="24"/>
        </w:rPr>
        <w:t>瑶政〔2021〕12号</w:t>
      </w:r>
      <w:bookmarkEnd w:id="1"/>
    </w:p>
    <w:p>
      <w:pPr>
        <w:spacing w:line="560" w:lineRule="exact"/>
        <w:jc w:val="center"/>
        <w:rPr>
          <w:rFonts w:ascii="Times New Roman" w:hAnsi="Times New Roman" w:eastAsia="仿宋_GB2312" w:cs="Times New Roman"/>
          <w:color w:val="FF0000"/>
          <w:sz w:val="32"/>
          <w:szCs w:val="24"/>
        </w:rPr>
      </w:pPr>
      <w:r>
        <w:rPr>
          <w:rFonts w:ascii="Times New Roman" w:hAnsi="Times New Roman" w:eastAsia="仿宋_GB2312" w:cs="Times New Roman"/>
          <w:sz w:val="32"/>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295275</wp:posOffset>
                </wp:positionV>
                <wp:extent cx="5829300" cy="0"/>
                <wp:effectExtent l="0" t="19050" r="0" b="19050"/>
                <wp:wrapNone/>
                <wp:docPr id="5" name="直接连接符 5"/>
                <wp:cNvGraphicFramePr/>
                <a:graphic xmlns:a="http://schemas.openxmlformats.org/drawingml/2006/main">
                  <a:graphicData uri="http://schemas.microsoft.com/office/word/2010/wordprocessingShape">
                    <wps:wsp>
                      <wps:cNvCnPr/>
                      <wps:spPr>
                        <a:xfrm>
                          <a:off x="0" y="0"/>
                          <a:ext cx="5829300" cy="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3.25pt;height:0pt;width:459pt;z-index:251659264;mso-width-relative:page;mso-height-relative:page;" filled="f" stroked="t" coordsize="21600,21600" o:gfxdata="UEsDBAoAAAAAAIdO4kAAAAAAAAAAAAAAAAAEAAAAZHJzL1BLAwQUAAAACACHTuJA99UJeNgAAAAG&#10;AQAADwAAAGRycy9kb3ducmV2LnhtbE2PQUvDQBCF74L/YRnBi9hNxJaaZlNEEGt7sEZBettmxyQ0&#10;Oxt3N2399x3xoMf33vDeN/n8aDuxRx9aRwrSUQICqXKmpVrB+9vj9RREiJqM7hyhgm8MMC/Oz3Kd&#10;GXegV9yXsRZcQiHTCpoY+0zKUDVodRi5HomzT+etjix9LY3XBy63nbxJkom0uiVeaHSPDw1Wu3Kw&#10;CuyLvZeb1dNQ+vXz8uNrtVjvrhZKXV6kyQxExGP8O4YffEaHgpm2biATRKeAH4kKbidjEJzepVM2&#10;tr+GLHL5H784AVBLAwQUAAAACACHTuJAFvqRe/cBAADlAwAADgAAAGRycy9lMm9Eb2MueG1srVPN&#10;jtMwEL4j8Q6W7zRpV0UlarqHLeWCYCXgAaaOk1jynzxu074EL4DEDU4cufM2LI/B2Ol2Ybn0QA7O&#10;2DP+Zr5vxsvrg9FsLwMqZ2s+nZScSStco2xX8w/vN88WnGEE24B2Vtb8KJFfr54+WQ6+kjPXO93I&#10;wAjEYjX4mvcx+qooUPTSAE6cl5acrQsGIm1DVzQBBkI3upiV5fNicKHxwQmJSKfr0clPiOESQNe2&#10;Ssi1EzsjbRxRg9QQiRL2yiNf5WrbVor4tm1RRqZrTkxjXikJ2du0FqslVF0A3ytxKgEuKeERJwPK&#10;UtIz1BoisF1Q/0AZJYJD18aJcKYYiWRFiMW0fKTNux68zFxIavRn0fH/wYo3+9vAVFPzOWcWDDX8&#10;7tP3nx+//Prxmda7b1/ZPIk0eKwo9sbehtMO/W1IjA9tMOlPXNghC3s8CysPkQk6nC9mL65K0lzc&#10;+4qHiz5gfCWdYcmouVY2cYYK9q8xUjIKvQ9Jx9qyoeZXi2nGA5rAljpP0MYTC7RdvoxOq2ajtE5X&#10;MHTbGx3YHmgKNpuSvsSJgP8KS1nWgP0Yl13jfPQSmpe2YfHoSR9Lz4KnGoxsONOSXlGyCBCqCEpf&#10;EkmptaUKkqyjkMnauuZI3dj5oLqepJjmKpOHup/rPU1qGq8/9xnp4XWu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31Ql42AAAAAYBAAAPAAAAAAAAAAEAIAAAACIAAABkcnMvZG93bnJldi54bWxQ&#10;SwECFAAUAAAACACHTuJAFvqRe/cBAADlAwAADgAAAAAAAAABACAAAAAnAQAAZHJzL2Uyb0RvYy54&#10;bWxQSwUGAAAAAAYABgBZAQAAkAUAAAAA&#10;">
                <v:fill on="f" focussize="0,0"/>
                <v:stroke weight="3pt" color="#FF0000" joinstyle="round"/>
                <v:imagedata o:title=""/>
                <o:lock v:ext="edit" aspectratio="f"/>
              </v:line>
            </w:pict>
          </mc:Fallback>
        </mc:AlternateContent>
      </w:r>
    </w:p>
    <w:p>
      <w:pPr>
        <w:spacing w:line="600" w:lineRule="exact"/>
        <w:jc w:val="center"/>
        <w:rPr>
          <w:rFonts w:ascii="Times New Roman" w:hAnsi="Times New Roman" w:eastAsia="仿宋_GB2312" w:cs="Times New Roman"/>
          <w:sz w:val="32"/>
          <w:szCs w:val="24"/>
        </w:rPr>
      </w:pPr>
    </w:p>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合肥市瑶海区人民政府关于印发</w:t>
      </w:r>
    </w:p>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合肥市瑶海区国民经济和社会发展第十四个</w:t>
      </w:r>
    </w:p>
    <w:p>
      <w:pPr>
        <w:spacing w:line="560" w:lineRule="exact"/>
        <w:jc w:val="center"/>
        <w:rPr>
          <w:rFonts w:ascii="Times New Roman" w:hAnsi="Times New Roman" w:eastAsia="仿宋_GB2312" w:cs="Times New Roman"/>
          <w:color w:val="000000"/>
          <w:sz w:val="32"/>
          <w:szCs w:val="32"/>
        </w:rPr>
      </w:pPr>
      <w:r>
        <w:rPr>
          <w:rFonts w:hint="eastAsia" w:ascii="方正小标宋简体" w:hAnsi="方正小标宋简体" w:eastAsia="方正小标宋简体" w:cs="方正小标宋简体"/>
          <w:sz w:val="44"/>
          <w:szCs w:val="44"/>
        </w:rPr>
        <w:t>五年规划和2035年远景目标纲要的通知</w:t>
      </w:r>
    </w:p>
    <w:p>
      <w:pPr>
        <w:spacing w:line="560" w:lineRule="exact"/>
        <w:rPr>
          <w:rFonts w:hint="eastAsia" w:ascii="Times New Roman" w:hAnsi="Times New Roman" w:eastAsia="仿宋_GB2312" w:cs="Times New Roman"/>
          <w:color w:val="000000"/>
          <w:sz w:val="32"/>
          <w:szCs w:val="32"/>
        </w:rPr>
      </w:pPr>
    </w:p>
    <w:p>
      <w:pPr>
        <w:spacing w:line="560" w:lineRule="exact"/>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合肥东部新中心建设管理办公室，各镇街开发区、区直各单位、驻区有关单位：</w:t>
      </w:r>
    </w:p>
    <w:p>
      <w:pPr>
        <w:spacing w:line="560" w:lineRule="exact"/>
        <w:ind w:firstLine="640" w:firstLineChars="200"/>
        <w:rPr>
          <w:rFonts w:hint="eastAsia" w:ascii="方正小标宋简体" w:hAnsi="方正小标宋简体" w:eastAsia="方正小标宋简体" w:cs="方正小标宋简体"/>
          <w:sz w:val="44"/>
          <w:szCs w:val="44"/>
        </w:rPr>
      </w:pPr>
      <w:r>
        <w:rPr>
          <w:rFonts w:hint="eastAsia" w:ascii="Times New Roman" w:hAnsi="Times New Roman" w:eastAsia="仿宋_GB2312" w:cs="Times New Roman"/>
          <w:color w:val="000000"/>
          <w:sz w:val="32"/>
          <w:szCs w:val="32"/>
        </w:rPr>
        <w:t>《合肥市瑶海区国民经济和社会发展第十四个五年规划和2035年远景目标纲要》已经区第四届人民代表大会第五次会议审议批准，现印发给你们，请认真组织实施。</w:t>
      </w:r>
    </w:p>
    <w:p>
      <w:pPr>
        <w:adjustRightInd w:val="0"/>
        <w:snapToGrid w:val="0"/>
        <w:spacing w:line="560" w:lineRule="exact"/>
        <w:ind w:right="160"/>
        <w:jc w:val="center"/>
        <w:rPr>
          <w:rFonts w:hint="eastAsia" w:ascii="仿宋_GB2312" w:hAnsi="Times New Roman" w:eastAsia="仿宋_GB2312" w:cs="Times New Roman"/>
          <w:sz w:val="32"/>
          <w:szCs w:val="32"/>
        </w:rPr>
      </w:pPr>
    </w:p>
    <w:p>
      <w:pPr>
        <w:widowControl w:val="0"/>
        <w:snapToGrid w:val="0"/>
        <w:spacing w:line="560" w:lineRule="exact"/>
        <w:jc w:val="left"/>
        <w:rPr>
          <w:rFonts w:hint="eastAsia" w:ascii="仿宋_GB2312" w:hAnsi="Times New Roman" w:eastAsia="仿宋_GB2312" w:cs="Times New Roman"/>
          <w:kern w:val="2"/>
          <w:sz w:val="32"/>
          <w:szCs w:val="32"/>
          <w:lang w:val="en-US" w:eastAsia="zh-CN" w:bidi="ar-SA"/>
        </w:rPr>
      </w:pPr>
    </w:p>
    <w:p>
      <w:pPr>
        <w:widowControl w:val="0"/>
        <w:snapToGrid w:val="0"/>
        <w:spacing w:line="560" w:lineRule="exact"/>
        <w:jc w:val="center"/>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xml:space="preserve">                           合肥市瑶海区人民政府</w:t>
      </w:r>
    </w:p>
    <w:p>
      <w:pPr>
        <w:widowControl w:val="0"/>
        <w:snapToGrid w:val="0"/>
        <w:spacing w:line="560" w:lineRule="exact"/>
        <w:jc w:val="center"/>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xml:space="preserve">                           2021年8月16日</w:t>
      </w:r>
    </w:p>
    <w:p>
      <w:pPr>
        <w:adjustRightInd w:val="0"/>
        <w:snapToGrid w:val="0"/>
        <w:spacing w:line="560" w:lineRule="exact"/>
        <w:ind w:right="160"/>
        <w:jc w:val="center"/>
        <w:rPr>
          <w:rFonts w:hint="eastAsia" w:ascii="仿宋_GB2312"/>
          <w:szCs w:val="32"/>
        </w:rPr>
        <w:sectPr>
          <w:footerReference r:id="rId3" w:type="default"/>
          <w:pgSz w:w="11906" w:h="16838"/>
          <w:pgMar w:top="1984" w:right="1417" w:bottom="1757" w:left="1417" w:header="851" w:footer="992" w:gutter="0"/>
          <w:pgNumType w:fmt="numberInDash"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1044" w:firstLineChars="200"/>
        <w:jc w:val="both"/>
        <w:textAlignment w:val="auto"/>
        <w:rPr>
          <w:rFonts w:hint="default" w:ascii="Times New Roman" w:hAnsi="Times New Roman" w:cs="Times New Roman" w:eastAsiaTheme="minorEastAsia"/>
          <w:b/>
          <w:bCs/>
          <w:sz w:val="52"/>
          <w:szCs w:val="52"/>
          <w:lang w:val="en-US" w:eastAsia="zh-CN"/>
        </w:rPr>
        <w:sectPr>
          <w:footerReference r:id="rId4" w:type="default"/>
          <w:pgSz w:w="11906" w:h="16838"/>
          <w:pgMar w:top="1984" w:right="1417" w:bottom="1757" w:left="1417" w:header="851" w:footer="992" w:gutter="0"/>
          <w:pgNumType w:fmt="decimal" w:start="1"/>
          <w:cols w:space="425" w:num="1"/>
          <w:docGrid w:type="lines" w:linePitch="312" w:charSpace="0"/>
        </w:sectPr>
      </w:pPr>
      <w:bookmarkStart w:id="220" w:name="_GoBack"/>
      <w:bookmarkEnd w:id="220"/>
    </w:p>
    <w:p>
      <w:pPr>
        <w:keepNext w:val="0"/>
        <w:keepLines w:val="0"/>
        <w:pageBreakBefore w:val="0"/>
        <w:widowControl w:val="0"/>
        <w:kinsoku/>
        <w:wordWrap/>
        <w:overflowPunct/>
        <w:topLinePunct w:val="0"/>
        <w:autoSpaceDE/>
        <w:autoSpaceDN/>
        <w:bidi w:val="0"/>
        <w:adjustRightInd/>
        <w:snapToGrid/>
        <w:spacing w:line="560" w:lineRule="exact"/>
        <w:ind w:firstLine="1044" w:firstLineChars="200"/>
        <w:jc w:val="both"/>
        <w:textAlignment w:val="auto"/>
        <w:rPr>
          <w:rFonts w:hint="default" w:ascii="Times New Roman" w:hAnsi="Times New Roman" w:cs="Times New Roman" w:eastAsiaTheme="minorEastAsia"/>
          <w:b/>
          <w:bCs/>
          <w:sz w:val="52"/>
          <w:szCs w:val="52"/>
          <w:lang w:val="en-US" w:eastAsia="zh-CN"/>
        </w:rPr>
      </w:pPr>
    </w:p>
    <w:p>
      <w:pPr>
        <w:pStyle w:val="7"/>
        <w:rPr>
          <w:rFonts w:hint="default" w:ascii="Times New Roman" w:hAnsi="Times New Roman" w:cs="Times New Roman"/>
          <w:lang w:val="en-US" w:eastAsia="zh-CN"/>
        </w:rPr>
      </w:pPr>
    </w:p>
    <w:p>
      <w:pPr>
        <w:snapToGrid w:val="0"/>
        <w:spacing w:line="1000" w:lineRule="exact"/>
        <w:jc w:val="center"/>
        <w:rPr>
          <w:rFonts w:hint="default" w:ascii="Times New Roman" w:hAnsi="Times New Roman" w:eastAsia="方正小标宋简体" w:cs="Times New Roman"/>
          <w:bCs/>
          <w:color w:val="000000"/>
          <w:sz w:val="60"/>
          <w:szCs w:val="60"/>
          <w:lang w:val="en-US" w:eastAsia="zh-CN"/>
        </w:rPr>
      </w:pPr>
      <w:r>
        <w:rPr>
          <w:rFonts w:hint="eastAsia" w:ascii="Times New Roman" w:hAnsi="Times New Roman" w:eastAsia="方正小标宋简体" w:cs="Times New Roman"/>
          <w:bCs/>
          <w:color w:val="000000"/>
          <w:sz w:val="60"/>
          <w:szCs w:val="60"/>
          <w:lang w:val="en-US" w:eastAsia="zh-CN"/>
        </w:rPr>
        <w:t>合肥市</w:t>
      </w:r>
      <w:r>
        <w:rPr>
          <w:rFonts w:hint="default" w:ascii="Times New Roman" w:hAnsi="Times New Roman" w:eastAsia="方正小标宋简体" w:cs="Times New Roman"/>
          <w:bCs/>
          <w:color w:val="000000"/>
          <w:sz w:val="60"/>
          <w:szCs w:val="60"/>
          <w:lang w:val="en-US" w:eastAsia="zh-CN"/>
        </w:rPr>
        <w:t>瑶海区国民经济和社会发展</w:t>
      </w:r>
    </w:p>
    <w:p>
      <w:pPr>
        <w:snapToGrid w:val="0"/>
        <w:spacing w:line="1000" w:lineRule="exact"/>
        <w:jc w:val="center"/>
        <w:rPr>
          <w:rFonts w:hint="default" w:ascii="Times New Roman" w:hAnsi="Times New Roman" w:eastAsia="方正小标宋简体" w:cs="Times New Roman"/>
          <w:bCs/>
          <w:color w:val="000000"/>
          <w:sz w:val="60"/>
          <w:szCs w:val="60"/>
          <w:lang w:val="en-US" w:eastAsia="zh-CN"/>
        </w:rPr>
      </w:pPr>
      <w:r>
        <w:rPr>
          <w:rFonts w:hint="default" w:ascii="Times New Roman" w:hAnsi="Times New Roman" w:eastAsia="方正小标宋简体" w:cs="Times New Roman"/>
          <w:bCs/>
          <w:color w:val="000000"/>
          <w:sz w:val="60"/>
          <w:szCs w:val="60"/>
          <w:lang w:val="en-US" w:eastAsia="zh-CN"/>
        </w:rPr>
        <w:t>第十四个五年规划和2035年</w:t>
      </w:r>
    </w:p>
    <w:p>
      <w:pPr>
        <w:snapToGrid w:val="0"/>
        <w:spacing w:line="1000" w:lineRule="exact"/>
        <w:jc w:val="center"/>
        <w:rPr>
          <w:rFonts w:hint="default" w:ascii="Times New Roman" w:hAnsi="Times New Roman" w:eastAsia="方正小标宋简体" w:cs="Times New Roman"/>
          <w:bCs/>
          <w:color w:val="000000"/>
          <w:sz w:val="60"/>
          <w:szCs w:val="60"/>
          <w:lang w:val="en-US" w:eastAsia="zh-CN"/>
        </w:rPr>
      </w:pPr>
      <w:r>
        <w:rPr>
          <w:rFonts w:hint="default" w:ascii="Times New Roman" w:hAnsi="Times New Roman" w:eastAsia="方正小标宋简体" w:cs="Times New Roman"/>
          <w:bCs/>
          <w:color w:val="000000"/>
          <w:sz w:val="60"/>
          <w:szCs w:val="60"/>
          <w:lang w:val="en-US" w:eastAsia="zh-CN"/>
        </w:rPr>
        <w:t>远景目标纲要</w:t>
      </w:r>
    </w:p>
    <w:p>
      <w:pPr>
        <w:spacing w:line="700" w:lineRule="exact"/>
        <w:jc w:val="center"/>
        <w:textAlignment w:val="center"/>
        <w:rPr>
          <w:rFonts w:hint="default" w:ascii="Times New Roman" w:hAnsi="Times New Roman" w:eastAsia="楷体_GB2312" w:cs="Times New Roman"/>
          <w:i w:val="0"/>
          <w:iCs w:val="0"/>
          <w:caps w:val="0"/>
          <w:color w:val="333333"/>
          <w:spacing w:val="8"/>
          <w:sz w:val="32"/>
          <w:szCs w:val="32"/>
          <w:shd w:val="clear" w:fill="FFFFFF"/>
          <w:lang w:val="en-US" w:eastAsia="zh-CN"/>
        </w:rPr>
      </w:pPr>
      <w:r>
        <w:rPr>
          <w:rFonts w:hint="default" w:ascii="Times New Roman" w:hAnsi="Times New Roman" w:eastAsia="楷体_GB2312" w:cs="Times New Roman"/>
          <w:i w:val="0"/>
          <w:iCs w:val="0"/>
          <w:caps w:val="0"/>
          <w:color w:val="333333"/>
          <w:spacing w:val="8"/>
          <w:sz w:val="32"/>
          <w:szCs w:val="32"/>
          <w:highlight w:val="none"/>
          <w:shd w:val="clear" w:fill="FFFFFF"/>
          <w:lang w:val="en-US" w:eastAsia="zh-CN"/>
        </w:rPr>
        <w:t>(</w:t>
      </w:r>
      <w:r>
        <w:rPr>
          <w:rFonts w:hint="default" w:ascii="Times New Roman" w:hAnsi="Times New Roman" w:eastAsia="楷体_GB2312" w:cs="Times New Roman"/>
          <w:i w:val="0"/>
          <w:iCs w:val="0"/>
          <w:caps w:val="0"/>
          <w:color w:val="333333"/>
          <w:spacing w:val="8"/>
          <w:sz w:val="32"/>
          <w:szCs w:val="32"/>
          <w:shd w:val="clear" w:fill="FFFFFF"/>
          <w:lang w:val="en-US" w:eastAsia="zh-CN"/>
        </w:rPr>
        <w:t>2021年</w:t>
      </w:r>
      <w:r>
        <w:rPr>
          <w:rFonts w:hint="default" w:ascii="Times New Roman" w:hAnsi="Times New Roman" w:eastAsia="楷体_GB2312" w:cs="Times New Roman"/>
          <w:i w:val="0"/>
          <w:iCs w:val="0"/>
          <w:caps w:val="0"/>
          <w:color w:val="333333"/>
          <w:spacing w:val="8"/>
          <w:sz w:val="32"/>
          <w:szCs w:val="32"/>
          <w:highlight w:val="none"/>
          <w:shd w:val="clear" w:fill="FFFFFF"/>
          <w:lang w:val="en-US" w:eastAsia="zh-CN"/>
        </w:rPr>
        <w:t>1</w:t>
      </w:r>
      <w:r>
        <w:rPr>
          <w:rFonts w:hint="default" w:ascii="Times New Roman" w:hAnsi="Times New Roman" w:eastAsia="楷体_GB2312" w:cs="Times New Roman"/>
          <w:b w:val="0"/>
          <w:bCs w:val="0"/>
          <w:i w:val="0"/>
          <w:iCs w:val="0"/>
          <w:caps w:val="0"/>
          <w:color w:val="333333"/>
          <w:spacing w:val="8"/>
          <w:sz w:val="32"/>
          <w:szCs w:val="32"/>
          <w:highlight w:val="none"/>
          <w:shd w:val="clear" w:fill="FFFFFF"/>
          <w:lang w:val="en-US" w:eastAsia="zh-CN"/>
        </w:rPr>
        <w:t>月</w:t>
      </w:r>
      <w:r>
        <w:rPr>
          <w:rFonts w:hint="default" w:ascii="Times New Roman" w:hAnsi="Times New Roman" w:eastAsia="楷体_GB2312" w:cs="Times New Roman"/>
          <w:i w:val="0"/>
          <w:iCs w:val="0"/>
          <w:caps w:val="0"/>
          <w:color w:val="333333"/>
          <w:spacing w:val="8"/>
          <w:sz w:val="32"/>
          <w:szCs w:val="32"/>
          <w:highlight w:val="none"/>
          <w:shd w:val="clear" w:fill="FFFFFF"/>
          <w:lang w:val="en-US" w:eastAsia="zh-CN"/>
        </w:rPr>
        <w:t>8</w:t>
      </w:r>
      <w:r>
        <w:rPr>
          <w:rFonts w:hint="default" w:ascii="Times New Roman" w:hAnsi="Times New Roman" w:eastAsia="楷体_GB2312" w:cs="Times New Roman"/>
          <w:i w:val="0"/>
          <w:iCs w:val="0"/>
          <w:caps w:val="0"/>
          <w:color w:val="333333"/>
          <w:spacing w:val="8"/>
          <w:sz w:val="32"/>
          <w:szCs w:val="32"/>
          <w:shd w:val="clear" w:fill="FFFFFF"/>
          <w:lang w:val="en-US" w:eastAsia="zh-CN"/>
        </w:rPr>
        <w:t>日合肥市瑶海区第四届</w:t>
      </w:r>
    </w:p>
    <w:p>
      <w:pPr>
        <w:spacing w:line="700" w:lineRule="exact"/>
        <w:jc w:val="center"/>
        <w:textAlignment w:val="center"/>
        <w:rPr>
          <w:rFonts w:hint="default" w:ascii="Times New Roman" w:hAnsi="Times New Roman" w:eastAsia="方正小标宋简体" w:cs="Times New Roman"/>
          <w:bCs/>
          <w:sz w:val="44"/>
          <w:szCs w:val="44"/>
        </w:rPr>
      </w:pPr>
      <w:r>
        <w:rPr>
          <w:rFonts w:hint="default" w:ascii="Times New Roman" w:hAnsi="Times New Roman" w:eastAsia="楷体_GB2312" w:cs="Times New Roman"/>
          <w:i w:val="0"/>
          <w:iCs w:val="0"/>
          <w:caps w:val="0"/>
          <w:color w:val="333333"/>
          <w:spacing w:val="8"/>
          <w:sz w:val="32"/>
          <w:szCs w:val="32"/>
          <w:shd w:val="clear" w:fill="FFFFFF"/>
          <w:lang w:val="en-US" w:eastAsia="zh-CN"/>
        </w:rPr>
        <w:t>人民代表大会第五次会议批准</w:t>
      </w:r>
      <w:r>
        <w:rPr>
          <w:rFonts w:hint="default" w:ascii="Times New Roman" w:hAnsi="Times New Roman" w:eastAsia="仿宋_GB2312" w:cs="Times New Roman"/>
          <w:i w:val="0"/>
          <w:iCs w:val="0"/>
          <w:caps w:val="0"/>
          <w:color w:val="333333"/>
          <w:spacing w:val="8"/>
          <w:sz w:val="32"/>
          <w:szCs w:val="32"/>
          <w:highlight w:val="none"/>
          <w:shd w:val="clear" w:fill="FFFFFF"/>
          <w:lang w:val="en-US" w:eastAsia="zh-CN"/>
        </w:rPr>
        <w:t>)</w:t>
      </w:r>
    </w:p>
    <w:p>
      <w:pPr>
        <w:pStyle w:val="17"/>
        <w:keepNext w:val="0"/>
        <w:keepLines w:val="0"/>
        <w:pageBreakBefore w:val="0"/>
        <w:widowControl w:val="0"/>
        <w:kinsoku/>
        <w:wordWrap/>
        <w:overflowPunct/>
        <w:topLinePunct w:val="0"/>
        <w:autoSpaceDE/>
        <w:autoSpaceDN/>
        <w:bidi w:val="0"/>
        <w:adjustRightInd/>
        <w:snapToGrid/>
        <w:spacing w:before="0"/>
        <w:textAlignment w:val="auto"/>
        <w:rPr>
          <w:rFonts w:hint="default" w:ascii="Times New Roman" w:hAnsi="Times New Roman" w:eastAsia="楷体_GB2312" w:cs="Times New Roman"/>
          <w:b/>
          <w:bCs w:val="0"/>
          <w:color w:val="000000" w:themeColor="text1"/>
          <w:kern w:val="2"/>
          <w:sz w:val="36"/>
          <w:szCs w:val="36"/>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883" w:firstLineChars="200"/>
        <w:jc w:val="both"/>
        <w:textAlignment w:val="auto"/>
        <w:rPr>
          <w:rFonts w:hint="default" w:ascii="Times New Roman" w:hAnsi="Times New Roman" w:eastAsia="方正小标宋简体" w:cs="Times New Roman"/>
          <w:b/>
          <w:bCs/>
          <w:sz w:val="44"/>
          <w:szCs w:val="44"/>
        </w:rPr>
      </w:pPr>
    </w:p>
    <w:p>
      <w:pPr>
        <w:keepNext w:val="0"/>
        <w:keepLines w:val="0"/>
        <w:pageBreakBefore w:val="0"/>
        <w:widowControl w:val="0"/>
        <w:tabs>
          <w:tab w:val="left" w:pos="935"/>
        </w:tabs>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 w:cs="Times New Roman"/>
          <w:sz w:val="32"/>
          <w:szCs w:val="32"/>
          <w:lang w:eastAsia="zh-CN"/>
        </w:rPr>
      </w:pPr>
    </w:p>
    <w:p>
      <w:pPr>
        <w:keepNext w:val="0"/>
        <w:keepLines w:val="0"/>
        <w:pageBreakBefore w:val="0"/>
        <w:widowControl w:val="0"/>
        <w:tabs>
          <w:tab w:val="left" w:pos="935"/>
        </w:tabs>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 w:cs="Times New Roman"/>
          <w:sz w:val="32"/>
          <w:szCs w:val="32"/>
          <w:lang w:eastAsia="zh-CN"/>
        </w:rPr>
      </w:pPr>
    </w:p>
    <w:p>
      <w:pPr>
        <w:keepNext w:val="0"/>
        <w:keepLines w:val="0"/>
        <w:pageBreakBefore w:val="0"/>
        <w:widowControl w:val="0"/>
        <w:tabs>
          <w:tab w:val="left" w:pos="935"/>
        </w:tabs>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 w:cs="Times New Roman"/>
          <w:sz w:val="32"/>
          <w:szCs w:val="32"/>
          <w:lang w:eastAsia="zh-CN"/>
        </w:rPr>
      </w:pPr>
    </w:p>
    <w:p>
      <w:pPr>
        <w:keepNext w:val="0"/>
        <w:keepLines w:val="0"/>
        <w:pageBreakBefore w:val="0"/>
        <w:widowControl w:val="0"/>
        <w:tabs>
          <w:tab w:val="left" w:pos="935"/>
        </w:tabs>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 w:cs="Times New Roman"/>
          <w:sz w:val="32"/>
          <w:szCs w:val="32"/>
          <w:lang w:eastAsia="zh-CN"/>
        </w:rPr>
      </w:pPr>
    </w:p>
    <w:p>
      <w:pPr>
        <w:keepNext w:val="0"/>
        <w:keepLines w:val="0"/>
        <w:pageBreakBefore w:val="0"/>
        <w:widowControl w:val="0"/>
        <w:tabs>
          <w:tab w:val="left" w:pos="935"/>
        </w:tabs>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 w:cs="Times New Roman"/>
          <w:sz w:val="32"/>
          <w:szCs w:val="32"/>
          <w:lang w:eastAsia="zh-CN"/>
        </w:rPr>
      </w:pPr>
    </w:p>
    <w:p>
      <w:pPr>
        <w:keepNext w:val="0"/>
        <w:keepLines w:val="0"/>
        <w:pageBreakBefore w:val="0"/>
        <w:widowControl w:val="0"/>
        <w:tabs>
          <w:tab w:val="left" w:pos="935"/>
        </w:tabs>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 w:cs="Times New Roman"/>
          <w:sz w:val="32"/>
          <w:szCs w:val="32"/>
          <w:lang w:eastAsia="zh-CN"/>
        </w:rPr>
      </w:pPr>
    </w:p>
    <w:p>
      <w:pPr>
        <w:keepNext w:val="0"/>
        <w:keepLines w:val="0"/>
        <w:pageBreakBefore w:val="0"/>
        <w:widowControl w:val="0"/>
        <w:tabs>
          <w:tab w:val="left" w:pos="935"/>
        </w:tabs>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简体" w:cs="Times New Roman"/>
          <w:b/>
          <w:bCs/>
          <w:color w:val="auto"/>
          <w:sz w:val="32"/>
          <w:szCs w:val="32"/>
          <w:lang w:val="en-US" w:eastAsia="zh-CN"/>
        </w:rPr>
      </w:pPr>
    </w:p>
    <w:p>
      <w:pPr>
        <w:pStyle w:val="25"/>
        <w:ind w:left="0" w:leftChars="0" w:firstLine="0" w:firstLineChars="0"/>
        <w:rPr>
          <w:rFonts w:hint="default" w:ascii="Times New Roman" w:hAnsi="Times New Roman" w:cs="Times New Roman"/>
          <w:lang w:val="en-US" w:eastAsia="zh-CN"/>
        </w:rPr>
      </w:pPr>
    </w:p>
    <w:p>
      <w:pPr>
        <w:jc w:val="center"/>
        <w:rPr>
          <w:rFonts w:hint="default" w:ascii="Times New Roman" w:hAnsi="Times New Roman" w:eastAsia="仿宋_GB2312" w:cs="Times New Roman"/>
          <w:b/>
          <w:color w:val="000000"/>
          <w:spacing w:val="20"/>
          <w:sz w:val="36"/>
          <w:szCs w:val="36"/>
        </w:rPr>
      </w:pPr>
      <w:r>
        <w:rPr>
          <w:rFonts w:hint="default" w:ascii="Times New Roman" w:hAnsi="Times New Roman" w:eastAsia="仿宋_GB2312" w:cs="Times New Roman"/>
          <w:b/>
          <w:color w:val="000000"/>
          <w:spacing w:val="20"/>
          <w:sz w:val="36"/>
          <w:szCs w:val="36"/>
          <w:lang w:val="en-US" w:eastAsia="zh-CN"/>
        </w:rPr>
        <w:t>瑶海区</w:t>
      </w:r>
      <w:r>
        <w:rPr>
          <w:rFonts w:hint="default" w:ascii="Times New Roman" w:hAnsi="Times New Roman" w:eastAsia="仿宋_GB2312" w:cs="Times New Roman"/>
          <w:b/>
          <w:color w:val="000000"/>
          <w:spacing w:val="20"/>
          <w:sz w:val="36"/>
          <w:szCs w:val="36"/>
        </w:rPr>
        <w:t>人民政府</w:t>
      </w:r>
    </w:p>
    <w:p>
      <w:pPr>
        <w:jc w:val="center"/>
        <w:rPr>
          <w:rFonts w:hint="default" w:ascii="Times New Roman" w:hAnsi="Times New Roman" w:eastAsia="宋体" w:cs="Times New Roman"/>
          <w:sz w:val="32"/>
          <w:szCs w:val="20"/>
        </w:rPr>
      </w:pPr>
      <w:r>
        <w:rPr>
          <w:rFonts w:hint="default" w:ascii="Times New Roman" w:hAnsi="Times New Roman" w:eastAsia="仿宋_GB2312" w:cs="Times New Roman"/>
          <w:b/>
          <w:color w:val="000000"/>
          <w:spacing w:val="20"/>
          <w:sz w:val="36"/>
          <w:szCs w:val="36"/>
        </w:rPr>
        <w:t>2021年</w:t>
      </w:r>
      <w:r>
        <w:rPr>
          <w:rFonts w:hint="eastAsia" w:ascii="Times New Roman" w:hAnsi="Times New Roman" w:eastAsia="仿宋_GB2312" w:cs="Times New Roman"/>
          <w:b/>
          <w:color w:val="000000"/>
          <w:spacing w:val="20"/>
          <w:sz w:val="36"/>
          <w:szCs w:val="36"/>
          <w:lang w:val="en-US" w:eastAsia="zh-CN"/>
        </w:rPr>
        <w:t>8</w:t>
      </w:r>
      <w:r>
        <w:rPr>
          <w:rFonts w:hint="default" w:ascii="Times New Roman" w:hAnsi="Times New Roman" w:eastAsia="仿宋_GB2312" w:cs="Times New Roman"/>
          <w:b/>
          <w:color w:val="000000"/>
          <w:spacing w:val="20"/>
          <w:sz w:val="36"/>
          <w:szCs w:val="36"/>
        </w:rPr>
        <w:t>月</w:t>
      </w:r>
    </w:p>
    <w:p>
      <w:pPr>
        <w:keepNext w:val="0"/>
        <w:keepLines w:val="0"/>
        <w:pageBreakBefore w:val="0"/>
        <w:widowControl w:val="0"/>
        <w:tabs>
          <w:tab w:val="left" w:pos="935"/>
        </w:tabs>
        <w:kinsoku/>
        <w:wordWrap/>
        <w:overflowPunct/>
        <w:topLinePunct w:val="0"/>
        <w:autoSpaceDE/>
        <w:autoSpaceDN/>
        <w:bidi w:val="0"/>
        <w:adjustRightInd/>
        <w:snapToGrid/>
        <w:spacing w:line="560" w:lineRule="exact"/>
        <w:jc w:val="center"/>
        <w:textAlignment w:val="auto"/>
        <w:rPr>
          <w:rFonts w:hint="default" w:ascii="Times New Roman" w:hAnsi="Times New Roman" w:cs="Times New Roman"/>
          <w:lang w:val="en-US" w:eastAsia="zh-CN"/>
        </w:rPr>
        <w:sectPr>
          <w:footerReference r:id="rId5" w:type="default"/>
          <w:pgSz w:w="11906" w:h="16838"/>
          <w:pgMar w:top="1984" w:right="1417" w:bottom="1757" w:left="1417" w:header="851" w:footer="992" w:gutter="0"/>
          <w:pgNumType w:fmt="decimal" w:start="1"/>
          <w:cols w:space="425" w:num="1"/>
          <w:docGrid w:type="lines" w:linePitch="312" w:charSpace="0"/>
        </w:sectPr>
      </w:pPr>
    </w:p>
    <w:p>
      <w:pPr>
        <w:keepNext w:val="0"/>
        <w:keepLines w:val="0"/>
        <w:pageBreakBefore w:val="0"/>
        <w:widowControl w:val="0"/>
        <w:tabs>
          <w:tab w:val="left" w:pos="935"/>
        </w:tabs>
        <w:kinsoku/>
        <w:wordWrap/>
        <w:overflowPunct/>
        <w:topLinePunct w:val="0"/>
        <w:autoSpaceDE/>
        <w:autoSpaceDN/>
        <w:bidi w:val="0"/>
        <w:adjustRightInd/>
        <w:snapToGrid/>
        <w:spacing w:line="560" w:lineRule="exact"/>
        <w:jc w:val="center"/>
        <w:textAlignment w:val="auto"/>
        <w:rPr>
          <w:rFonts w:hint="default" w:ascii="Times New Roman" w:hAnsi="Times New Roman" w:cs="Times New Roman"/>
          <w:lang w:val="en-US" w:eastAsia="zh-CN"/>
        </w:rPr>
        <w:sectPr>
          <w:footerReference r:id="rId6" w:type="default"/>
          <w:pgSz w:w="11906" w:h="16838"/>
          <w:pgMar w:top="1984" w:right="1417" w:bottom="1757" w:left="1417" w:header="851" w:footer="992" w:gutter="0"/>
          <w:pgNumType w:fmt="decimal" w:start="1"/>
          <w:cols w:space="425" w:num="1"/>
          <w:docGrid w:type="lines" w:linePitch="312" w:charSpace="0"/>
        </w:sectPr>
      </w:pPr>
    </w:p>
    <w:sdt>
      <w:sdtPr>
        <w:rPr>
          <w:rFonts w:hint="default" w:ascii="Times New Roman" w:hAnsi="Times New Roman" w:eastAsia="方正小标宋简体" w:cs="Times New Roman"/>
          <w:color w:val="000000"/>
          <w:sz w:val="44"/>
          <w:szCs w:val="44"/>
          <w:lang w:val="en-US" w:eastAsia="zh-CN"/>
        </w:rPr>
        <w:id w:val="147471913"/>
        <w15:color w:val="DBDBDB"/>
        <w:docPartObj>
          <w:docPartGallery w:val="Table of Contents"/>
          <w:docPartUnique/>
        </w:docPartObj>
      </w:sdtPr>
      <w:sdtEndPr>
        <w:rPr>
          <w:rFonts w:hint="default" w:ascii="Times New Roman" w:hAnsi="Times New Roman" w:eastAsia="宋体" w:cs="Times New Roman"/>
          <w:b/>
          <w:bCs/>
          <w:color w:val="000000"/>
          <w:kern w:val="2"/>
          <w:sz w:val="32"/>
          <w:szCs w:val="32"/>
          <w:lang w:val="en-US" w:eastAsia="zh-CN" w:bidi="ar-SA"/>
        </w:rPr>
      </w:sdtEndPr>
      <w:sdtContent>
        <w:p>
          <w:pPr>
            <w:keepNext w:val="0"/>
            <w:keepLines w:val="0"/>
            <w:pageBreakBefore w:val="0"/>
            <w:widowControl w:val="0"/>
            <w:tabs>
              <w:tab w:val="left" w:pos="2340"/>
            </w:tabs>
            <w:kinsoku/>
            <w:wordWrap/>
            <w:overflowPunct/>
            <w:topLinePunct w:val="0"/>
            <w:autoSpaceDE/>
            <w:autoSpaceDN/>
            <w:bidi w:val="0"/>
            <w:adjustRightInd/>
            <w:snapToGrid w:val="0"/>
            <w:spacing w:after="313" w:afterLines="100" w:line="566" w:lineRule="exact"/>
            <w:jc w:val="center"/>
            <w:textAlignment w:val="auto"/>
            <w:rPr>
              <w:rFonts w:hint="default" w:ascii="Times New Roman" w:hAnsi="Times New Roman" w:cs="Times New Roman"/>
            </w:rPr>
          </w:pPr>
          <w:r>
            <w:rPr>
              <w:rFonts w:hint="default" w:ascii="Times New Roman" w:hAnsi="Times New Roman" w:eastAsia="方正小标宋简体" w:cs="Times New Roman"/>
              <w:color w:val="000000"/>
              <w:sz w:val="44"/>
              <w:szCs w:val="44"/>
            </w:rPr>
            <w:t>目</w:t>
          </w:r>
          <w:r>
            <w:rPr>
              <w:rFonts w:hint="default" w:ascii="Times New Roman" w:hAnsi="Times New Roman" w:eastAsia="方正小标宋简体" w:cs="Times New Roman"/>
              <w:color w:val="000000"/>
              <w:sz w:val="44"/>
              <w:szCs w:val="44"/>
              <w:lang w:val="en-US" w:eastAsia="zh-CN"/>
            </w:rPr>
            <w:t xml:space="preserve">   </w:t>
          </w:r>
          <w:r>
            <w:rPr>
              <w:rFonts w:hint="default" w:ascii="Times New Roman" w:hAnsi="Times New Roman" w:eastAsia="方正小标宋简体" w:cs="Times New Roman"/>
              <w:color w:val="000000"/>
              <w:sz w:val="44"/>
              <w:szCs w:val="44"/>
            </w:rPr>
            <w:t>录</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val="en-US" w:eastAsia="zh-CN"/>
            </w:rPr>
            <w:fldChar w:fldCharType="begin"/>
          </w:r>
          <w:r>
            <w:rPr>
              <w:rFonts w:hint="default" w:ascii="Times New Roman" w:hAnsi="Times New Roman" w:cs="Times New Roman"/>
              <w:b w:val="0"/>
              <w:bCs w:val="0"/>
              <w:sz w:val="32"/>
              <w:szCs w:val="32"/>
              <w:lang w:val="en-US" w:eastAsia="zh-CN"/>
            </w:rPr>
            <w:instrText xml:space="preserve">TOC \o "1-2" \h \u </w:instrText>
          </w:r>
          <w:r>
            <w:rPr>
              <w:rFonts w:hint="default" w:ascii="Times New Roman" w:hAnsi="Times New Roman" w:cs="Times New Roman"/>
              <w:b w:val="0"/>
              <w:bCs w:val="0"/>
              <w:sz w:val="32"/>
              <w:szCs w:val="32"/>
              <w:lang w:val="en-US" w:eastAsia="zh-CN"/>
            </w:rPr>
            <w:fldChar w:fldCharType="separate"/>
          </w:r>
          <w:r>
            <w:rPr>
              <w:rFonts w:hint="default" w:ascii="Times New Roman" w:hAnsi="Times New Roman" w:cs="Times New Roman"/>
              <w:b w:val="0"/>
              <w:bCs w:val="0"/>
              <w:sz w:val="32"/>
              <w:szCs w:val="32"/>
              <w:lang w:val="en-US" w:eastAsia="zh-CN"/>
            </w:rPr>
            <w:fldChar w:fldCharType="begin"/>
          </w:r>
          <w:r>
            <w:rPr>
              <w:rFonts w:hint="default" w:ascii="Times New Roman" w:hAnsi="Times New Roman" w:cs="Times New Roman"/>
              <w:b w:val="0"/>
              <w:bCs w:val="0"/>
              <w:sz w:val="32"/>
              <w:szCs w:val="32"/>
              <w:lang w:val="en-US" w:eastAsia="zh-CN"/>
            </w:rPr>
            <w:instrText xml:space="preserve"> HYPERLINK \l _Toc14123 </w:instrText>
          </w:r>
          <w:r>
            <w:rPr>
              <w:rFonts w:hint="default" w:ascii="Times New Roman" w:hAnsi="Times New Roman" w:cs="Times New Roman"/>
              <w:b w:val="0"/>
              <w:bCs w:val="0"/>
              <w:sz w:val="32"/>
              <w:szCs w:val="32"/>
              <w:lang w:val="en-US" w:eastAsia="zh-CN"/>
            </w:rPr>
            <w:fldChar w:fldCharType="separate"/>
          </w:r>
          <w:r>
            <w:rPr>
              <w:rFonts w:hint="default" w:ascii="Times New Roman" w:hAnsi="Times New Roman" w:eastAsia="黑体" w:cs="Times New Roman"/>
              <w:b w:val="0"/>
              <w:bCs w:val="0"/>
              <w:sz w:val="32"/>
              <w:szCs w:val="32"/>
              <w:lang w:val="en-US" w:eastAsia="zh-CN"/>
            </w:rPr>
            <w:t>第一章 全面建成小康社会  开启新阶段现代化美好瑶海建设新征程</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_Toc14123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_Toc19348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 xml:space="preserve">第一节 </w:t>
          </w:r>
          <w:r>
            <w:rPr>
              <w:rFonts w:hint="default" w:ascii="Times New Roman" w:hAnsi="Times New Roman" w:eastAsia="仿宋_GB2312" w:cs="Times New Roman"/>
              <w:b w:val="0"/>
              <w:bCs w:val="0"/>
              <w:sz w:val="32"/>
              <w:szCs w:val="32"/>
              <w:lang w:val="en-US" w:eastAsia="zh-CN"/>
            </w:rPr>
            <w:t>“十三五”时期发展成就</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_Toc19348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1</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_Toc9825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 xml:space="preserve">第二节 </w:t>
          </w:r>
          <w:r>
            <w:rPr>
              <w:rFonts w:hint="default" w:ascii="Times New Roman" w:hAnsi="Times New Roman" w:eastAsia="仿宋_GB2312" w:cs="Times New Roman"/>
              <w:b w:val="0"/>
              <w:bCs w:val="0"/>
              <w:sz w:val="32"/>
              <w:szCs w:val="32"/>
              <w:lang w:val="en-US" w:eastAsia="zh-CN"/>
            </w:rPr>
            <w:t>“十四五”时期发展环境</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_Toc9825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5</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_Toc720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第三节 “十四五”时期发展总体要求</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_Toc720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6</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_Toc18480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第四节 “十四五”时期发展目标</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_Toc18480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10</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_Toc17530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第五节 2035年远景目标</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_Toc17530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12</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val="en-US" w:eastAsia="zh-CN"/>
            </w:rPr>
            <w:fldChar w:fldCharType="begin"/>
          </w:r>
          <w:r>
            <w:rPr>
              <w:rFonts w:hint="default" w:ascii="Times New Roman" w:hAnsi="Times New Roman" w:cs="Times New Roman"/>
              <w:b w:val="0"/>
              <w:bCs w:val="0"/>
              <w:sz w:val="32"/>
              <w:szCs w:val="32"/>
              <w:lang w:val="en-US" w:eastAsia="zh-CN"/>
            </w:rPr>
            <w:instrText xml:space="preserve"> HYPERLINK \l _Toc5388 </w:instrText>
          </w:r>
          <w:r>
            <w:rPr>
              <w:rFonts w:hint="default" w:ascii="Times New Roman" w:hAnsi="Times New Roman" w:cs="Times New Roman"/>
              <w:b w:val="0"/>
              <w:bCs w:val="0"/>
              <w:sz w:val="32"/>
              <w:szCs w:val="32"/>
              <w:lang w:val="en-US" w:eastAsia="zh-CN"/>
            </w:rPr>
            <w:fldChar w:fldCharType="separate"/>
          </w:r>
          <w:r>
            <w:rPr>
              <w:rFonts w:hint="default" w:ascii="Times New Roman" w:hAnsi="Times New Roman" w:eastAsia="黑体" w:cs="Times New Roman"/>
              <w:b w:val="0"/>
              <w:bCs w:val="0"/>
              <w:sz w:val="32"/>
              <w:szCs w:val="32"/>
              <w:rtl w:val="0"/>
              <w:lang w:val="en-US" w:eastAsia="zh-CN"/>
            </w:rPr>
            <w:t>第二章 以创新驱动赋能东部新中心建设  打造合肥新兴增长极</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_Toc5388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13</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_Toc4856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第六节 奋力建设合肥东部新中心</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_Toc4856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13</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_Toc19069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第七节 深入实施科技兴区行动</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_Toc19069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15</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val="en-US" w:eastAsia="zh-CN"/>
            </w:rPr>
            <w:fldChar w:fldCharType="begin"/>
          </w:r>
          <w:r>
            <w:rPr>
              <w:rFonts w:hint="default" w:ascii="Times New Roman" w:hAnsi="Times New Roman" w:cs="Times New Roman"/>
              <w:b w:val="0"/>
              <w:bCs w:val="0"/>
              <w:sz w:val="32"/>
              <w:szCs w:val="32"/>
              <w:lang w:val="en-US" w:eastAsia="zh-CN"/>
            </w:rPr>
            <w:instrText xml:space="preserve"> HYPERLINK \l _Toc20355 </w:instrText>
          </w:r>
          <w:r>
            <w:rPr>
              <w:rFonts w:hint="default" w:ascii="Times New Roman" w:hAnsi="Times New Roman" w:cs="Times New Roman"/>
              <w:b w:val="0"/>
              <w:bCs w:val="0"/>
              <w:sz w:val="32"/>
              <w:szCs w:val="32"/>
              <w:lang w:val="en-US" w:eastAsia="zh-CN"/>
            </w:rPr>
            <w:fldChar w:fldCharType="separate"/>
          </w:r>
          <w:r>
            <w:rPr>
              <w:rFonts w:hint="default" w:ascii="Times New Roman" w:hAnsi="Times New Roman" w:eastAsia="黑体" w:cs="Times New Roman"/>
              <w:b w:val="0"/>
              <w:bCs w:val="0"/>
              <w:sz w:val="32"/>
              <w:szCs w:val="32"/>
              <w:rtl w:val="0"/>
              <w:lang w:val="en-US" w:eastAsia="zh-CN"/>
            </w:rPr>
            <w:t>第三章 以产业链高级化推进产业转型升级  构建区域现代产业体系</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_Toc20355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19</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_Toc16225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第八节 开展产业链补链固链强链行动</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_Toc16225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20</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_Toc11746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第九节 大力发展新一代信息技术产业</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_Toc11746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21</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_Toc14146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第十节 推动金融商贸转型升级</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_Toc14146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22</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_Toc12013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第十一节 做强建筑业总部经济</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_Toc12013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24</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_Toc5436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第十二节 彰显文化创意产业魅力</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_Toc5436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26</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_Toc8269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第十三节 加快发展大健康产业</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_Toc8269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27</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val="en-US" w:eastAsia="zh-CN"/>
            </w:rPr>
            <w:fldChar w:fldCharType="begin"/>
          </w:r>
          <w:r>
            <w:rPr>
              <w:rFonts w:hint="default" w:ascii="Times New Roman" w:hAnsi="Times New Roman" w:cs="Times New Roman"/>
              <w:b w:val="0"/>
              <w:bCs w:val="0"/>
              <w:sz w:val="32"/>
              <w:szCs w:val="32"/>
              <w:lang w:val="en-US" w:eastAsia="zh-CN"/>
            </w:rPr>
            <w:instrText xml:space="preserve"> HYPERLINK \l _Toc4944 </w:instrText>
          </w:r>
          <w:r>
            <w:rPr>
              <w:rFonts w:hint="default" w:ascii="Times New Roman" w:hAnsi="Times New Roman" w:cs="Times New Roman"/>
              <w:b w:val="0"/>
              <w:bCs w:val="0"/>
              <w:sz w:val="32"/>
              <w:szCs w:val="32"/>
              <w:lang w:val="en-US" w:eastAsia="zh-CN"/>
            </w:rPr>
            <w:fldChar w:fldCharType="separate"/>
          </w:r>
          <w:r>
            <w:rPr>
              <w:rFonts w:hint="default" w:ascii="Times New Roman" w:hAnsi="Times New Roman" w:eastAsia="黑体" w:cs="Times New Roman"/>
              <w:b w:val="0"/>
              <w:bCs w:val="0"/>
              <w:sz w:val="32"/>
              <w:szCs w:val="32"/>
              <w:rtl w:val="0"/>
              <w:lang w:val="en-US" w:eastAsia="zh-CN"/>
            </w:rPr>
            <w:t>第四章 以扩大内需战略激活消费潜力  打造有影响力的区域消费中心</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_Toc4944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30</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_Toc21266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第十四节 打通国内国际市场链接</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_Toc21266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30</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_Toc2329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第十五节 全面激活消费潜力</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_Toc2329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31</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_Toc2066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第十六节 精准扩大有效投资</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_Toc2066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33</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_Toc25903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第十七节 优化营商环境</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_Toc25903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34</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val="en-US" w:eastAsia="zh-CN"/>
            </w:rPr>
            <w:fldChar w:fldCharType="begin"/>
          </w:r>
          <w:r>
            <w:rPr>
              <w:rFonts w:hint="default" w:ascii="Times New Roman" w:hAnsi="Times New Roman" w:cs="Times New Roman"/>
              <w:b w:val="0"/>
              <w:bCs w:val="0"/>
              <w:sz w:val="32"/>
              <w:szCs w:val="32"/>
              <w:lang w:val="en-US" w:eastAsia="zh-CN"/>
            </w:rPr>
            <w:instrText xml:space="preserve"> HYPERLINK \l _Toc18481 </w:instrText>
          </w:r>
          <w:r>
            <w:rPr>
              <w:rFonts w:hint="default" w:ascii="Times New Roman" w:hAnsi="Times New Roman" w:cs="Times New Roman"/>
              <w:b w:val="0"/>
              <w:bCs w:val="0"/>
              <w:sz w:val="32"/>
              <w:szCs w:val="32"/>
              <w:lang w:val="en-US" w:eastAsia="zh-CN"/>
            </w:rPr>
            <w:fldChar w:fldCharType="separate"/>
          </w:r>
          <w:r>
            <w:rPr>
              <w:rFonts w:hint="default" w:ascii="Times New Roman" w:hAnsi="Times New Roman" w:eastAsia="黑体" w:cs="Times New Roman"/>
              <w:b w:val="0"/>
              <w:bCs w:val="0"/>
              <w:sz w:val="32"/>
              <w:szCs w:val="32"/>
              <w:rtl w:val="0"/>
              <w:lang w:val="en-US" w:eastAsia="zh-CN"/>
            </w:rPr>
            <w:t>第五章 以城市更新提升城市品质  塑造城区环境新面貌</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_Toc18481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36</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_Toc22220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第十八节 统筹推进基础设施建设</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_Toc22220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36</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_Toc20486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第十九节 不断提速城市更新改造</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_Toc20486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38</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_Toc20842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第二十节 持续加快数字化发展</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_Toc20842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41</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_Toc12657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第二十一节 打造乡村全面振兴先行示范区</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_Toc12657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45</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val="en-US" w:eastAsia="zh-CN"/>
            </w:rPr>
            <w:fldChar w:fldCharType="begin"/>
          </w:r>
          <w:r>
            <w:rPr>
              <w:rFonts w:hint="default" w:ascii="Times New Roman" w:hAnsi="Times New Roman" w:cs="Times New Roman"/>
              <w:b w:val="0"/>
              <w:bCs w:val="0"/>
              <w:sz w:val="32"/>
              <w:szCs w:val="32"/>
              <w:lang w:val="en-US" w:eastAsia="zh-CN"/>
            </w:rPr>
            <w:instrText xml:space="preserve"> HYPERLINK \l _Toc8818 </w:instrText>
          </w:r>
          <w:r>
            <w:rPr>
              <w:rFonts w:hint="default" w:ascii="Times New Roman" w:hAnsi="Times New Roman" w:cs="Times New Roman"/>
              <w:b w:val="0"/>
              <w:bCs w:val="0"/>
              <w:sz w:val="32"/>
              <w:szCs w:val="32"/>
              <w:lang w:val="en-US" w:eastAsia="zh-CN"/>
            </w:rPr>
            <w:fldChar w:fldCharType="separate"/>
          </w:r>
          <w:r>
            <w:rPr>
              <w:rFonts w:hint="default" w:ascii="Times New Roman" w:hAnsi="Times New Roman" w:eastAsia="黑体" w:cs="Times New Roman"/>
              <w:b w:val="0"/>
              <w:bCs w:val="0"/>
              <w:sz w:val="32"/>
              <w:szCs w:val="32"/>
              <w:rtl w:val="0"/>
              <w:lang w:val="en-US" w:eastAsia="zh-CN"/>
            </w:rPr>
            <w:t>第六章 以民生工程建设全面增进人民福祉  打造“美好生活共同体”</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_Toc8818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46</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_Toc8994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第二十二节 优先发展教育体育事业</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_Toc8994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46</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_Toc20782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第二十三节 提高医疗卫生服务能力和水平</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_Toc20782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50</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_Toc29987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第二十四节 加强劳动和社会保障</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_Toc29987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52</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_Toc935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第二十五节 积极应对人口老龄化挑战</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_Toc935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53</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_Toc6881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第二十六节 巩固和创新社会治理</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_Toc6881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56</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val="en-US" w:eastAsia="zh-CN"/>
            </w:rPr>
            <w:fldChar w:fldCharType="begin"/>
          </w:r>
          <w:r>
            <w:rPr>
              <w:rFonts w:hint="default" w:ascii="Times New Roman" w:hAnsi="Times New Roman" w:cs="Times New Roman"/>
              <w:b w:val="0"/>
              <w:bCs w:val="0"/>
              <w:sz w:val="32"/>
              <w:szCs w:val="32"/>
              <w:lang w:val="en-US" w:eastAsia="zh-CN"/>
            </w:rPr>
            <w:instrText xml:space="preserve"> HYPERLINK \l _Toc14099 </w:instrText>
          </w:r>
          <w:r>
            <w:rPr>
              <w:rFonts w:hint="default" w:ascii="Times New Roman" w:hAnsi="Times New Roman" w:cs="Times New Roman"/>
              <w:b w:val="0"/>
              <w:bCs w:val="0"/>
              <w:sz w:val="32"/>
              <w:szCs w:val="32"/>
              <w:lang w:val="en-US" w:eastAsia="zh-CN"/>
            </w:rPr>
            <w:fldChar w:fldCharType="separate"/>
          </w:r>
          <w:r>
            <w:rPr>
              <w:rFonts w:hint="default" w:ascii="Times New Roman" w:hAnsi="Times New Roman" w:eastAsia="黑体" w:cs="Times New Roman"/>
              <w:b w:val="0"/>
              <w:bCs w:val="0"/>
              <w:sz w:val="32"/>
              <w:szCs w:val="32"/>
              <w:rtl w:val="0"/>
              <w:lang w:val="en-US" w:eastAsia="zh-CN"/>
            </w:rPr>
            <w:t xml:space="preserve">第七章 以增加文化供给提高国民素质  打造文化强区 </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_Toc14099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58</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_Toc32328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第二十七节 提高社会文明程度</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_Toc32328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58</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_Toc20729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第二十八节 增加优质文化供给</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_Toc20729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60</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val="en-US" w:eastAsia="zh-CN"/>
            </w:rPr>
            <w:fldChar w:fldCharType="begin"/>
          </w:r>
          <w:r>
            <w:rPr>
              <w:rFonts w:hint="default" w:ascii="Times New Roman" w:hAnsi="Times New Roman" w:cs="Times New Roman"/>
              <w:b w:val="0"/>
              <w:bCs w:val="0"/>
              <w:sz w:val="32"/>
              <w:szCs w:val="32"/>
              <w:lang w:val="en-US" w:eastAsia="zh-CN"/>
            </w:rPr>
            <w:instrText xml:space="preserve"> HYPERLINK \l _Toc11498 </w:instrText>
          </w:r>
          <w:r>
            <w:rPr>
              <w:rFonts w:hint="default" w:ascii="Times New Roman" w:hAnsi="Times New Roman" w:cs="Times New Roman"/>
              <w:b w:val="0"/>
              <w:bCs w:val="0"/>
              <w:sz w:val="32"/>
              <w:szCs w:val="32"/>
              <w:lang w:val="en-US" w:eastAsia="zh-CN"/>
            </w:rPr>
            <w:fldChar w:fldCharType="separate"/>
          </w:r>
          <w:r>
            <w:rPr>
              <w:rFonts w:hint="default" w:ascii="Times New Roman" w:hAnsi="Times New Roman" w:eastAsia="黑体" w:cs="Times New Roman"/>
              <w:b w:val="0"/>
              <w:bCs w:val="0"/>
              <w:sz w:val="32"/>
              <w:szCs w:val="32"/>
              <w:rtl w:val="0"/>
              <w:lang w:val="en-US" w:eastAsia="zh-CN"/>
            </w:rPr>
            <w:t>第八章 以改善生态环境质量践行绿色发展理念  打造美丽瑶海</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_Toc11498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62</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_Toc30266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第二十九节 改善生态环境质量</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_Toc30266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63</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_Toc14163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第三十节 增强可持续发展能力</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_Toc14163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64</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val="en-US" w:eastAsia="zh-CN"/>
            </w:rPr>
            <w:fldChar w:fldCharType="begin"/>
          </w:r>
          <w:r>
            <w:rPr>
              <w:rFonts w:hint="default" w:ascii="Times New Roman" w:hAnsi="Times New Roman" w:cs="Times New Roman"/>
              <w:b w:val="0"/>
              <w:bCs w:val="0"/>
              <w:sz w:val="32"/>
              <w:szCs w:val="32"/>
              <w:lang w:val="en-US" w:eastAsia="zh-CN"/>
            </w:rPr>
            <w:instrText xml:space="preserve"> HYPERLINK \l _Toc16285 </w:instrText>
          </w:r>
          <w:r>
            <w:rPr>
              <w:rFonts w:hint="default" w:ascii="Times New Roman" w:hAnsi="Times New Roman" w:cs="Times New Roman"/>
              <w:b w:val="0"/>
              <w:bCs w:val="0"/>
              <w:sz w:val="32"/>
              <w:szCs w:val="32"/>
              <w:lang w:val="en-US" w:eastAsia="zh-CN"/>
            </w:rPr>
            <w:fldChar w:fldCharType="separate"/>
          </w:r>
          <w:r>
            <w:rPr>
              <w:rFonts w:hint="default" w:ascii="Times New Roman" w:hAnsi="Times New Roman" w:eastAsia="黑体" w:cs="Times New Roman"/>
              <w:b w:val="0"/>
              <w:bCs w:val="0"/>
              <w:sz w:val="32"/>
              <w:szCs w:val="32"/>
              <w:rtl w:val="0"/>
              <w:lang w:val="en-US" w:eastAsia="zh-CN"/>
            </w:rPr>
            <w:t>第九章 以长三角G60科创走廊产业合作示范园为主平台  开拓开放合作新局面</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_Toc16285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66</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_Toc7151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第三十一节 加速产业发展融入</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_Toc7151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66</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_Toc24472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第三十二节 加速市场要素融入</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_Toc24472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66</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_Toc8752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第三十三节 加速优质服务共享</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_Toc8752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67</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_Toc11105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第三十四节 加大招商引资力度</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_Toc11105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67</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val="en-US" w:eastAsia="zh-CN"/>
            </w:rPr>
            <w:fldChar w:fldCharType="begin"/>
          </w:r>
          <w:r>
            <w:rPr>
              <w:rFonts w:hint="default" w:ascii="Times New Roman" w:hAnsi="Times New Roman" w:cs="Times New Roman"/>
              <w:b w:val="0"/>
              <w:bCs w:val="0"/>
              <w:sz w:val="32"/>
              <w:szCs w:val="32"/>
              <w:lang w:val="en-US" w:eastAsia="zh-CN"/>
            </w:rPr>
            <w:instrText xml:space="preserve"> HYPERLINK \l _Toc28629 </w:instrText>
          </w:r>
          <w:r>
            <w:rPr>
              <w:rFonts w:hint="default" w:ascii="Times New Roman" w:hAnsi="Times New Roman" w:cs="Times New Roman"/>
              <w:b w:val="0"/>
              <w:bCs w:val="0"/>
              <w:sz w:val="32"/>
              <w:szCs w:val="32"/>
              <w:lang w:val="en-US" w:eastAsia="zh-CN"/>
            </w:rPr>
            <w:fldChar w:fldCharType="separate"/>
          </w:r>
          <w:r>
            <w:rPr>
              <w:rFonts w:hint="default" w:ascii="Times New Roman" w:hAnsi="Times New Roman" w:eastAsia="黑体" w:cs="Times New Roman"/>
              <w:b w:val="0"/>
              <w:bCs w:val="0"/>
              <w:sz w:val="32"/>
              <w:szCs w:val="32"/>
              <w:rtl w:val="0"/>
              <w:lang w:val="en-US" w:eastAsia="zh-CN"/>
            </w:rPr>
            <w:t>第十章 以筑牢瑶海安全屏障防范化解重大风险  打造平安瑶海</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_Toc28629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68</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_Toc18833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第三十五节 维护国家安全和政治稳定</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_Toc18833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68</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_Toc12676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第三十六节 确保经济发展安全</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_Toc12676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69</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_Toc6882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第三十七节 保障人民生命安全</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_Toc6882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70</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_Toc14613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第三十八节 保持社会稳定和安全</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_Toc14613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71</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val="en-US" w:eastAsia="zh-CN"/>
            </w:rPr>
            <w:fldChar w:fldCharType="begin"/>
          </w:r>
          <w:r>
            <w:rPr>
              <w:rFonts w:hint="default" w:ascii="Times New Roman" w:hAnsi="Times New Roman" w:cs="Times New Roman"/>
              <w:b w:val="0"/>
              <w:bCs w:val="0"/>
              <w:sz w:val="32"/>
              <w:szCs w:val="32"/>
              <w:lang w:val="en-US" w:eastAsia="zh-CN"/>
            </w:rPr>
            <w:instrText xml:space="preserve"> HYPERLINK \l _Toc21961 </w:instrText>
          </w:r>
          <w:r>
            <w:rPr>
              <w:rFonts w:hint="default" w:ascii="Times New Roman" w:hAnsi="Times New Roman" w:cs="Times New Roman"/>
              <w:b w:val="0"/>
              <w:bCs w:val="0"/>
              <w:sz w:val="32"/>
              <w:szCs w:val="32"/>
              <w:lang w:val="en-US" w:eastAsia="zh-CN"/>
            </w:rPr>
            <w:fldChar w:fldCharType="separate"/>
          </w:r>
          <w:r>
            <w:rPr>
              <w:rFonts w:hint="default" w:ascii="Times New Roman" w:hAnsi="Times New Roman" w:eastAsia="黑体" w:cs="Times New Roman"/>
              <w:b w:val="0"/>
              <w:bCs w:val="0"/>
              <w:sz w:val="32"/>
              <w:szCs w:val="32"/>
              <w:rtl w:val="0"/>
              <w:lang w:val="en-US" w:eastAsia="zh-CN"/>
            </w:rPr>
            <w:t xml:space="preserve">第十一章 </w:t>
          </w:r>
          <w:r>
            <w:rPr>
              <w:rFonts w:hint="default" w:ascii="Times New Roman" w:hAnsi="Times New Roman" w:eastAsia="黑体" w:cs="Times New Roman"/>
              <w:b w:val="0"/>
              <w:bCs w:val="0"/>
              <w:spacing w:val="-11"/>
              <w:sz w:val="32"/>
              <w:szCs w:val="32"/>
              <w:rtl w:val="0"/>
              <w:lang w:val="en-US" w:eastAsia="zh-CN"/>
            </w:rPr>
            <w:t>加强民主政治建设</w:t>
          </w:r>
          <w:r>
            <w:rPr>
              <w:rFonts w:hint="default" w:ascii="Times New Roman" w:hAnsi="Times New Roman" w:eastAsia="黑体" w:cs="Times New Roman"/>
              <w:b w:val="0"/>
              <w:bCs w:val="0"/>
              <w:sz w:val="32"/>
              <w:szCs w:val="32"/>
              <w:rtl w:val="0"/>
              <w:lang w:val="en-US" w:eastAsia="zh-CN"/>
            </w:rPr>
            <w:t xml:space="preserve">  </w:t>
          </w:r>
          <w:r>
            <w:rPr>
              <w:rFonts w:hint="default" w:ascii="Times New Roman" w:hAnsi="Times New Roman" w:eastAsia="黑体" w:cs="Times New Roman"/>
              <w:b w:val="0"/>
              <w:bCs w:val="0"/>
              <w:spacing w:val="-11"/>
              <w:sz w:val="32"/>
              <w:szCs w:val="32"/>
              <w:rtl w:val="0"/>
              <w:lang w:val="en-US" w:eastAsia="zh-CN"/>
            </w:rPr>
            <w:t>营造公平正义法治环境</w:t>
          </w:r>
          <w:r>
            <w:rPr>
              <w:rFonts w:hint="default" w:ascii="Times New Roman" w:hAnsi="Times New Roman" w:cs="Times New Roman"/>
              <w:b w:val="0"/>
              <w:bCs w:val="0"/>
              <w:spacing w:val="-2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_Toc21961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73</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_Toc18231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kern w:val="2"/>
              <w:sz w:val="32"/>
              <w:szCs w:val="32"/>
              <w:rtl w:val="0"/>
              <w:lang w:val="en-US" w:eastAsia="zh-CN" w:bidi="ar-SA"/>
            </w:rPr>
            <w:t>第三十九节 全面推进社会主义政治建设</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_Toc18231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73</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_Toc21503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kern w:val="2"/>
              <w:sz w:val="32"/>
              <w:szCs w:val="32"/>
              <w:rtl w:val="0"/>
              <w:lang w:val="en-US" w:eastAsia="zh-CN" w:bidi="ar-SA"/>
            </w:rPr>
            <w:t>第四十节 全面推进法治瑶海建设</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_Toc21503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73</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val="en-US" w:eastAsia="zh-CN"/>
            </w:rPr>
            <w:fldChar w:fldCharType="begin"/>
          </w:r>
          <w:r>
            <w:rPr>
              <w:rFonts w:hint="default" w:ascii="Times New Roman" w:hAnsi="Times New Roman" w:cs="Times New Roman"/>
              <w:b w:val="0"/>
              <w:bCs w:val="0"/>
              <w:sz w:val="32"/>
              <w:szCs w:val="32"/>
              <w:lang w:val="en-US" w:eastAsia="zh-CN"/>
            </w:rPr>
            <w:instrText xml:space="preserve"> HYPERLINK \l _Toc9058 </w:instrText>
          </w:r>
          <w:r>
            <w:rPr>
              <w:rFonts w:hint="default" w:ascii="Times New Roman" w:hAnsi="Times New Roman" w:cs="Times New Roman"/>
              <w:b w:val="0"/>
              <w:bCs w:val="0"/>
              <w:sz w:val="32"/>
              <w:szCs w:val="32"/>
              <w:lang w:val="en-US" w:eastAsia="zh-CN"/>
            </w:rPr>
            <w:fldChar w:fldCharType="separate"/>
          </w:r>
          <w:r>
            <w:rPr>
              <w:rFonts w:hint="default" w:ascii="Times New Roman" w:hAnsi="Times New Roman" w:eastAsia="黑体" w:cs="Times New Roman"/>
              <w:b w:val="0"/>
              <w:bCs w:val="0"/>
              <w:sz w:val="32"/>
              <w:szCs w:val="32"/>
              <w:rtl w:val="0"/>
              <w:lang w:val="en-US" w:eastAsia="zh-CN"/>
            </w:rPr>
            <w:t>第十二章 切实加强规划实施与保障  确保规划目标顺利实现</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_Toc9058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74</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_Toc18743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第四十一节 加强党的全面领导</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_Toc18743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74</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_Toc31792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第四十二节 引导社会广泛参与</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_Toc31792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74</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 HYPERLINK \l _Toc5261 </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rtl w:val="0"/>
              <w:lang w:val="en-US" w:eastAsia="zh-CN"/>
            </w:rPr>
            <w:t>第四十三节 严格评估督导</w:t>
          </w:r>
          <w:r>
            <w:rPr>
              <w:rFonts w:hint="default" w:ascii="Times New Roman" w:hAnsi="Times New Roman" w:eastAsia="仿宋_GB2312" w:cs="Times New Roman"/>
              <w:b w:val="0"/>
              <w:bCs w:val="0"/>
              <w:sz w:val="32"/>
              <w:szCs w:val="32"/>
            </w:rPr>
            <w:tab/>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PAGEREF _Toc5261 \h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75</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lang w:val="en-US" w:eastAsia="zh-CN"/>
            </w:rPr>
            <w:fldChar w:fldCharType="end"/>
          </w:r>
        </w:p>
        <w:p>
          <w:pPr>
            <w:pStyle w:val="17"/>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宋体" w:cs="Times New Roman"/>
              <w:b/>
              <w:bCs/>
              <w:kern w:val="2"/>
              <w:sz w:val="32"/>
              <w:szCs w:val="32"/>
              <w:lang w:val="en-US" w:eastAsia="zh-CN" w:bidi="ar-SA"/>
            </w:rPr>
            <w:sectPr>
              <w:footerReference r:id="rId7" w:type="default"/>
              <w:pgSz w:w="11906" w:h="16838"/>
              <w:pgMar w:top="1440" w:right="1800" w:bottom="1440" w:left="1800" w:header="851" w:footer="1134" w:gutter="0"/>
              <w:pgNumType w:fmt="decimal" w:start="1"/>
              <w:cols w:space="425" w:num="1"/>
              <w:docGrid w:type="lines" w:linePitch="312" w:charSpace="0"/>
            </w:sectPr>
          </w:pPr>
          <w:r>
            <w:rPr>
              <w:rFonts w:hint="default" w:ascii="Times New Roman" w:hAnsi="Times New Roman" w:cs="Times New Roman"/>
              <w:b w:val="0"/>
              <w:bCs w:val="0"/>
              <w:sz w:val="32"/>
              <w:szCs w:val="32"/>
              <w:lang w:val="en-US" w:eastAsia="zh-CN"/>
            </w:rPr>
            <w:fldChar w:fldCharType="end"/>
          </w:r>
        </w:p>
      </w:sdtContent>
    </w:sdt>
    <w:sdt>
      <w:sdtPr>
        <w:rPr>
          <w:rFonts w:hint="default" w:ascii="Times New Roman" w:hAnsi="Times New Roman" w:eastAsia="方正小标宋简体" w:cs="Times New Roman"/>
          <w:color w:val="000000"/>
          <w:sz w:val="44"/>
          <w:szCs w:val="44"/>
          <w:lang w:val="en-US" w:eastAsia="zh-CN"/>
        </w:rPr>
        <w:id w:val="147461858"/>
        <w15:color w:val="DBDBDB"/>
        <w:docPartObj>
          <w:docPartGallery w:val="Table of Contents"/>
          <w:docPartUnique/>
        </w:docPartObj>
      </w:sdtPr>
      <w:sdtEndPr>
        <w:rPr>
          <w:rFonts w:hint="default" w:ascii="Times New Roman" w:hAnsi="Times New Roman" w:eastAsia="仿宋_GB2312" w:cs="Times New Roman"/>
          <w:bCs/>
          <w:color w:val="000000" w:themeColor="text1"/>
          <w:kern w:val="2"/>
          <w:sz w:val="21"/>
          <w:szCs w:val="32"/>
          <w:lang w:val="en-US" w:eastAsia="zh-CN" w:bidi="ar-SA"/>
          <w14:textFill>
            <w14:solidFill>
              <w14:schemeClr w14:val="tx1"/>
            </w14:solidFill>
          </w14:textFill>
        </w:rPr>
      </w:sdtEndPr>
      <w:sdtContent>
        <w:p>
          <w:pPr>
            <w:keepNext w:val="0"/>
            <w:keepLines w:val="0"/>
            <w:pageBreakBefore w:val="0"/>
            <w:widowControl w:val="0"/>
            <w:tabs>
              <w:tab w:val="left" w:pos="2340"/>
            </w:tabs>
            <w:kinsoku/>
            <w:wordWrap/>
            <w:overflowPunct/>
            <w:topLinePunct w:val="0"/>
            <w:autoSpaceDE/>
            <w:autoSpaceDN/>
            <w:bidi w:val="0"/>
            <w:adjustRightInd/>
            <w:snapToGrid w:val="0"/>
            <w:spacing w:after="313" w:afterLines="100" w:line="560" w:lineRule="exact"/>
            <w:jc w:val="center"/>
            <w:textAlignment w:val="auto"/>
            <w:rPr>
              <w:rFonts w:hint="default" w:ascii="Times New Roman" w:hAnsi="Times New Roman" w:cs="Times New Roman"/>
            </w:rPr>
          </w:pPr>
          <w:r>
            <w:rPr>
              <w:rFonts w:hint="default" w:ascii="Times New Roman" w:hAnsi="Times New Roman" w:eastAsia="方正小标宋简体" w:cs="Times New Roman"/>
              <w:color w:val="000000"/>
              <w:sz w:val="44"/>
              <w:szCs w:val="44"/>
              <w:lang w:val="en-US" w:eastAsia="zh-CN"/>
            </w:rPr>
            <w:t>专栏目录</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fldChar w:fldCharType="begin"/>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instrText xml:space="preserve">TOC \o "1-3" \h \u </w:instrTex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fldChar w:fldCharType="separate"/>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_Toc29724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专栏1 “十三五”规划</w:t>
          </w:r>
          <w:r>
            <w:rPr>
              <w:rFonts w:hint="eastAsia" w:eastAsia="仿宋_GB2312" w:cs="Times New Roman"/>
              <w:kern w:val="2"/>
              <w:sz w:val="32"/>
              <w:szCs w:val="32"/>
              <w:rtl w:val="0"/>
              <w:lang w:val="en-US" w:eastAsia="zh-CN" w:bidi="ar-SA"/>
            </w:rPr>
            <w:t>主要</w:t>
          </w:r>
          <w:r>
            <w:rPr>
              <w:rFonts w:hint="default" w:ascii="Times New Roman" w:hAnsi="Times New Roman" w:eastAsia="仿宋_GB2312" w:cs="Times New Roman"/>
              <w:kern w:val="2"/>
              <w:sz w:val="32"/>
              <w:szCs w:val="32"/>
              <w:rtl w:val="0"/>
              <w:lang w:val="en-US" w:eastAsia="zh-CN" w:bidi="ar-SA"/>
            </w:rPr>
            <w:t>目标完成情况</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_Toc29724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4</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_Toc26075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专栏2 “十四五”时期经济社会发展主要目标</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_Toc26075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11</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_Toc4302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专栏3 东部新中心重大工程项目</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_Toc4302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14</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_Toc1729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专栏4 “科银企担”对接行动</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_Toc1729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16</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_Toc17818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专栏5 科技创新重大工程项目</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_Toc17818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19</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_Toc19307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专栏6 皖企登云行动计划</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_Toc19307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22</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_Toc24053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专栏7 科技金融企业培育计划</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_Toc24053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23</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_Toc18009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专栏8 商贸服务业发展布局优化工程</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_Toc18009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24</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_Toc13905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专栏9 五大主导产业重大工程项目</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_Toc13905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29</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_Toc24302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专栏10 专业市场转型升级工程</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_Toc24302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30</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_Toc26472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专栏11 民营经济上台阶行动计划</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_Toc26472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35</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_Toc22102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专栏12 基础设施建设重大工程项目</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_Toc22102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37</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_Toc11006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专栏13 城市更新重大工程项目</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_Toc11006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41</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_Toc26979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 xml:space="preserve">专栏14 </w:t>
          </w:r>
          <w:r>
            <w:rPr>
              <w:rFonts w:hint="eastAsia" w:eastAsia="仿宋_GB2312" w:cs="Times New Roman"/>
              <w:kern w:val="2"/>
              <w:sz w:val="32"/>
              <w:szCs w:val="32"/>
              <w:rtl w:val="0"/>
              <w:lang w:val="en-US" w:eastAsia="zh-CN" w:bidi="ar-SA"/>
            </w:rPr>
            <w:t>“新基建+”</w:t>
          </w:r>
          <w:r>
            <w:rPr>
              <w:rFonts w:hint="default" w:ascii="Times New Roman" w:hAnsi="Times New Roman" w:eastAsia="仿宋_GB2312" w:cs="Times New Roman"/>
              <w:kern w:val="2"/>
              <w:sz w:val="32"/>
              <w:szCs w:val="32"/>
              <w:rtl w:val="0"/>
              <w:lang w:val="en-US" w:eastAsia="zh-CN" w:bidi="ar-SA"/>
            </w:rPr>
            <w:t>行动</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_Toc26979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43</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_Toc22024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专栏15 “五个百分百”素质教育工程</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_Toc22024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48</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_Toc16993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专栏16 教育体育重大工程项目</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_Toc16993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49</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_Toc14320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专栏17 医疗卫生重大工程项目</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_Toc14320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52</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_Toc29872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专栏18 养老事业重大工程项目</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_Toc29872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55</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_Toc25078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专栏19 社会治理系列模式创新提升工程</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_Toc25078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57</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HYPERLINK \l _Toc31507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专栏20 生态环境治理重大工程项目</w:t>
          </w:r>
          <w:r>
            <w:rPr>
              <w:rFonts w:hint="default" w:ascii="Times New Roman" w:hAnsi="Times New Roman" w:eastAsia="仿宋_GB2312" w:cs="Times New Roman"/>
              <w:kern w:val="2"/>
              <w:sz w:val="32"/>
              <w:szCs w:val="32"/>
              <w:rtl w:val="0"/>
              <w:lang w:val="en-US" w:eastAsia="zh-CN" w:bidi="ar-SA"/>
            </w:rPr>
            <w:tab/>
          </w:r>
          <w:r>
            <w:rPr>
              <w:rFonts w:hint="default" w:ascii="Times New Roman" w:hAnsi="Times New Roman" w:eastAsia="仿宋_GB2312" w:cs="Times New Roman"/>
              <w:kern w:val="2"/>
              <w:sz w:val="32"/>
              <w:szCs w:val="32"/>
              <w:rtl w:val="0"/>
              <w:lang w:val="en-US" w:eastAsia="zh-CN" w:bidi="ar-SA"/>
            </w:rPr>
            <w:fldChar w:fldCharType="begin"/>
          </w:r>
          <w:r>
            <w:rPr>
              <w:rFonts w:hint="default" w:ascii="Times New Roman" w:hAnsi="Times New Roman" w:eastAsia="仿宋_GB2312" w:cs="Times New Roman"/>
              <w:kern w:val="2"/>
              <w:sz w:val="32"/>
              <w:szCs w:val="32"/>
              <w:rtl w:val="0"/>
              <w:lang w:val="en-US" w:eastAsia="zh-CN" w:bidi="ar-SA"/>
            </w:rPr>
            <w:instrText xml:space="preserve"> PAGEREF _Toc31507 \h </w:instrText>
          </w:r>
          <w:r>
            <w:rPr>
              <w:rFonts w:hint="default" w:ascii="Times New Roman" w:hAnsi="Times New Roman" w:eastAsia="仿宋_GB2312" w:cs="Times New Roman"/>
              <w:kern w:val="2"/>
              <w:sz w:val="32"/>
              <w:szCs w:val="32"/>
              <w:rtl w:val="0"/>
              <w:lang w:val="en-US" w:eastAsia="zh-CN" w:bidi="ar-SA"/>
            </w:rPr>
            <w:fldChar w:fldCharType="separate"/>
          </w:r>
          <w:r>
            <w:rPr>
              <w:rFonts w:hint="default" w:ascii="Times New Roman" w:hAnsi="Times New Roman" w:eastAsia="仿宋_GB2312" w:cs="Times New Roman"/>
              <w:kern w:val="2"/>
              <w:sz w:val="32"/>
              <w:szCs w:val="32"/>
              <w:rtl w:val="0"/>
              <w:lang w:val="en-US" w:eastAsia="zh-CN" w:bidi="ar-SA"/>
            </w:rPr>
            <w:t>64</w:t>
          </w:r>
          <w:r>
            <w:rPr>
              <w:rFonts w:hint="default" w:ascii="Times New Roman" w:hAnsi="Times New Roman" w:eastAsia="仿宋_GB2312" w:cs="Times New Roman"/>
              <w:kern w:val="2"/>
              <w:sz w:val="32"/>
              <w:szCs w:val="32"/>
              <w:rtl w:val="0"/>
              <w:lang w:val="en-US" w:eastAsia="zh-CN" w:bidi="ar-SA"/>
            </w:rPr>
            <w:fldChar w:fldCharType="end"/>
          </w:r>
          <w:r>
            <w:rPr>
              <w:rFonts w:hint="default" w:ascii="Times New Roman" w:hAnsi="Times New Roman" w:eastAsia="仿宋_GB2312" w:cs="Times New Roman"/>
              <w:kern w:val="2"/>
              <w:sz w:val="32"/>
              <w:szCs w:val="32"/>
              <w:rtl w:val="0"/>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Cs/>
              <w:color w:val="000000" w:themeColor="text1"/>
              <w:kern w:val="2"/>
              <w:szCs w:val="32"/>
              <w:lang w:val="en-US" w:eastAsia="zh-CN" w:bidi="ar-SA"/>
              <w14:textFill>
                <w14:solidFill>
                  <w14:schemeClr w14:val="tx1"/>
                </w14:solidFill>
              </w14:textFill>
            </w:rPr>
            <w:sectPr>
              <w:pgSz w:w="11906" w:h="16838"/>
              <w:pgMar w:top="1440" w:right="1800" w:bottom="1440" w:left="1800" w:header="851" w:footer="1134" w:gutter="0"/>
              <w:pgNumType w:fmt="decimal"/>
              <w:cols w:space="425" w:num="1"/>
              <w:docGrid w:type="lines" w:linePitch="312" w:charSpace="0"/>
            </w:sectPr>
          </w:pPr>
          <w:r>
            <w:rPr>
              <w:rFonts w:hint="default" w:ascii="Times New Roman" w:hAnsi="Times New Roman" w:eastAsia="仿宋_GB2312" w:cs="Times New Roman"/>
              <w:bCs/>
              <w:color w:val="000000" w:themeColor="text1"/>
              <w:szCs w:val="32"/>
              <w:lang w:eastAsia="zh-CN"/>
              <w14:textFill>
                <w14:solidFill>
                  <w14:schemeClr w14:val="tx1"/>
                </w14:solidFill>
              </w14:textFill>
            </w:rPr>
            <w:fldChar w:fldCharType="end"/>
          </w:r>
        </w:p>
      </w:sdtContent>
    </w:sdt>
    <w:p>
      <w:pPr>
        <w:keepNext w:val="0"/>
        <w:keepLines w:val="0"/>
        <w:pageBreakBefore/>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十四五</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时期是我国全面建成小康社会、实现第一个百年奋斗目标之后，乘势而上开启全面建设社会主义现代化国家新征程、向第二个百年奋斗目标进军的第一个五年。</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bCs/>
          <w:color w:val="000000" w:themeColor="text1"/>
          <w:sz w:val="32"/>
          <w:szCs w:val="32"/>
          <w:lang w:val="en-US" w:eastAsia="zh-CN"/>
          <w14:textFill>
            <w14:solidFill>
              <w14:schemeClr w14:val="tx1"/>
            </w14:solidFill>
          </w14:textFill>
        </w:rPr>
        <w:t>合肥市</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瑶海区国民经济和社会发展第十四个五年规划和</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2035</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年远景目标纲要》，</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根据《中共瑶海区委关于制定</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国民经济和社会发展第十四个五年规划</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和二〇三五</w:t>
      </w:r>
      <w:r>
        <w:rPr>
          <w:rFonts w:hint="eastAsia" w:ascii="Times New Roman" w:hAnsi="Times New Roman" w:eastAsia="仿宋_GB2312" w:cs="Times New Roman"/>
          <w:bCs/>
          <w:color w:val="000000" w:themeColor="text1"/>
          <w:sz w:val="32"/>
          <w:szCs w:val="32"/>
          <w:lang w:val="en-US" w:eastAsia="zh-CN"/>
          <w14:textFill>
            <w14:solidFill>
              <w14:schemeClr w14:val="tx1"/>
            </w14:solidFill>
          </w14:textFill>
        </w:rPr>
        <w:t>年</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远景</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目标的建议》编制，主要明确“十四五”时期瑶海经济社会发展指导思想、基本原则、发展目标，展望到2035年基本实现社会主义现代化远景目标，谋划重大战略，部署重大任务，实施重大工程，确定政府工作重点，引导市场主体行为，是政府依法履行职责的重要依据，是未来五到十五年我区国民经济和社会发展的宏伟蓝图，是全区人民共同奋斗的行动纲领。</w:t>
      </w:r>
    </w:p>
    <w:p>
      <w:pPr>
        <w:pStyle w:val="2"/>
        <w:keepNext/>
        <w:keepLines/>
        <w:pageBreakBefore w:val="0"/>
        <w:widowControl w:val="0"/>
        <w:numPr>
          <w:ilvl w:val="0"/>
          <w:numId w:val="2"/>
        </w:numPr>
        <w:kinsoku/>
        <w:wordWrap/>
        <w:overflowPunct/>
        <w:topLinePunct w:val="0"/>
        <w:autoSpaceDE/>
        <w:autoSpaceDN/>
        <w:bidi w:val="0"/>
        <w:adjustRightInd/>
        <w:snapToGrid/>
        <w:spacing w:before="50" w:beforeLines="50" w:after="50" w:afterLines="50" w:line="560" w:lineRule="exact"/>
        <w:ind w:left="0" w:leftChars="0" w:firstLine="640" w:firstLineChars="200"/>
        <w:jc w:val="left"/>
        <w:textAlignment w:val="auto"/>
        <w:rPr>
          <w:rFonts w:hint="default" w:ascii="Times New Roman" w:hAnsi="Times New Roman" w:eastAsia="黑体" w:cs="Times New Roman"/>
          <w:b w:val="0"/>
          <w:sz w:val="32"/>
          <w:lang w:val="en-US" w:eastAsia="zh-CN"/>
        </w:rPr>
      </w:pPr>
      <w:r>
        <w:rPr>
          <w:rFonts w:hint="default" w:ascii="Times New Roman" w:hAnsi="Times New Roman" w:eastAsia="黑体" w:cs="Times New Roman"/>
          <w:b w:val="0"/>
          <w:sz w:val="32"/>
          <w:lang w:val="en-US" w:eastAsia="zh-CN"/>
        </w:rPr>
        <w:t xml:space="preserve">  </w:t>
      </w:r>
      <w:bookmarkStart w:id="2" w:name="_Toc3410"/>
      <w:bookmarkStart w:id="3" w:name="_Toc14123"/>
      <w:r>
        <w:rPr>
          <w:rFonts w:hint="default" w:ascii="Times New Roman" w:hAnsi="Times New Roman" w:eastAsia="黑体" w:cs="Times New Roman"/>
          <w:b w:val="0"/>
          <w:sz w:val="32"/>
          <w:lang w:val="en-US" w:eastAsia="zh-CN"/>
        </w:rPr>
        <w:t>全面建成小康社会  开启新阶段现代化美好瑶海建设新征程</w:t>
      </w:r>
      <w:bookmarkEnd w:id="2"/>
      <w:bookmarkEnd w:id="3"/>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lang w:val="en-US" w:eastAsia="zh-CN"/>
        </w:rPr>
        <w:t xml:space="preserve"> </w:t>
      </w:r>
      <w:bookmarkStart w:id="4" w:name="_Toc3999"/>
      <w:bookmarkStart w:id="5" w:name="_Toc3576"/>
      <w:bookmarkStart w:id="6" w:name="_Toc16065"/>
      <w:bookmarkStart w:id="7" w:name="_Toc19348"/>
      <w:r>
        <w:rPr>
          <w:rFonts w:hint="default" w:ascii="Times New Roman" w:hAnsi="Times New Roman" w:eastAsia="宋体" w:cs="Times New Roman"/>
          <w:sz w:val="32"/>
          <w:lang w:val="en-US" w:eastAsia="zh-CN"/>
        </w:rPr>
        <w:t>“十三五”时期发展成就</w:t>
      </w:r>
      <w:bookmarkEnd w:id="4"/>
      <w:bookmarkEnd w:id="5"/>
      <w:bookmarkEnd w:id="6"/>
      <w:bookmarkEnd w:id="7"/>
    </w:p>
    <w:p>
      <w:pPr>
        <w:pageBreakBefore w:val="0"/>
        <w:numPr>
          <w:ilvl w:val="0"/>
          <w:numId w:val="0"/>
        </w:numPr>
        <w:tabs>
          <w:tab w:val="left" w:pos="0"/>
        </w:tabs>
        <w:kinsoku/>
        <w:overflowPunct/>
        <w:autoSpaceDE/>
        <w:autoSpaceDN/>
        <w:bidi w:val="0"/>
        <w:adjustRightInd/>
        <w:spacing w:line="560" w:lineRule="exact"/>
        <w:ind w:firstLine="640" w:firstLineChars="200"/>
        <w:textAlignment w:val="auto"/>
        <w:outlineLvl w:val="9"/>
        <w:rPr>
          <w:rFonts w:hint="default" w:ascii="Times New Roman" w:hAnsi="Times New Roman" w:cs="Times New Roman"/>
          <w:lang w:val="en-US" w:eastAsia="zh-CN"/>
        </w:rPr>
      </w:pP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十三五</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以来，我区以习近平新时代中国特色社会主义思想为指导，深入贯彻落实习近平总书记视察安徽重要讲话精神，齐心协力，共同奋斗，</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推动</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12345</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发展战略</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深入实施</w:t>
      </w:r>
      <w:r>
        <w:rPr>
          <w:rFonts w:hint="default" w:ascii="Times New Roman" w:hAnsi="Times New Roman" w:eastAsia="仿宋_GB2312" w:cs="Times New Roman"/>
          <w:bCs/>
          <w:color w:val="000000" w:themeColor="text1"/>
          <w:sz w:val="32"/>
          <w:szCs w:val="32"/>
          <w14:textFill>
            <w14:solidFill>
              <w14:schemeClr w14:val="tx1"/>
            </w14:solidFill>
          </w14:textFill>
        </w:rPr>
        <w:t>，统筹新冠肺炎疫情防控和经济社会发展，扎实做好</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六稳</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工作，全面落实</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六保</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任务，全区经济社会发展取得显著成就</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发展基础更加坚实</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p>
    <w:bookmarkEnd w:id="0"/>
    <w:p>
      <w:pPr>
        <w:pageBreakBefore w:val="0"/>
        <w:numPr>
          <w:ilvl w:val="0"/>
          <w:numId w:val="0"/>
        </w:numPr>
        <w:tabs>
          <w:tab w:val="left" w:pos="0"/>
        </w:tabs>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pPr>
      <w:bookmarkStart w:id="8" w:name="_Toc2571"/>
      <w:bookmarkStart w:id="9" w:name="_Toc5225"/>
      <w:bookmarkStart w:id="10" w:name="_Toc12595"/>
      <w:r>
        <w:rPr>
          <w:rFonts w:hint="default" w:ascii="Times New Roman" w:hAnsi="Times New Roman" w:eastAsia="楷体_GB2312" w:cs="Times New Roman"/>
          <w:b/>
          <w:color w:val="000000" w:themeColor="text1"/>
          <w:sz w:val="32"/>
          <w:szCs w:val="32"/>
          <w14:textFill>
            <w14:solidFill>
              <w14:schemeClr w14:val="tx1"/>
            </w14:solidFill>
          </w14:textFill>
        </w:rPr>
        <w:t>经济实力持续攀升。</w:t>
      </w:r>
      <w:r>
        <w:rPr>
          <w:rFonts w:hint="default" w:ascii="Times New Roman" w:hAnsi="Times New Roman" w:eastAsia="仿宋_GB2312" w:cs="Times New Roman"/>
          <w:bCs/>
          <w:color w:val="000000" w:themeColor="text1"/>
          <w:sz w:val="32"/>
          <w:szCs w:val="32"/>
          <w14:textFill>
            <w14:solidFill>
              <w14:schemeClr w14:val="tx1"/>
            </w14:solidFill>
          </w14:textFill>
        </w:rPr>
        <w:t>2020年地区生产总值</w:t>
      </w:r>
      <w:r>
        <w:rPr>
          <w:rFonts w:hint="eastAsia" w:ascii="Times New Roman" w:hAnsi="Times New Roman" w:eastAsia="仿宋_GB2312" w:cs="Times New Roman"/>
          <w:bCs/>
          <w:color w:val="000000" w:themeColor="text1"/>
          <w:sz w:val="32"/>
          <w:szCs w:val="32"/>
          <w:lang w:val="en-US" w:eastAsia="zh-CN"/>
          <w14:textFill>
            <w14:solidFill>
              <w14:schemeClr w14:val="tx1"/>
            </w14:solidFill>
          </w14:textFill>
        </w:rPr>
        <w:t>达到</w:t>
      </w:r>
      <w:r>
        <w:rPr>
          <w:rFonts w:hint="default" w:ascii="Times New Roman" w:hAnsi="Times New Roman" w:eastAsia="仿宋_GB2312" w:cs="Times New Roman"/>
          <w:bCs/>
          <w:color w:val="000000" w:themeColor="text1"/>
          <w:sz w:val="32"/>
          <w:szCs w:val="32"/>
          <w14:textFill>
            <w14:solidFill>
              <w14:schemeClr w14:val="tx1"/>
            </w14:solidFill>
          </w14:textFill>
        </w:rPr>
        <w:t>6</w:t>
      </w:r>
      <w:r>
        <w:rPr>
          <w:rFonts w:hint="eastAsia" w:ascii="Times New Roman" w:hAnsi="Times New Roman" w:eastAsia="仿宋_GB2312" w:cs="Times New Roman"/>
          <w:bCs/>
          <w:color w:val="000000" w:themeColor="text1"/>
          <w:sz w:val="32"/>
          <w:szCs w:val="32"/>
          <w:lang w:val="en-US" w:eastAsia="zh-CN"/>
          <w14:textFill>
            <w14:solidFill>
              <w14:schemeClr w14:val="tx1"/>
            </w14:solidFill>
          </w14:textFill>
        </w:rPr>
        <w:t>22.6</w:t>
      </w:r>
      <w:r>
        <w:rPr>
          <w:rFonts w:hint="default" w:ascii="Times New Roman" w:hAnsi="Times New Roman" w:eastAsia="仿宋_GB2312" w:cs="Times New Roman"/>
          <w:bCs/>
          <w:color w:val="000000" w:themeColor="text1"/>
          <w:sz w:val="32"/>
          <w:szCs w:val="32"/>
          <w14:textFill>
            <w14:solidFill>
              <w14:schemeClr w14:val="tx1"/>
            </w14:solidFill>
          </w14:textFill>
        </w:rPr>
        <w:t>亿元</w:t>
      </w:r>
      <w:r>
        <w:rPr>
          <w:rFonts w:hint="eastAsia" w:ascii="Times New Roman" w:hAnsi="Times New Roman" w:eastAsia="仿宋_GB2312" w:cs="Times New Roman"/>
          <w:bCs/>
          <w:color w:val="000000" w:themeColor="text1"/>
          <w:sz w:val="32"/>
          <w:szCs w:val="32"/>
          <w:lang w:val="en-US" w:eastAsia="zh-CN"/>
          <w14:textFill>
            <w14:solidFill>
              <w14:schemeClr w14:val="tx1"/>
            </w14:solidFill>
          </w14:textFill>
        </w:rPr>
        <w:t>，年均增长6%；一般公共预算收入达到17.7亿元，年均增长6.1%</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。新一代信息技术等五大主导产业不断壮大，“中国网谷”品牌打响，物联网科技产业园成为长三角G60科创走廊首个挂牌成立的产业合作示范园，安徽短视频直播基地挂牌成立，长江180艺术街区投入运营。</w:t>
      </w:r>
      <w:bookmarkEnd w:id="8"/>
      <w:bookmarkStart w:id="11" w:name="_Toc26159"/>
    </w:p>
    <w:p>
      <w:pPr>
        <w:pageBreakBefore w:val="0"/>
        <w:numPr>
          <w:ilvl w:val="0"/>
          <w:numId w:val="0"/>
        </w:numPr>
        <w:tabs>
          <w:tab w:val="left" w:pos="0"/>
        </w:tabs>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
          <w:color w:val="000000" w:themeColor="text1"/>
          <w:sz w:val="32"/>
          <w:szCs w:val="32"/>
          <w14:textFill>
            <w14:solidFill>
              <w14:schemeClr w14:val="tx1"/>
            </w14:solidFill>
          </w14:textFill>
        </w:rPr>
        <w:t>城区面貌持续改善。</w:t>
      </w:r>
      <w:r>
        <w:rPr>
          <w:rFonts w:hint="default" w:ascii="Times New Roman" w:hAnsi="Times New Roman" w:eastAsia="仿宋_GB2312" w:cs="Times New Roman"/>
          <w:bCs/>
          <w:color w:val="000000" w:themeColor="text1"/>
          <w:sz w:val="32"/>
          <w:szCs w:val="32"/>
          <w14:textFill>
            <w14:solidFill>
              <w14:schemeClr w14:val="tx1"/>
            </w14:solidFill>
          </w14:textFill>
        </w:rPr>
        <w:t>全国老工业区转型发展示范区建设进展顺利，合肥东部新中心全面进入实质开发建设阶段。一环路、长江东路等城市快速道路和主干道路</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得到改善</w:t>
      </w:r>
      <w:r>
        <w:rPr>
          <w:rFonts w:hint="default" w:ascii="Times New Roman" w:hAnsi="Times New Roman" w:eastAsia="仿宋_GB2312" w:cs="Times New Roman"/>
          <w:bCs/>
          <w:color w:val="000000" w:themeColor="text1"/>
          <w:sz w:val="32"/>
          <w:szCs w:val="32"/>
          <w14:textFill>
            <w14:solidFill>
              <w14:schemeClr w14:val="tx1"/>
            </w14:solidFill>
          </w14:textFill>
        </w:rPr>
        <w:t>，</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一环两横两纵</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 xml:space="preserve"> 和</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五横八纵</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的路网体系基本成型。完成征迁面积</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600</w:t>
      </w:r>
      <w:r>
        <w:rPr>
          <w:rFonts w:hint="default" w:ascii="Times New Roman" w:hAnsi="Times New Roman" w:eastAsia="仿宋_GB2312" w:cs="Times New Roman"/>
          <w:bCs/>
          <w:color w:val="000000" w:themeColor="text1"/>
          <w:sz w:val="32"/>
          <w:szCs w:val="32"/>
          <w14:textFill>
            <w14:solidFill>
              <w14:schemeClr w14:val="tx1"/>
            </w14:solidFill>
          </w14:textFill>
        </w:rPr>
        <w:t>万平方米，城市发展空间得到拓展。建成复建点193.9</w:t>
      </w:r>
      <w:r>
        <w:rPr>
          <w:rFonts w:hint="default" w:ascii="Times New Roman" w:hAnsi="Times New Roman" w:eastAsia="仿宋_GB2312" w:cs="Times New Roman"/>
          <w:color w:val="000000" w:themeColor="text1"/>
          <w:sz w:val="32"/>
          <w:szCs w:val="32"/>
          <w14:textFill>
            <w14:solidFill>
              <w14:schemeClr w14:val="tx1"/>
            </w14:solidFill>
          </w14:textFill>
        </w:rPr>
        <w:t>万</w:t>
      </w:r>
      <w:r>
        <w:rPr>
          <w:rFonts w:hint="default" w:ascii="Times New Roman" w:hAnsi="Times New Roman" w:eastAsia="仿宋_GB2312" w:cs="Times New Roman"/>
          <w:bCs/>
          <w:color w:val="000000" w:themeColor="text1"/>
          <w:sz w:val="32"/>
          <w:szCs w:val="32"/>
          <w14:textFill>
            <w14:solidFill>
              <w14:schemeClr w14:val="tx1"/>
            </w14:solidFill>
          </w14:textFill>
        </w:rPr>
        <w:t>平方米</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完成83个老旧小区</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和34</w:t>
      </w:r>
      <w:r>
        <w:rPr>
          <w:rFonts w:hint="default" w:ascii="Times New Roman" w:hAnsi="Times New Roman" w:eastAsia="仿宋_GB2312" w:cs="Times New Roman"/>
          <w:bCs/>
          <w:color w:val="000000" w:themeColor="text1"/>
          <w:sz w:val="32"/>
          <w:szCs w:val="32"/>
          <w14:textFill>
            <w14:solidFill>
              <w14:schemeClr w14:val="tx1"/>
            </w14:solidFill>
          </w14:textFill>
        </w:rPr>
        <w:t>条老旧街巷改造，</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城区</w:t>
      </w:r>
      <w:r>
        <w:rPr>
          <w:rFonts w:hint="default" w:ascii="Times New Roman" w:hAnsi="Times New Roman" w:eastAsia="仿宋_GB2312" w:cs="Times New Roman"/>
          <w:bCs/>
          <w:color w:val="000000" w:themeColor="text1"/>
          <w:sz w:val="32"/>
          <w:szCs w:val="32"/>
          <w14:textFill>
            <w14:solidFill>
              <w14:schemeClr w14:val="tx1"/>
            </w14:solidFill>
          </w14:textFill>
        </w:rPr>
        <w:t>居住品质得到改善。</w:t>
      </w:r>
      <w:bookmarkEnd w:id="11"/>
      <w:bookmarkStart w:id="12" w:name="_Toc2620"/>
    </w:p>
    <w:p>
      <w:pPr>
        <w:pageBreakBefore w:val="0"/>
        <w:numPr>
          <w:ilvl w:val="0"/>
          <w:numId w:val="0"/>
        </w:numPr>
        <w:tabs>
          <w:tab w:val="left" w:pos="0"/>
        </w:tabs>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color w:val="000000" w:themeColor="text1"/>
          <w:sz w:val="32"/>
          <w:szCs w:val="32"/>
          <w14:textFill>
            <w14:solidFill>
              <w14:schemeClr w14:val="tx1"/>
            </w14:solidFill>
          </w14:textFill>
        </w:rPr>
        <w:t>社会大局持续稳定。</w:t>
      </w:r>
      <w:bookmarkEnd w:id="12"/>
      <w:bookmarkStart w:id="13" w:name="_Toc29723"/>
      <w:r>
        <w:rPr>
          <w:rFonts w:hint="default" w:ascii="Times New Roman" w:hAnsi="Times New Roman" w:eastAsia="仿宋_GB2312" w:cs="Times New Roman"/>
          <w:color w:val="000000" w:themeColor="text1"/>
          <w:sz w:val="32"/>
          <w:szCs w:val="32"/>
          <w14:textFill>
            <w14:solidFill>
              <w14:schemeClr w14:val="tx1"/>
            </w14:solidFill>
          </w14:textFill>
        </w:rPr>
        <w:t>在全市率先建成区级党群服务中心、率先实施街道体制改革</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和社区优化整合</w:t>
      </w:r>
      <w:r>
        <w:rPr>
          <w:rFonts w:hint="default" w:ascii="Times New Roman" w:hAnsi="Times New Roman" w:eastAsia="仿宋_GB2312" w:cs="Times New Roman"/>
          <w:color w:val="000000" w:themeColor="text1"/>
          <w:sz w:val="32"/>
          <w:szCs w:val="32"/>
          <w14:textFill>
            <w14:solidFill>
              <w14:schemeClr w14:val="tx1"/>
            </w14:solidFill>
          </w14:textFill>
        </w:rPr>
        <w:t>，区街两级综治中心建成运营，城市基层党建引领基层治理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三大体系</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逐步形成</w:t>
      </w:r>
      <w:r>
        <w:rPr>
          <w:rFonts w:hint="default" w:ascii="Times New Roman" w:hAnsi="Times New Roman" w:eastAsia="仿宋_GB2312" w:cs="Times New Roman"/>
          <w:color w:val="000000" w:themeColor="text1"/>
          <w:sz w:val="32"/>
          <w:szCs w:val="32"/>
          <w14:textFill>
            <w14:solidFill>
              <w14:schemeClr w14:val="tx1"/>
            </w14:solidFill>
          </w14:textFill>
        </w:rPr>
        <w:t>。全力推进</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一网五统一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全要素网格化管理，创新运用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四步工作法</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，建立</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行走瑶海，服务基层</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等平台载体，党建引领基层治理水平进一步提高。群众安全感和政法满意度</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双提升</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工作成效明显，信访总量持续下降。安全生产保持稳定，食品药品安全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双城</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同创工作保持城区首位，获评全省民族团结进步创建示范区。</w:t>
      </w:r>
    </w:p>
    <w:p>
      <w:pPr>
        <w:pageBreakBefore w:val="0"/>
        <w:numPr>
          <w:ilvl w:val="0"/>
          <w:numId w:val="0"/>
        </w:numPr>
        <w:tabs>
          <w:tab w:val="left" w:pos="0"/>
        </w:tabs>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
          <w:color w:val="000000" w:themeColor="text1"/>
          <w:sz w:val="32"/>
          <w:szCs w:val="32"/>
          <w14:textFill>
            <w14:solidFill>
              <w14:schemeClr w14:val="tx1"/>
            </w14:solidFill>
          </w14:textFill>
        </w:rPr>
        <w:t>营商环境持续优化。</w:t>
      </w:r>
      <w:r>
        <w:rPr>
          <w:rFonts w:hint="default" w:ascii="Times New Roman" w:hAnsi="Times New Roman" w:eastAsia="仿宋_GB2312" w:cs="Times New Roman"/>
          <w:bCs/>
          <w:color w:val="000000" w:themeColor="text1"/>
          <w:sz w:val="32"/>
          <w:szCs w:val="32"/>
          <w14:textFill>
            <w14:solidFill>
              <w14:schemeClr w14:val="tx1"/>
            </w14:solidFill>
          </w14:textFill>
        </w:rPr>
        <w:t>完成新一轮政府机构改革，行政体制改革向纵深推进。深化国资国企改革，国有企业法人治理结构得到规范。深化</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放管服</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改革，常态化推进大调研和</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四送一服</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等工作。政务服务中心投入运行，全省首创</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一窗通办</w:t>
      </w:r>
      <w:r>
        <w:rPr>
          <w:rFonts w:hint="default" w:ascii="Times New Roman" w:hAnsi="Times New Roman" w:eastAsia="方正仿宋_GB2312" w:cs="Times New Roman"/>
          <w:bCs/>
          <w:color w:val="000000" w:themeColor="text1"/>
          <w:sz w:val="32"/>
          <w:szCs w:val="32"/>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主题服务</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基层政务服务新模式</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，“7×24 小时政务服务大厅”、个体登记智能审批系统、长三角地区政务服务“一网通办”综合服务专区等工作全省</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领先</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瑶海服务</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品牌效应大幅提</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高</w:t>
      </w:r>
      <w:r>
        <w:rPr>
          <w:rFonts w:hint="default" w:ascii="Times New Roman" w:hAnsi="Times New Roman" w:eastAsia="仿宋_GB2312" w:cs="Times New Roman"/>
          <w:bCs/>
          <w:color w:val="000000" w:themeColor="text1"/>
          <w:sz w:val="32"/>
          <w:szCs w:val="32"/>
          <w14:textFill>
            <w14:solidFill>
              <w14:schemeClr w14:val="tx1"/>
            </w14:solidFill>
          </w14:textFill>
        </w:rPr>
        <w:t>。</w:t>
      </w:r>
      <w:bookmarkEnd w:id="13"/>
      <w:bookmarkStart w:id="14" w:name="_Toc30239"/>
    </w:p>
    <w:p>
      <w:pPr>
        <w:pageBreakBefore w:val="0"/>
        <w:numPr>
          <w:ilvl w:val="0"/>
          <w:numId w:val="0"/>
        </w:numPr>
        <w:tabs>
          <w:tab w:val="left" w:pos="0"/>
        </w:tabs>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
          <w:color w:val="000000" w:themeColor="text1"/>
          <w:sz w:val="32"/>
          <w:szCs w:val="32"/>
          <w14:textFill>
            <w14:solidFill>
              <w14:schemeClr w14:val="tx1"/>
            </w14:solidFill>
          </w14:textFill>
        </w:rPr>
        <w:t>人居环境持续</w:t>
      </w:r>
      <w:r>
        <w:rPr>
          <w:rFonts w:hint="default" w:ascii="Times New Roman" w:hAnsi="Times New Roman" w:eastAsia="楷体_GB2312" w:cs="Times New Roman"/>
          <w:b/>
          <w:color w:val="000000" w:themeColor="text1"/>
          <w:sz w:val="32"/>
          <w:szCs w:val="32"/>
          <w:lang w:val="en-US" w:eastAsia="zh-CN"/>
          <w14:textFill>
            <w14:solidFill>
              <w14:schemeClr w14:val="tx1"/>
            </w14:solidFill>
          </w14:textFill>
        </w:rPr>
        <w:t>向好</w:t>
      </w:r>
      <w:r>
        <w:rPr>
          <w:rFonts w:hint="default" w:ascii="Times New Roman" w:hAnsi="Times New Roman" w:eastAsia="楷体_GB2312" w:cs="Times New Roman"/>
          <w:b/>
          <w:color w:val="000000" w:themeColor="text1"/>
          <w:sz w:val="32"/>
          <w:szCs w:val="32"/>
          <w14:textFill>
            <w14:solidFill>
              <w14:schemeClr w14:val="tx1"/>
            </w14:solidFill>
          </w14:textFill>
        </w:rPr>
        <w:t>。</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强化生态环境治理，</w:t>
      </w:r>
      <w:r>
        <w:rPr>
          <w:rFonts w:hint="default" w:ascii="Times New Roman" w:hAnsi="Times New Roman" w:eastAsia="仿宋_GB2312" w:cs="Times New Roman"/>
          <w:bCs/>
          <w:color w:val="000000" w:themeColor="text1"/>
          <w:sz w:val="32"/>
          <w:szCs w:val="32"/>
          <w14:textFill>
            <w14:solidFill>
              <w14:schemeClr w14:val="tx1"/>
            </w14:solidFill>
          </w14:textFill>
        </w:rPr>
        <w:t>建成全省</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首个</w:t>
      </w:r>
      <w:r>
        <w:rPr>
          <w:rFonts w:hint="default" w:ascii="Times New Roman" w:hAnsi="Times New Roman" w:eastAsia="仿宋_GB2312" w:cs="Times New Roman"/>
          <w:bCs/>
          <w:color w:val="000000" w:themeColor="text1"/>
          <w:sz w:val="32"/>
          <w:szCs w:val="32"/>
          <w14:textFill>
            <w14:solidFill>
              <w14:schemeClr w14:val="tx1"/>
            </w14:solidFill>
          </w14:textFill>
        </w:rPr>
        <w:t>空气质量网格化监管平台，</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主要污染物浓度</w:t>
      </w:r>
      <w:r>
        <w:rPr>
          <w:rFonts w:hint="default" w:ascii="Times New Roman" w:hAnsi="Times New Roman" w:eastAsia="仿宋_GB2312" w:cs="Times New Roman"/>
          <w:bCs/>
          <w:color w:val="000000" w:themeColor="text1"/>
          <w:sz w:val="32"/>
          <w:szCs w:val="32"/>
          <w14:textFill>
            <w14:solidFill>
              <w14:schemeClr w14:val="tx1"/>
            </w14:solidFill>
          </w14:textFill>
        </w:rPr>
        <w:t>综合下降率全市领先。全面落实河长常态巡查等</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五项机制</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，全区5处考核断面水质首次全部达标。</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马（合）钢</w:t>
      </w:r>
      <w:r>
        <w:rPr>
          <w:rFonts w:hint="default" w:ascii="Times New Roman" w:hAnsi="Times New Roman" w:eastAsia="仿宋_GB2312" w:cs="Times New Roman"/>
          <w:bCs/>
          <w:color w:val="000000" w:themeColor="text1"/>
          <w:sz w:val="32"/>
          <w:szCs w:val="32"/>
          <w14:textFill>
            <w14:solidFill>
              <w14:schemeClr w14:val="tx1"/>
            </w14:solidFill>
          </w14:textFill>
        </w:rPr>
        <w:t>等工业用地场地污染调查和土壤修复工作</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有序</w:t>
      </w:r>
      <w:r>
        <w:rPr>
          <w:rFonts w:hint="default" w:ascii="Times New Roman" w:hAnsi="Times New Roman" w:eastAsia="仿宋_GB2312" w:cs="Times New Roman"/>
          <w:bCs/>
          <w:color w:val="000000" w:themeColor="text1"/>
          <w:sz w:val="32"/>
          <w:szCs w:val="32"/>
          <w14:textFill>
            <w14:solidFill>
              <w14:schemeClr w14:val="tx1"/>
            </w14:solidFill>
          </w14:textFill>
        </w:rPr>
        <w:t>推进</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花冲公园</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青年创意田园</w:t>
      </w:r>
      <w:r>
        <w:rPr>
          <w:rFonts w:hint="default" w:ascii="Times New Roman" w:hAnsi="Times New Roman" w:eastAsia="仿宋_GB2312" w:cs="Times New Roman"/>
          <w:bCs/>
          <w:color w:val="000000" w:themeColor="text1"/>
          <w:sz w:val="32"/>
          <w:szCs w:val="32"/>
          <w14:textFill>
            <w14:solidFill>
              <w14:schemeClr w14:val="tx1"/>
            </w14:solidFill>
          </w14:textFill>
        </w:rPr>
        <w:t>等一批公园游园</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开园</w:t>
      </w:r>
      <w:r>
        <w:rPr>
          <w:rFonts w:hint="default" w:ascii="Times New Roman" w:hAnsi="Times New Roman" w:eastAsia="仿宋_GB2312" w:cs="Times New Roman"/>
          <w:bCs/>
          <w:color w:val="000000" w:themeColor="text1"/>
          <w:sz w:val="32"/>
          <w:szCs w:val="32"/>
          <w14:textFill>
            <w14:solidFill>
              <w14:schemeClr w14:val="tx1"/>
            </w14:solidFill>
          </w14:textFill>
        </w:rPr>
        <w:t>。</w:t>
      </w:r>
      <w:bookmarkEnd w:id="14"/>
      <w:bookmarkStart w:id="15" w:name="_Toc11292"/>
    </w:p>
    <w:p>
      <w:pPr>
        <w:pageBreakBefore w:val="0"/>
        <w:numPr>
          <w:ilvl w:val="0"/>
          <w:numId w:val="0"/>
        </w:numPr>
        <w:tabs>
          <w:tab w:val="left" w:pos="0"/>
        </w:tabs>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color w:val="000000" w:themeColor="text1"/>
          <w:sz w:val="32"/>
          <w:szCs w:val="32"/>
          <w14:textFill>
            <w14:solidFill>
              <w14:schemeClr w14:val="tx1"/>
            </w14:solidFill>
          </w14:textFill>
        </w:rPr>
        <w:t>群众获得感持续增进。</w:t>
      </w:r>
      <w:r>
        <w:rPr>
          <w:rFonts w:hint="default" w:ascii="Times New Roman" w:hAnsi="Times New Roman" w:eastAsia="仿宋_GB2312" w:cs="Times New Roman"/>
          <w:bCs/>
          <w:color w:val="000000" w:themeColor="text1"/>
          <w:sz w:val="32"/>
          <w:szCs w:val="32"/>
          <w14:textFill>
            <w14:solidFill>
              <w14:schemeClr w14:val="tx1"/>
            </w14:solidFill>
          </w14:textFill>
        </w:rPr>
        <w:t>教育支出占区财政一般公共预算支出比例超40%，位居全市主城区第一</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教育质量不断提升</w:t>
      </w:r>
      <w:r>
        <w:rPr>
          <w:rFonts w:hint="default" w:ascii="Times New Roman" w:hAnsi="Times New Roman" w:eastAsia="仿宋_GB2312" w:cs="Times New Roman"/>
          <w:bCs/>
          <w:color w:val="000000" w:themeColor="text1"/>
          <w:sz w:val="32"/>
          <w:szCs w:val="32"/>
          <w14:textFill>
            <w14:solidFill>
              <w14:schemeClr w14:val="tx1"/>
            </w14:solidFill>
          </w14:textFill>
        </w:rPr>
        <w:t>。市民中心建成开放，瑶海图书城、瑶海大剧院、全民健身中心等投入使用。率先在全</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省</w:t>
      </w:r>
      <w:r>
        <w:rPr>
          <w:rFonts w:hint="default" w:ascii="Times New Roman" w:hAnsi="Times New Roman" w:eastAsia="仿宋_GB2312" w:cs="Times New Roman"/>
          <w:bCs/>
          <w:color w:val="000000" w:themeColor="text1"/>
          <w:sz w:val="32"/>
          <w:szCs w:val="32"/>
          <w14:textFill>
            <w14:solidFill>
              <w14:schemeClr w14:val="tx1"/>
            </w14:solidFill>
          </w14:textFill>
        </w:rPr>
        <w:t>试点紧密型城市医联体建设</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创新</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瑶海益家</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等多元化社会救助体系</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全省首个农民工创业孵化园建成运营</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城镇常住居民人均可支配收入增速跑赢</w:t>
      </w:r>
      <w:r>
        <w:rPr>
          <w:rFonts w:hint="default" w:ascii="Times New Roman" w:hAnsi="Times New Roman" w:eastAsia="仿宋_GB2312" w:cs="Times New Roman"/>
          <w:bCs/>
          <w:color w:val="000000" w:themeColor="text1"/>
          <w:sz w:val="32"/>
          <w:szCs w:val="32"/>
          <w14:textFill>
            <w14:solidFill>
              <w14:schemeClr w14:val="tx1"/>
            </w14:solidFill>
          </w14:textFill>
        </w:rPr>
        <w:t>GDP</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15"/>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color w:val="000000" w:themeColor="text1"/>
          <w:sz w:val="32"/>
          <w:szCs w:val="32"/>
          <w:highlight w:val="none"/>
          <w14:textFill>
            <w14:solidFill>
              <w14:schemeClr w14:val="tx1"/>
            </w14:solidFill>
          </w14:textFill>
        </w:rPr>
        <w:t>党的建设不断加强。</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不忘初心、牢记使命</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真抓实干，马上就办</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等</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主题教育成果巩固深化，</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讲政治、重规矩、作表率</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讲忠诚、严纪律、立政德</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三个以案</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等</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系列警示教育深入开展，干部队伍建设扎实推进</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省委巡视反馈问题整改</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全部</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完成</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形式主义官僚主义整治</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持续深入</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，纪检监察体制改革不断深</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化</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，党风廉政</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建设成效显著，不敢腐、不能腐、不想腐体制机制建设一体推进，风清气正、干事创业的良好政治生态不断完善。</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313" w:afterLines="100" w:line="560" w:lineRule="exact"/>
        <w:ind w:firstLine="640" w:firstLineChars="200"/>
        <w:textAlignment w:val="auto"/>
        <w:outlineLvl w:val="9"/>
        <w:rPr>
          <w:rFonts w:hint="default" w:ascii="Times New Roman" w:hAnsi="Times New Roman" w:cs="Times New Roman"/>
        </w:rPr>
      </w:pPr>
      <w:r>
        <w:rPr>
          <w:rFonts w:hint="default" w:ascii="Times New Roman" w:hAnsi="Times New Roman" w:eastAsia="仿宋_GB2312" w:cs="Times New Roman"/>
          <w:sz w:val="32"/>
          <w:szCs w:val="32"/>
          <w:highlight w:val="none"/>
          <w:lang w:val="en-US" w:eastAsia="zh-CN"/>
        </w:rPr>
        <w:t>这些成绩的取得，得益于习近平总书记考察安徽重要讲话指示精神在瑶海的落地生根，得益于省委、省政府和市委、市政府的正确领导，得益于“12345”发展战略的扎实推进，得益于全区广大党员干部群众努力拼搏奋斗，为开启新阶段美好瑶海奠定了坚实基础。</w:t>
      </w:r>
    </w:p>
    <w:tbl>
      <w:tblPr>
        <w:tblStyle w:val="20"/>
        <w:tblW w:w="8249" w:type="dxa"/>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15"/>
        <w:gridCol w:w="2370"/>
        <w:gridCol w:w="810"/>
        <w:gridCol w:w="825"/>
        <w:gridCol w:w="964"/>
        <w:gridCol w:w="964"/>
        <w:gridCol w:w="964"/>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4" w:hRule="atLeast"/>
        </w:trPr>
        <w:tc>
          <w:tcPr>
            <w:tcW w:w="8249" w:type="dxa"/>
            <w:gridSpan w:val="8"/>
            <w:tcBorders>
              <w:top w:val="single" w:color="auto" w:sz="4" w:space="0"/>
              <w:left w:val="single" w:color="auto" w:sz="4" w:space="0"/>
              <w:right w:val="single" w:color="auto" w:sz="4" w:space="0"/>
            </w:tcBorders>
            <w:noWrap w:val="0"/>
            <w:vAlign w:val="center"/>
          </w:tcPr>
          <w:p>
            <w:pPr>
              <w:pStyle w:val="6"/>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397" w:firstLineChars="0"/>
              <w:jc w:val="center"/>
              <w:textAlignment w:val="auto"/>
              <w:outlineLvl w:val="2"/>
              <w:rPr>
                <w:rFonts w:hint="default" w:ascii="Times New Roman" w:hAnsi="Times New Roman" w:eastAsia="Heiti SC Light" w:cs="Times New Roman"/>
                <w:color w:val="000000"/>
                <w:sz w:val="28"/>
                <w:szCs w:val="28"/>
                <w:lang w:val="en-US" w:eastAsia="zh-CN"/>
              </w:rPr>
            </w:pPr>
            <w:bookmarkStart w:id="16" w:name="_Toc29724"/>
            <w:r>
              <w:rPr>
                <w:rFonts w:hint="default" w:ascii="Times New Roman" w:hAnsi="Times New Roman" w:eastAsia="黑体" w:cs="Times New Roman"/>
                <w:b w:val="0"/>
                <w:bCs w:val="0"/>
                <w:i w:val="0"/>
                <w:color w:val="000000"/>
                <w:sz w:val="30"/>
                <w:szCs w:val="30"/>
                <w:u w:val="none"/>
              </w:rPr>
              <w:t>“十三五”规划</w:t>
            </w:r>
            <w:r>
              <w:rPr>
                <w:rFonts w:hint="eastAsia" w:ascii="Times New Roman" w:hAnsi="Times New Roman" w:eastAsia="黑体" w:cs="Times New Roman"/>
                <w:b w:val="0"/>
                <w:bCs w:val="0"/>
                <w:i w:val="0"/>
                <w:color w:val="000000"/>
                <w:sz w:val="30"/>
                <w:szCs w:val="30"/>
                <w:u w:val="none"/>
                <w:lang w:val="en-US" w:eastAsia="zh-CN"/>
              </w:rPr>
              <w:t>主要</w:t>
            </w:r>
            <w:r>
              <w:rPr>
                <w:rFonts w:hint="default" w:ascii="Times New Roman" w:hAnsi="Times New Roman" w:eastAsia="黑体" w:cs="Times New Roman"/>
                <w:b w:val="0"/>
                <w:bCs w:val="0"/>
                <w:i w:val="0"/>
                <w:color w:val="000000"/>
                <w:sz w:val="30"/>
                <w:szCs w:val="30"/>
                <w:u w:val="none"/>
              </w:rPr>
              <w:t>目标完成情况</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tcBorders>
              <w:left w:val="single" w:color="auto" w:sz="4" w:space="0"/>
            </w:tcBorders>
            <w:noWrap w:val="0"/>
            <w:vAlign w:val="center"/>
          </w:tcPr>
          <w:p>
            <w:pPr>
              <w:pStyle w:val="6"/>
              <w:rPr>
                <w:rFonts w:hint="default" w:ascii="Times New Roman" w:hAnsi="Times New Roman" w:eastAsia="黑体" w:cs="Times New Roman"/>
                <w:color w:val="000000"/>
                <w:sz w:val="24"/>
                <w:szCs w:val="24"/>
                <w:lang w:val="en-US"/>
              </w:rPr>
            </w:pPr>
            <w:r>
              <w:rPr>
                <w:rFonts w:hint="default" w:ascii="Times New Roman" w:hAnsi="Times New Roman" w:eastAsia="黑体" w:cs="Times New Roman"/>
                <w:color w:val="000000"/>
                <w:sz w:val="24"/>
                <w:szCs w:val="24"/>
                <w:lang w:val="en-US" w:eastAsia="zh-CN"/>
              </w:rPr>
              <w:t>分类</w:t>
            </w:r>
          </w:p>
        </w:tc>
        <w:tc>
          <w:tcPr>
            <w:tcW w:w="2370" w:type="dxa"/>
            <w:noWrap w:val="0"/>
            <w:vAlign w:val="center"/>
          </w:tcPr>
          <w:p>
            <w:pPr>
              <w:pStyle w:val="6"/>
              <w:rPr>
                <w:rFonts w:hint="default" w:ascii="Times New Roman" w:hAnsi="Times New Roman" w:eastAsia="黑体" w:cs="Times New Roman"/>
                <w:color w:val="000000"/>
                <w:sz w:val="24"/>
                <w:szCs w:val="24"/>
                <w:lang w:val="en-US"/>
              </w:rPr>
            </w:pPr>
            <w:r>
              <w:rPr>
                <w:rFonts w:hint="default" w:ascii="Times New Roman" w:hAnsi="Times New Roman" w:eastAsia="黑体" w:cs="Times New Roman"/>
                <w:color w:val="000000"/>
                <w:sz w:val="24"/>
                <w:szCs w:val="24"/>
                <w:lang w:val="en-US" w:eastAsia="zh-CN"/>
              </w:rPr>
              <w:t>指标名称</w:t>
            </w:r>
          </w:p>
        </w:tc>
        <w:tc>
          <w:tcPr>
            <w:tcW w:w="810" w:type="dxa"/>
            <w:noWrap w:val="0"/>
            <w:vAlign w:val="center"/>
          </w:tcPr>
          <w:p>
            <w:pPr>
              <w:pStyle w:val="6"/>
              <w:rPr>
                <w:rFonts w:hint="default" w:ascii="Times New Roman" w:hAnsi="Times New Roman" w:eastAsia="黑体" w:cs="Times New Roman"/>
                <w:color w:val="000000"/>
                <w:sz w:val="24"/>
                <w:szCs w:val="24"/>
                <w:lang w:val="en-US"/>
              </w:rPr>
            </w:pPr>
            <w:r>
              <w:rPr>
                <w:rFonts w:hint="default" w:ascii="Times New Roman" w:hAnsi="Times New Roman" w:eastAsia="黑体" w:cs="Times New Roman"/>
                <w:color w:val="000000"/>
                <w:sz w:val="24"/>
                <w:szCs w:val="24"/>
                <w:lang w:val="en-US" w:eastAsia="zh-CN"/>
              </w:rPr>
              <w:t>单位</w:t>
            </w:r>
          </w:p>
        </w:tc>
        <w:tc>
          <w:tcPr>
            <w:tcW w:w="825" w:type="dxa"/>
            <w:noWrap w:val="0"/>
            <w:vAlign w:val="center"/>
          </w:tcPr>
          <w:p>
            <w:pPr>
              <w:pStyle w:val="6"/>
              <w:rPr>
                <w:rFonts w:hint="default" w:ascii="Times New Roman" w:hAnsi="Times New Roman" w:eastAsia="黑体" w:cs="Times New Roman"/>
                <w:color w:val="000000"/>
                <w:sz w:val="24"/>
                <w:szCs w:val="24"/>
                <w:lang w:val="en-US" w:eastAsia="zh-CN"/>
              </w:rPr>
            </w:pPr>
            <w:r>
              <w:rPr>
                <w:rFonts w:hint="default" w:ascii="Times New Roman" w:hAnsi="Times New Roman" w:eastAsia="黑体" w:cs="Times New Roman"/>
                <w:color w:val="000000"/>
                <w:sz w:val="24"/>
                <w:szCs w:val="24"/>
                <w:lang w:val="en-US" w:eastAsia="zh-CN"/>
              </w:rPr>
              <w:t>2015年</w:t>
            </w:r>
          </w:p>
          <w:p>
            <w:pPr>
              <w:pStyle w:val="6"/>
              <w:rPr>
                <w:rFonts w:hint="default" w:ascii="Times New Roman" w:hAnsi="Times New Roman" w:eastAsia="黑体" w:cs="Times New Roman"/>
                <w:color w:val="000000"/>
                <w:sz w:val="24"/>
                <w:szCs w:val="24"/>
                <w:lang w:val="en-US" w:eastAsia="zh-CN"/>
              </w:rPr>
            </w:pPr>
            <w:r>
              <w:rPr>
                <w:rFonts w:hint="default" w:ascii="Times New Roman" w:hAnsi="Times New Roman" w:eastAsia="黑体" w:cs="Times New Roman"/>
                <w:color w:val="000000"/>
                <w:sz w:val="24"/>
                <w:szCs w:val="24"/>
                <w:lang w:val="en-US" w:eastAsia="zh-CN"/>
              </w:rPr>
              <w:t>总量</w:t>
            </w:r>
          </w:p>
        </w:tc>
        <w:tc>
          <w:tcPr>
            <w:tcW w:w="964" w:type="dxa"/>
            <w:noWrap w:val="0"/>
            <w:vAlign w:val="center"/>
          </w:tcPr>
          <w:p>
            <w:pPr>
              <w:pStyle w:val="6"/>
              <w:rPr>
                <w:rFonts w:hint="default" w:ascii="Times New Roman" w:hAnsi="Times New Roman" w:eastAsia="黑体" w:cs="Times New Roman"/>
                <w:color w:val="000000"/>
                <w:sz w:val="24"/>
                <w:szCs w:val="24"/>
                <w:lang w:val="en-US"/>
              </w:rPr>
            </w:pPr>
            <w:r>
              <w:rPr>
                <w:rFonts w:hint="default" w:ascii="Times New Roman" w:hAnsi="Times New Roman" w:eastAsia="黑体" w:cs="Times New Roman"/>
                <w:color w:val="000000"/>
                <w:sz w:val="24"/>
                <w:szCs w:val="24"/>
                <w:lang w:val="en-US" w:eastAsia="zh-CN"/>
              </w:rPr>
              <w:t>规划年均增速（%）</w:t>
            </w:r>
          </w:p>
        </w:tc>
        <w:tc>
          <w:tcPr>
            <w:tcW w:w="964" w:type="dxa"/>
            <w:noWrap w:val="0"/>
            <w:vAlign w:val="center"/>
          </w:tcPr>
          <w:p>
            <w:pPr>
              <w:pStyle w:val="6"/>
              <w:rPr>
                <w:rFonts w:hint="default" w:ascii="Times New Roman" w:hAnsi="Times New Roman" w:eastAsia="黑体" w:cs="Times New Roman"/>
                <w:color w:val="000000"/>
                <w:sz w:val="24"/>
                <w:szCs w:val="24"/>
                <w:lang w:val="en-US" w:eastAsia="zh-CN"/>
              </w:rPr>
            </w:pPr>
            <w:r>
              <w:rPr>
                <w:rFonts w:hint="default" w:ascii="Times New Roman" w:hAnsi="Times New Roman" w:eastAsia="黑体" w:cs="Times New Roman"/>
                <w:color w:val="000000"/>
                <w:sz w:val="24"/>
                <w:szCs w:val="24"/>
                <w:lang w:val="en-US" w:eastAsia="zh-CN"/>
              </w:rPr>
              <w:t>2020年</w:t>
            </w:r>
          </w:p>
          <w:p>
            <w:pPr>
              <w:pStyle w:val="6"/>
              <w:rPr>
                <w:rFonts w:hint="default" w:ascii="Times New Roman" w:hAnsi="Times New Roman" w:eastAsia="黑体" w:cs="Times New Roman"/>
                <w:color w:val="000000"/>
                <w:sz w:val="24"/>
                <w:szCs w:val="24"/>
                <w:lang w:val="en-US" w:eastAsia="zh-CN"/>
              </w:rPr>
            </w:pPr>
            <w:r>
              <w:rPr>
                <w:rFonts w:hint="default" w:ascii="Times New Roman" w:hAnsi="Times New Roman" w:eastAsia="黑体" w:cs="Times New Roman"/>
                <w:color w:val="000000"/>
                <w:sz w:val="24"/>
                <w:szCs w:val="24"/>
                <w:lang w:val="en-US" w:eastAsia="zh-CN"/>
              </w:rPr>
              <w:t>总量</w:t>
            </w:r>
          </w:p>
        </w:tc>
        <w:tc>
          <w:tcPr>
            <w:tcW w:w="964" w:type="dxa"/>
            <w:noWrap w:val="0"/>
            <w:vAlign w:val="center"/>
          </w:tcPr>
          <w:p>
            <w:pPr>
              <w:pStyle w:val="6"/>
              <w:rPr>
                <w:rFonts w:hint="default" w:ascii="Times New Roman" w:hAnsi="Times New Roman" w:eastAsia="黑体" w:cs="Times New Roman"/>
                <w:color w:val="000000"/>
                <w:sz w:val="24"/>
                <w:szCs w:val="24"/>
                <w:lang w:val="en-US" w:eastAsia="zh-CN"/>
              </w:rPr>
            </w:pPr>
            <w:r>
              <w:rPr>
                <w:rFonts w:hint="default" w:ascii="Times New Roman" w:hAnsi="Times New Roman" w:eastAsia="黑体" w:cs="Times New Roman"/>
                <w:color w:val="000000"/>
                <w:sz w:val="24"/>
                <w:szCs w:val="24"/>
                <w:lang w:val="en-US" w:eastAsia="zh-CN"/>
              </w:rPr>
              <w:t>实际完成年均增速（%）</w:t>
            </w:r>
          </w:p>
        </w:tc>
        <w:tc>
          <w:tcPr>
            <w:tcW w:w="737" w:type="dxa"/>
            <w:tcBorders>
              <w:right w:val="single" w:color="auto" w:sz="4" w:space="0"/>
            </w:tcBorders>
            <w:noWrap w:val="0"/>
            <w:vAlign w:val="center"/>
          </w:tcPr>
          <w:p>
            <w:pPr>
              <w:pStyle w:val="6"/>
              <w:rPr>
                <w:rFonts w:hint="default" w:ascii="Times New Roman" w:hAnsi="Times New Roman" w:eastAsia="黑体" w:cs="Times New Roman"/>
                <w:color w:val="000000"/>
                <w:sz w:val="24"/>
                <w:szCs w:val="24"/>
                <w:lang w:val="en-US" w:eastAsia="zh-CN"/>
              </w:rPr>
            </w:pPr>
            <w:r>
              <w:rPr>
                <w:rFonts w:hint="default" w:ascii="Times New Roman" w:hAnsi="Times New Roman" w:eastAsia="黑体" w:cs="Times New Roman"/>
                <w:color w:val="000000"/>
                <w:sz w:val="24"/>
                <w:szCs w:val="24"/>
                <w:lang w:val="en-US" w:eastAsia="zh-CN"/>
              </w:rPr>
              <w:t>完成</w:t>
            </w:r>
          </w:p>
          <w:p>
            <w:pPr>
              <w:pStyle w:val="6"/>
              <w:rPr>
                <w:rFonts w:hint="default" w:ascii="Times New Roman" w:hAnsi="Times New Roman" w:eastAsia="黑体" w:cs="Times New Roman"/>
                <w:color w:val="000000"/>
                <w:sz w:val="24"/>
                <w:szCs w:val="24"/>
                <w:lang w:val="en-US" w:eastAsia="zh-CN"/>
              </w:rPr>
            </w:pPr>
            <w:r>
              <w:rPr>
                <w:rFonts w:hint="default" w:ascii="Times New Roman" w:hAnsi="Times New Roman" w:eastAsia="黑体" w:cs="Times New Roman"/>
                <w:color w:val="000000"/>
                <w:sz w:val="24"/>
                <w:szCs w:val="24"/>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vMerge w:val="restart"/>
            <w:tcBorders>
              <w:left w:val="single" w:color="auto" w:sz="4" w:space="0"/>
            </w:tcBorders>
            <w:noWrap w:val="0"/>
            <w:vAlign w:val="center"/>
          </w:tcPr>
          <w:p>
            <w:pPr>
              <w:pStyle w:val="6"/>
              <w:rPr>
                <w:rFonts w:hint="default" w:ascii="Times New Roman" w:hAnsi="Times New Roman" w:eastAsia="黑体" w:cs="Times New Roman"/>
                <w:color w:val="000000"/>
                <w:sz w:val="24"/>
                <w:szCs w:val="24"/>
                <w:lang w:val="en-US"/>
              </w:rPr>
            </w:pPr>
            <w:r>
              <w:rPr>
                <w:rFonts w:hint="default" w:ascii="Times New Roman" w:hAnsi="Times New Roman" w:eastAsia="黑体" w:cs="Times New Roman"/>
                <w:color w:val="000000"/>
                <w:sz w:val="24"/>
                <w:szCs w:val="24"/>
                <w:lang w:val="en-US" w:eastAsia="zh-CN"/>
              </w:rPr>
              <w:t>经济发展</w:t>
            </w:r>
          </w:p>
        </w:tc>
        <w:tc>
          <w:tcPr>
            <w:tcW w:w="2370" w:type="dxa"/>
            <w:noWrap w:val="0"/>
            <w:vAlign w:val="center"/>
          </w:tcPr>
          <w:p>
            <w:pPr>
              <w:pStyle w:val="6"/>
              <w:jc w:val="center"/>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地区生产总值</w:t>
            </w:r>
          </w:p>
        </w:tc>
        <w:tc>
          <w:tcPr>
            <w:tcW w:w="810" w:type="dxa"/>
            <w:noWrap w:val="0"/>
            <w:vAlign w:val="center"/>
          </w:tcPr>
          <w:p>
            <w:pPr>
              <w:pStyle w:val="6"/>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亿元</w:t>
            </w:r>
          </w:p>
        </w:tc>
        <w:tc>
          <w:tcPr>
            <w:tcW w:w="825"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425.6</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6</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6</w:t>
            </w:r>
            <w:r>
              <w:rPr>
                <w:rFonts w:hint="default" w:ascii="Times New Roman" w:hAnsi="Times New Roman" w:cs="Times New Roman"/>
                <w:kern w:val="0"/>
                <w:sz w:val="24"/>
                <w:szCs w:val="24"/>
                <w:lang w:val="en-US" w:eastAsia="zh-CN"/>
              </w:rPr>
              <w:t>22.6</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6</w:t>
            </w:r>
          </w:p>
        </w:tc>
        <w:tc>
          <w:tcPr>
            <w:tcW w:w="737" w:type="dxa"/>
            <w:tcBorders>
              <w:right w:val="single" w:color="auto" w:sz="4" w:space="0"/>
            </w:tcBorders>
            <w:noWrap w:val="0"/>
            <w:vAlign w:val="center"/>
          </w:tcPr>
          <w:p>
            <w:pPr>
              <w:pStyle w:val="6"/>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vMerge w:val="continue"/>
            <w:tcBorders>
              <w:left w:val="single" w:color="auto" w:sz="4" w:space="0"/>
            </w:tcBorders>
            <w:noWrap w:val="0"/>
            <w:vAlign w:val="center"/>
          </w:tcPr>
          <w:p>
            <w:pPr>
              <w:pStyle w:val="6"/>
              <w:rPr>
                <w:rFonts w:hint="default" w:ascii="Times New Roman" w:hAnsi="Times New Roman" w:eastAsia="黑体" w:cs="Times New Roman"/>
                <w:color w:val="000000"/>
                <w:sz w:val="24"/>
                <w:szCs w:val="24"/>
                <w:lang w:val="en-US"/>
              </w:rPr>
            </w:pPr>
          </w:p>
        </w:tc>
        <w:tc>
          <w:tcPr>
            <w:tcW w:w="2370" w:type="dxa"/>
            <w:noWrap w:val="0"/>
            <w:vAlign w:val="center"/>
          </w:tcPr>
          <w:p>
            <w:pPr>
              <w:pStyle w:val="6"/>
              <w:jc w:val="center"/>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财政总收入</w:t>
            </w:r>
          </w:p>
        </w:tc>
        <w:tc>
          <w:tcPr>
            <w:tcW w:w="810" w:type="dxa"/>
            <w:noWrap w:val="0"/>
            <w:vAlign w:val="center"/>
          </w:tcPr>
          <w:p>
            <w:pPr>
              <w:pStyle w:val="6"/>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亿元</w:t>
            </w:r>
          </w:p>
        </w:tc>
        <w:tc>
          <w:tcPr>
            <w:tcW w:w="825"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17.11</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8</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25.6</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8.1</w:t>
            </w:r>
          </w:p>
        </w:tc>
        <w:tc>
          <w:tcPr>
            <w:tcW w:w="737" w:type="dxa"/>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vMerge w:val="continue"/>
            <w:tcBorders>
              <w:left w:val="single" w:color="auto" w:sz="4" w:space="0"/>
            </w:tcBorders>
            <w:noWrap w:val="0"/>
            <w:vAlign w:val="center"/>
          </w:tcPr>
          <w:p>
            <w:pPr>
              <w:pStyle w:val="6"/>
              <w:rPr>
                <w:rFonts w:hint="default" w:ascii="Times New Roman" w:hAnsi="Times New Roman" w:eastAsia="黑体" w:cs="Times New Roman"/>
                <w:color w:val="000000"/>
                <w:sz w:val="24"/>
                <w:szCs w:val="24"/>
                <w:lang w:val="en-US"/>
              </w:rPr>
            </w:pPr>
          </w:p>
        </w:tc>
        <w:tc>
          <w:tcPr>
            <w:tcW w:w="2370" w:type="dxa"/>
            <w:noWrap w:val="0"/>
            <w:vAlign w:val="center"/>
          </w:tcPr>
          <w:p>
            <w:pPr>
              <w:pStyle w:val="6"/>
              <w:jc w:val="center"/>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其中：地方财政收入</w:t>
            </w:r>
          </w:p>
        </w:tc>
        <w:tc>
          <w:tcPr>
            <w:tcW w:w="810" w:type="dxa"/>
            <w:noWrap w:val="0"/>
            <w:vAlign w:val="center"/>
          </w:tcPr>
          <w:p>
            <w:pPr>
              <w:pStyle w:val="6"/>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亿元</w:t>
            </w:r>
          </w:p>
        </w:tc>
        <w:tc>
          <w:tcPr>
            <w:tcW w:w="825"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13.14</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4</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17.7</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6.1</w:t>
            </w:r>
          </w:p>
        </w:tc>
        <w:tc>
          <w:tcPr>
            <w:tcW w:w="737" w:type="dxa"/>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vMerge w:val="continue"/>
            <w:tcBorders>
              <w:left w:val="single" w:color="auto" w:sz="4" w:space="0"/>
            </w:tcBorders>
            <w:noWrap w:val="0"/>
            <w:vAlign w:val="center"/>
          </w:tcPr>
          <w:p>
            <w:pPr>
              <w:pStyle w:val="6"/>
              <w:rPr>
                <w:rFonts w:hint="default" w:ascii="Times New Roman" w:hAnsi="Times New Roman" w:eastAsia="黑体" w:cs="Times New Roman"/>
                <w:color w:val="000000"/>
                <w:sz w:val="24"/>
                <w:szCs w:val="24"/>
                <w:lang w:val="en-US"/>
              </w:rPr>
            </w:pPr>
          </w:p>
        </w:tc>
        <w:tc>
          <w:tcPr>
            <w:tcW w:w="2370" w:type="dxa"/>
            <w:noWrap w:val="0"/>
            <w:vAlign w:val="center"/>
          </w:tcPr>
          <w:p>
            <w:pPr>
              <w:pStyle w:val="6"/>
              <w:jc w:val="center"/>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固定资产投资</w:t>
            </w:r>
          </w:p>
        </w:tc>
        <w:tc>
          <w:tcPr>
            <w:tcW w:w="810" w:type="dxa"/>
            <w:noWrap w:val="0"/>
            <w:vAlign w:val="center"/>
          </w:tcPr>
          <w:p>
            <w:pPr>
              <w:pStyle w:val="6"/>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亿元</w:t>
            </w:r>
          </w:p>
        </w:tc>
        <w:tc>
          <w:tcPr>
            <w:tcW w:w="825"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373</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-12</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130</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-1</w:t>
            </w:r>
            <w:r>
              <w:rPr>
                <w:rFonts w:hint="default" w:ascii="Times New Roman" w:hAnsi="Times New Roman" w:cs="Times New Roman"/>
                <w:kern w:val="0"/>
                <w:sz w:val="24"/>
                <w:szCs w:val="24"/>
                <w:lang w:val="en-US" w:eastAsia="zh-CN"/>
              </w:rPr>
              <w:t>0.8</w:t>
            </w:r>
          </w:p>
        </w:tc>
        <w:tc>
          <w:tcPr>
            <w:tcW w:w="737" w:type="dxa"/>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vMerge w:val="continue"/>
            <w:tcBorders>
              <w:left w:val="single" w:color="auto" w:sz="4" w:space="0"/>
            </w:tcBorders>
            <w:noWrap w:val="0"/>
            <w:vAlign w:val="center"/>
          </w:tcPr>
          <w:p>
            <w:pPr>
              <w:pStyle w:val="6"/>
              <w:rPr>
                <w:rFonts w:hint="default" w:ascii="Times New Roman" w:hAnsi="Times New Roman" w:eastAsia="黑体" w:cs="Times New Roman"/>
                <w:color w:val="000000"/>
                <w:sz w:val="24"/>
                <w:szCs w:val="24"/>
                <w:lang w:val="en-US"/>
              </w:rPr>
            </w:pPr>
          </w:p>
        </w:tc>
        <w:tc>
          <w:tcPr>
            <w:tcW w:w="2370" w:type="dxa"/>
            <w:noWrap w:val="0"/>
            <w:vAlign w:val="center"/>
          </w:tcPr>
          <w:p>
            <w:pPr>
              <w:pStyle w:val="6"/>
              <w:jc w:val="center"/>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招商引资总量</w:t>
            </w:r>
          </w:p>
        </w:tc>
        <w:tc>
          <w:tcPr>
            <w:tcW w:w="810" w:type="dxa"/>
            <w:noWrap w:val="0"/>
            <w:vAlign w:val="center"/>
          </w:tcPr>
          <w:p>
            <w:pPr>
              <w:pStyle w:val="6"/>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亿元</w:t>
            </w:r>
          </w:p>
        </w:tc>
        <w:tc>
          <w:tcPr>
            <w:tcW w:w="825"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310</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10</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1</w:t>
            </w:r>
            <w:r>
              <w:rPr>
                <w:rFonts w:hint="default" w:ascii="Times New Roman" w:hAnsi="Times New Roman" w:cs="Times New Roman"/>
                <w:kern w:val="0"/>
                <w:sz w:val="24"/>
                <w:szCs w:val="24"/>
                <w:lang w:val="en-US" w:eastAsia="zh-CN"/>
              </w:rPr>
              <w:t>56</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highlight w:val="yellow"/>
                <w:lang w:val="en-US" w:eastAsia="zh-CN"/>
              </w:rPr>
            </w:pPr>
            <w:r>
              <w:rPr>
                <w:rFonts w:hint="default" w:ascii="Times New Roman" w:hAnsi="Times New Roman" w:cs="Times New Roman"/>
                <w:kern w:val="0"/>
                <w:sz w:val="24"/>
                <w:szCs w:val="24"/>
                <w:highlight w:val="none"/>
                <w:lang w:val="en-US" w:eastAsia="zh-CN"/>
              </w:rPr>
              <w:t>10.8</w:t>
            </w:r>
          </w:p>
        </w:tc>
        <w:tc>
          <w:tcPr>
            <w:tcW w:w="737" w:type="dxa"/>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vMerge w:val="continue"/>
            <w:tcBorders>
              <w:left w:val="single" w:color="auto" w:sz="4" w:space="0"/>
            </w:tcBorders>
            <w:noWrap w:val="0"/>
            <w:vAlign w:val="center"/>
          </w:tcPr>
          <w:p>
            <w:pPr>
              <w:pStyle w:val="6"/>
              <w:rPr>
                <w:rFonts w:hint="default" w:ascii="Times New Roman" w:hAnsi="Times New Roman" w:eastAsia="黑体" w:cs="Times New Roman"/>
                <w:color w:val="000000"/>
                <w:sz w:val="24"/>
                <w:szCs w:val="24"/>
                <w:lang w:val="en-US"/>
              </w:rPr>
            </w:pPr>
          </w:p>
        </w:tc>
        <w:tc>
          <w:tcPr>
            <w:tcW w:w="2370" w:type="dxa"/>
            <w:noWrap w:val="0"/>
            <w:vAlign w:val="center"/>
          </w:tcPr>
          <w:p>
            <w:pPr>
              <w:pStyle w:val="6"/>
              <w:jc w:val="center"/>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外商直接投资</w:t>
            </w:r>
          </w:p>
        </w:tc>
        <w:tc>
          <w:tcPr>
            <w:tcW w:w="810" w:type="dxa"/>
            <w:noWrap w:val="0"/>
            <w:vAlign w:val="center"/>
          </w:tcPr>
          <w:p>
            <w:pPr>
              <w:pStyle w:val="6"/>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亿美元</w:t>
            </w:r>
          </w:p>
        </w:tc>
        <w:tc>
          <w:tcPr>
            <w:tcW w:w="825"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1</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73</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12</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3</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highlight w:val="yellow"/>
                <w:lang w:val="en-US" w:eastAsia="zh-CN"/>
              </w:rPr>
            </w:pPr>
            <w:r>
              <w:rPr>
                <w:rFonts w:hint="default" w:ascii="Times New Roman" w:hAnsi="Times New Roman" w:eastAsia="宋体" w:cs="Times New Roman"/>
                <w:kern w:val="0"/>
                <w:sz w:val="24"/>
                <w:szCs w:val="24"/>
                <w:highlight w:val="none"/>
              </w:rPr>
              <w:t>13.7</w:t>
            </w:r>
          </w:p>
        </w:tc>
        <w:tc>
          <w:tcPr>
            <w:tcW w:w="737" w:type="dxa"/>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vMerge w:val="continue"/>
            <w:tcBorders>
              <w:left w:val="single" w:color="auto" w:sz="4" w:space="0"/>
            </w:tcBorders>
            <w:noWrap w:val="0"/>
            <w:vAlign w:val="center"/>
          </w:tcPr>
          <w:p>
            <w:pPr>
              <w:pStyle w:val="6"/>
              <w:rPr>
                <w:rFonts w:hint="default" w:ascii="Times New Roman" w:hAnsi="Times New Roman" w:eastAsia="黑体" w:cs="Times New Roman"/>
                <w:color w:val="000000"/>
                <w:sz w:val="24"/>
                <w:szCs w:val="24"/>
                <w:lang w:val="en-US"/>
              </w:rPr>
            </w:pPr>
          </w:p>
        </w:tc>
        <w:tc>
          <w:tcPr>
            <w:tcW w:w="2370" w:type="dxa"/>
            <w:noWrap w:val="0"/>
            <w:vAlign w:val="center"/>
          </w:tcPr>
          <w:p>
            <w:pPr>
              <w:pStyle w:val="6"/>
              <w:jc w:val="center"/>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社会消费品零售总额</w:t>
            </w:r>
          </w:p>
        </w:tc>
        <w:tc>
          <w:tcPr>
            <w:tcW w:w="810" w:type="dxa"/>
            <w:noWrap w:val="0"/>
            <w:vAlign w:val="center"/>
          </w:tcPr>
          <w:p>
            <w:pPr>
              <w:pStyle w:val="6"/>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亿元</w:t>
            </w:r>
          </w:p>
        </w:tc>
        <w:tc>
          <w:tcPr>
            <w:tcW w:w="825"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334.6</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6</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428.4</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6</w:t>
            </w:r>
            <w:r>
              <w:rPr>
                <w:rFonts w:hint="default" w:ascii="Times New Roman" w:hAnsi="Times New Roman" w:cs="Times New Roman"/>
                <w:kern w:val="0"/>
                <w:sz w:val="24"/>
                <w:szCs w:val="24"/>
                <w:lang w:val="en-US" w:eastAsia="zh-CN"/>
              </w:rPr>
              <w:t>.4</w:t>
            </w:r>
          </w:p>
        </w:tc>
        <w:tc>
          <w:tcPr>
            <w:tcW w:w="737" w:type="dxa"/>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vMerge w:val="continue"/>
            <w:tcBorders>
              <w:left w:val="single" w:color="auto" w:sz="4" w:space="0"/>
            </w:tcBorders>
            <w:noWrap w:val="0"/>
            <w:vAlign w:val="center"/>
          </w:tcPr>
          <w:p>
            <w:pPr>
              <w:pStyle w:val="6"/>
              <w:rPr>
                <w:rFonts w:hint="default" w:ascii="Times New Roman" w:hAnsi="Times New Roman" w:eastAsia="黑体" w:cs="Times New Roman"/>
                <w:color w:val="000000"/>
                <w:sz w:val="24"/>
                <w:szCs w:val="24"/>
                <w:lang w:val="en-US"/>
              </w:rPr>
            </w:pPr>
          </w:p>
        </w:tc>
        <w:tc>
          <w:tcPr>
            <w:tcW w:w="2370" w:type="dxa"/>
            <w:noWrap w:val="0"/>
            <w:vAlign w:val="center"/>
          </w:tcPr>
          <w:p>
            <w:pPr>
              <w:pStyle w:val="6"/>
              <w:jc w:val="center"/>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战略性新兴产值</w:t>
            </w:r>
          </w:p>
        </w:tc>
        <w:tc>
          <w:tcPr>
            <w:tcW w:w="810" w:type="dxa"/>
            <w:noWrap w:val="0"/>
            <w:vAlign w:val="center"/>
          </w:tcPr>
          <w:p>
            <w:pPr>
              <w:pStyle w:val="6"/>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亿元</w:t>
            </w:r>
          </w:p>
        </w:tc>
        <w:tc>
          <w:tcPr>
            <w:tcW w:w="825"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4.4</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6</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6.5</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8.1</w:t>
            </w:r>
          </w:p>
        </w:tc>
        <w:tc>
          <w:tcPr>
            <w:tcW w:w="737" w:type="dxa"/>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vMerge w:val="continue"/>
            <w:tcBorders>
              <w:left w:val="single" w:color="auto" w:sz="4" w:space="0"/>
            </w:tcBorders>
            <w:noWrap w:val="0"/>
            <w:vAlign w:val="center"/>
          </w:tcPr>
          <w:p>
            <w:pPr>
              <w:pStyle w:val="6"/>
              <w:rPr>
                <w:rFonts w:hint="default" w:ascii="Times New Roman" w:hAnsi="Times New Roman" w:eastAsia="黑体" w:cs="Times New Roman"/>
                <w:color w:val="000000"/>
                <w:sz w:val="24"/>
                <w:szCs w:val="24"/>
                <w:lang w:val="en-US"/>
              </w:rPr>
            </w:pPr>
          </w:p>
        </w:tc>
        <w:tc>
          <w:tcPr>
            <w:tcW w:w="2370" w:type="dxa"/>
            <w:noWrap w:val="0"/>
            <w:vAlign w:val="center"/>
          </w:tcPr>
          <w:p>
            <w:pPr>
              <w:pStyle w:val="6"/>
              <w:jc w:val="center"/>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规模以上工业增加值</w:t>
            </w:r>
          </w:p>
        </w:tc>
        <w:tc>
          <w:tcPr>
            <w:tcW w:w="810" w:type="dxa"/>
            <w:noWrap w:val="0"/>
            <w:vAlign w:val="center"/>
          </w:tcPr>
          <w:p>
            <w:pPr>
              <w:pStyle w:val="6"/>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亿元</w:t>
            </w:r>
          </w:p>
        </w:tc>
        <w:tc>
          <w:tcPr>
            <w:tcW w:w="825"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11.9</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-3.0</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12.1</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w:t>
            </w:r>
            <w:r>
              <w:rPr>
                <w:rFonts w:hint="default" w:ascii="Times New Roman" w:hAnsi="Times New Roman" w:cs="Times New Roman"/>
                <w:kern w:val="0"/>
                <w:sz w:val="24"/>
                <w:szCs w:val="24"/>
                <w:lang w:val="en-US" w:eastAsia="zh-CN"/>
              </w:rPr>
              <w:t>2.8</w:t>
            </w:r>
          </w:p>
        </w:tc>
        <w:tc>
          <w:tcPr>
            <w:tcW w:w="737" w:type="dxa"/>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vMerge w:val="continue"/>
            <w:tcBorders>
              <w:left w:val="single" w:color="auto" w:sz="4" w:space="0"/>
            </w:tcBorders>
            <w:noWrap w:val="0"/>
            <w:vAlign w:val="center"/>
          </w:tcPr>
          <w:p>
            <w:pPr>
              <w:pStyle w:val="6"/>
              <w:rPr>
                <w:rFonts w:hint="default" w:ascii="Times New Roman" w:hAnsi="Times New Roman" w:eastAsia="黑体" w:cs="Times New Roman"/>
                <w:color w:val="000000"/>
                <w:sz w:val="24"/>
                <w:szCs w:val="24"/>
                <w:lang w:val="en-US"/>
              </w:rPr>
            </w:pPr>
          </w:p>
        </w:tc>
        <w:tc>
          <w:tcPr>
            <w:tcW w:w="2370" w:type="dxa"/>
            <w:noWrap w:val="0"/>
            <w:vAlign w:val="center"/>
          </w:tcPr>
          <w:p>
            <w:pPr>
              <w:pStyle w:val="6"/>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三产（服务业）增加值</w:t>
            </w:r>
          </w:p>
        </w:tc>
        <w:tc>
          <w:tcPr>
            <w:tcW w:w="810" w:type="dxa"/>
            <w:noWrap w:val="0"/>
            <w:vAlign w:val="center"/>
          </w:tcPr>
          <w:p>
            <w:pPr>
              <w:pStyle w:val="6"/>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亿元</w:t>
            </w:r>
          </w:p>
        </w:tc>
        <w:tc>
          <w:tcPr>
            <w:tcW w:w="825"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271</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8.0</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415.9</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8.</w:t>
            </w:r>
            <w:r>
              <w:rPr>
                <w:rFonts w:hint="default" w:ascii="Times New Roman" w:hAnsi="Times New Roman" w:cs="Times New Roman"/>
                <w:kern w:val="0"/>
                <w:sz w:val="24"/>
                <w:szCs w:val="24"/>
                <w:lang w:val="en-US" w:eastAsia="zh-CN"/>
              </w:rPr>
              <w:t>9</w:t>
            </w:r>
          </w:p>
        </w:tc>
        <w:tc>
          <w:tcPr>
            <w:tcW w:w="737" w:type="dxa"/>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vMerge w:val="restart"/>
            <w:noWrap w:val="0"/>
            <w:vAlign w:val="center"/>
          </w:tcPr>
          <w:p>
            <w:pPr>
              <w:pStyle w:val="6"/>
              <w:rPr>
                <w:rFonts w:hint="default" w:ascii="Times New Roman" w:hAnsi="Times New Roman" w:eastAsia="黑体" w:cs="Times New Roman"/>
                <w:color w:val="000000"/>
                <w:sz w:val="24"/>
                <w:szCs w:val="24"/>
                <w:lang w:val="en-US"/>
              </w:rPr>
            </w:pPr>
            <w:r>
              <w:rPr>
                <w:rFonts w:hint="default" w:ascii="Times New Roman" w:hAnsi="Times New Roman" w:eastAsia="黑体" w:cs="Times New Roman"/>
                <w:color w:val="000000"/>
                <w:sz w:val="24"/>
                <w:szCs w:val="24"/>
                <w:lang w:val="en-US" w:eastAsia="zh-CN"/>
              </w:rPr>
              <w:t>社会发展</w:t>
            </w:r>
          </w:p>
        </w:tc>
        <w:tc>
          <w:tcPr>
            <w:tcW w:w="2370" w:type="dxa"/>
            <w:noWrap w:val="0"/>
            <w:vAlign w:val="center"/>
          </w:tcPr>
          <w:p>
            <w:pPr>
              <w:pStyle w:val="6"/>
              <w:jc w:val="center"/>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城镇化率</w:t>
            </w:r>
          </w:p>
        </w:tc>
        <w:tc>
          <w:tcPr>
            <w:tcW w:w="810" w:type="dxa"/>
            <w:noWrap w:val="0"/>
            <w:vAlign w:val="center"/>
          </w:tcPr>
          <w:p>
            <w:pPr>
              <w:pStyle w:val="6"/>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w:t>
            </w:r>
          </w:p>
        </w:tc>
        <w:tc>
          <w:tcPr>
            <w:tcW w:w="825"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98.5</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99</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99</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99</w:t>
            </w:r>
          </w:p>
        </w:tc>
        <w:tc>
          <w:tcPr>
            <w:tcW w:w="737" w:type="dxa"/>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vMerge w:val="continue"/>
            <w:noWrap w:val="0"/>
            <w:vAlign w:val="center"/>
          </w:tcPr>
          <w:p>
            <w:pPr>
              <w:pStyle w:val="6"/>
              <w:rPr>
                <w:rFonts w:hint="default" w:ascii="Times New Roman" w:hAnsi="Times New Roman" w:eastAsia="黑体" w:cs="Times New Roman"/>
                <w:color w:val="000000"/>
                <w:sz w:val="24"/>
                <w:szCs w:val="24"/>
                <w:lang w:val="en-US"/>
              </w:rPr>
            </w:pPr>
          </w:p>
        </w:tc>
        <w:tc>
          <w:tcPr>
            <w:tcW w:w="2370" w:type="dxa"/>
            <w:noWrap w:val="0"/>
            <w:vAlign w:val="center"/>
          </w:tcPr>
          <w:p>
            <w:pPr>
              <w:pStyle w:val="6"/>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新增就业岗位</w:t>
            </w:r>
          </w:p>
          <w:p>
            <w:pPr>
              <w:pStyle w:val="6"/>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（5年累计）</w:t>
            </w:r>
          </w:p>
        </w:tc>
        <w:tc>
          <w:tcPr>
            <w:tcW w:w="810" w:type="dxa"/>
            <w:noWrap w:val="0"/>
            <w:vAlign w:val="center"/>
          </w:tcPr>
          <w:p>
            <w:pPr>
              <w:pStyle w:val="6"/>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万个</w:t>
            </w:r>
          </w:p>
        </w:tc>
        <w:tc>
          <w:tcPr>
            <w:tcW w:w="825"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1.2</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6</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1.6</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6</w:t>
            </w:r>
          </w:p>
        </w:tc>
        <w:tc>
          <w:tcPr>
            <w:tcW w:w="737" w:type="dxa"/>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vMerge w:val="continue"/>
            <w:noWrap w:val="0"/>
            <w:vAlign w:val="center"/>
          </w:tcPr>
          <w:p>
            <w:pPr>
              <w:pStyle w:val="6"/>
              <w:rPr>
                <w:rFonts w:hint="default" w:ascii="Times New Roman" w:hAnsi="Times New Roman" w:eastAsia="黑体" w:cs="Times New Roman"/>
                <w:color w:val="000000"/>
                <w:sz w:val="24"/>
                <w:szCs w:val="24"/>
                <w:lang w:val="en-US"/>
              </w:rPr>
            </w:pPr>
          </w:p>
        </w:tc>
        <w:tc>
          <w:tcPr>
            <w:tcW w:w="2370" w:type="dxa"/>
            <w:noWrap w:val="0"/>
            <w:vAlign w:val="center"/>
          </w:tcPr>
          <w:p>
            <w:pPr>
              <w:pStyle w:val="6"/>
              <w:jc w:val="center"/>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城镇登记失业率</w:t>
            </w:r>
          </w:p>
        </w:tc>
        <w:tc>
          <w:tcPr>
            <w:tcW w:w="810" w:type="dxa"/>
            <w:noWrap w:val="0"/>
            <w:vAlign w:val="center"/>
          </w:tcPr>
          <w:p>
            <w:pPr>
              <w:pStyle w:val="6"/>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w:t>
            </w:r>
          </w:p>
        </w:tc>
        <w:tc>
          <w:tcPr>
            <w:tcW w:w="825"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≤4.3</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≤4.3</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≤4.3</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≤4.3</w:t>
            </w:r>
          </w:p>
        </w:tc>
        <w:tc>
          <w:tcPr>
            <w:tcW w:w="737" w:type="dxa"/>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noWrap w:val="0"/>
            <w:vAlign w:val="center"/>
          </w:tcPr>
          <w:p>
            <w:pPr>
              <w:pStyle w:val="6"/>
              <w:rPr>
                <w:rFonts w:hint="default" w:ascii="Times New Roman" w:hAnsi="Times New Roman" w:eastAsia="黑体" w:cs="Times New Roman"/>
                <w:color w:val="000000"/>
                <w:sz w:val="24"/>
                <w:szCs w:val="24"/>
                <w:lang w:val="en-US"/>
              </w:rPr>
            </w:pPr>
            <w:r>
              <w:rPr>
                <w:rFonts w:hint="default" w:ascii="Times New Roman" w:hAnsi="Times New Roman" w:eastAsia="黑体" w:cs="Times New Roman"/>
                <w:color w:val="000000"/>
                <w:sz w:val="24"/>
                <w:szCs w:val="24"/>
                <w:lang w:val="en-US" w:eastAsia="zh-CN"/>
              </w:rPr>
              <w:t>人民生活</w:t>
            </w:r>
          </w:p>
        </w:tc>
        <w:tc>
          <w:tcPr>
            <w:tcW w:w="2370" w:type="dxa"/>
            <w:noWrap w:val="0"/>
            <w:vAlign w:val="center"/>
          </w:tcPr>
          <w:p>
            <w:pPr>
              <w:pStyle w:val="6"/>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城镇常住居民人均可支配收入</w:t>
            </w:r>
          </w:p>
        </w:tc>
        <w:tc>
          <w:tcPr>
            <w:tcW w:w="810" w:type="dxa"/>
            <w:noWrap w:val="0"/>
            <w:vAlign w:val="center"/>
          </w:tcPr>
          <w:p>
            <w:pPr>
              <w:pStyle w:val="6"/>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元</w:t>
            </w:r>
          </w:p>
        </w:tc>
        <w:tc>
          <w:tcPr>
            <w:tcW w:w="825"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33779</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rPr>
              <w:t>高于GDP增速</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eastAsia" w:ascii="Times New Roman" w:hAnsi="Times New Roman" w:cs="Times New Roman"/>
                <w:kern w:val="0"/>
                <w:sz w:val="24"/>
                <w:szCs w:val="24"/>
                <w:lang w:val="en-US" w:eastAsia="zh-CN"/>
              </w:rPr>
              <w:t>50003</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8</w:t>
            </w:r>
          </w:p>
        </w:tc>
        <w:tc>
          <w:tcPr>
            <w:tcW w:w="737" w:type="dxa"/>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vMerge w:val="restart"/>
            <w:noWrap w:val="0"/>
            <w:vAlign w:val="center"/>
          </w:tcPr>
          <w:p>
            <w:pPr>
              <w:pStyle w:val="6"/>
              <w:rPr>
                <w:rFonts w:hint="default" w:ascii="Times New Roman" w:hAnsi="Times New Roman" w:eastAsia="黑体" w:cs="Times New Roman"/>
                <w:color w:val="000000"/>
                <w:sz w:val="24"/>
                <w:szCs w:val="24"/>
                <w:lang w:val="en-US"/>
              </w:rPr>
            </w:pPr>
            <w:r>
              <w:rPr>
                <w:rFonts w:hint="default" w:ascii="Times New Roman" w:hAnsi="Times New Roman" w:eastAsia="黑体" w:cs="Times New Roman"/>
                <w:color w:val="000000"/>
                <w:sz w:val="24"/>
                <w:szCs w:val="24"/>
                <w:lang w:val="en-US" w:eastAsia="zh-CN"/>
              </w:rPr>
              <w:t>生态环境</w:t>
            </w:r>
          </w:p>
        </w:tc>
        <w:tc>
          <w:tcPr>
            <w:tcW w:w="2370" w:type="dxa"/>
            <w:noWrap w:val="0"/>
            <w:vAlign w:val="center"/>
          </w:tcPr>
          <w:p>
            <w:pPr>
              <w:pStyle w:val="6"/>
              <w:jc w:val="center"/>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城镇生活污水处理率</w:t>
            </w:r>
          </w:p>
        </w:tc>
        <w:tc>
          <w:tcPr>
            <w:tcW w:w="810" w:type="dxa"/>
            <w:noWrap w:val="0"/>
            <w:vAlign w:val="center"/>
          </w:tcPr>
          <w:p>
            <w:pPr>
              <w:pStyle w:val="6"/>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w:t>
            </w:r>
          </w:p>
        </w:tc>
        <w:tc>
          <w:tcPr>
            <w:tcW w:w="825"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90.5</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11</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100</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100</w:t>
            </w:r>
          </w:p>
        </w:tc>
        <w:tc>
          <w:tcPr>
            <w:tcW w:w="737" w:type="dxa"/>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vMerge w:val="continue"/>
            <w:noWrap w:val="0"/>
            <w:vAlign w:val="center"/>
          </w:tcPr>
          <w:p>
            <w:pPr>
              <w:pStyle w:val="6"/>
              <w:rPr>
                <w:rFonts w:hint="default" w:ascii="Times New Roman" w:hAnsi="Times New Roman" w:eastAsia="宋体" w:cs="Times New Roman"/>
                <w:color w:val="000000"/>
                <w:sz w:val="24"/>
                <w:szCs w:val="24"/>
                <w:lang w:val="en-US"/>
              </w:rPr>
            </w:pPr>
          </w:p>
        </w:tc>
        <w:tc>
          <w:tcPr>
            <w:tcW w:w="2370" w:type="dxa"/>
            <w:noWrap w:val="0"/>
            <w:vAlign w:val="center"/>
          </w:tcPr>
          <w:p>
            <w:pPr>
              <w:pStyle w:val="6"/>
              <w:jc w:val="center"/>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工业固废处置利用率</w:t>
            </w:r>
          </w:p>
        </w:tc>
        <w:tc>
          <w:tcPr>
            <w:tcW w:w="810" w:type="dxa"/>
            <w:noWrap w:val="0"/>
            <w:vAlign w:val="center"/>
          </w:tcPr>
          <w:p>
            <w:pPr>
              <w:pStyle w:val="6"/>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w:t>
            </w:r>
          </w:p>
        </w:tc>
        <w:tc>
          <w:tcPr>
            <w:tcW w:w="825"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100</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100</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100</w:t>
            </w:r>
          </w:p>
        </w:tc>
        <w:tc>
          <w:tcPr>
            <w:tcW w:w="964" w:type="dxa"/>
            <w:noWrap w:val="0"/>
            <w:vAlign w:val="center"/>
          </w:tcPr>
          <w:p>
            <w:pPr>
              <w:spacing w:line="260" w:lineRule="exact"/>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100</w:t>
            </w:r>
          </w:p>
        </w:tc>
        <w:tc>
          <w:tcPr>
            <w:tcW w:w="737" w:type="dxa"/>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25" w:hRule="atLeast"/>
        </w:trPr>
        <w:tc>
          <w:tcPr>
            <w:tcW w:w="615" w:type="dxa"/>
            <w:vMerge w:val="continue"/>
            <w:noWrap w:val="0"/>
            <w:vAlign w:val="center"/>
          </w:tcPr>
          <w:p>
            <w:pPr>
              <w:pStyle w:val="6"/>
              <w:rPr>
                <w:rFonts w:hint="default" w:ascii="Times New Roman" w:hAnsi="Times New Roman" w:eastAsia="宋体" w:cs="Times New Roman"/>
                <w:color w:val="000000"/>
                <w:sz w:val="24"/>
                <w:szCs w:val="24"/>
                <w:lang w:val="en-US"/>
              </w:rPr>
            </w:pPr>
          </w:p>
        </w:tc>
        <w:tc>
          <w:tcPr>
            <w:tcW w:w="2370" w:type="dxa"/>
            <w:noWrap w:val="0"/>
            <w:vAlign w:val="center"/>
          </w:tcPr>
          <w:p>
            <w:pPr>
              <w:pStyle w:val="6"/>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万元地区生产总值COD排放强度</w:t>
            </w:r>
          </w:p>
        </w:tc>
        <w:tc>
          <w:tcPr>
            <w:tcW w:w="810" w:type="dxa"/>
            <w:noWrap w:val="0"/>
            <w:vAlign w:val="center"/>
          </w:tcPr>
          <w:p>
            <w:pPr>
              <w:pStyle w:val="6"/>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eastAsia="zh-CN"/>
              </w:rPr>
              <w:t>千克</w:t>
            </w:r>
          </w:p>
        </w:tc>
        <w:tc>
          <w:tcPr>
            <w:tcW w:w="825" w:type="dxa"/>
            <w:noWrap w:val="0"/>
            <w:vAlign w:val="center"/>
          </w:tcPr>
          <w:p>
            <w:pPr>
              <w:widowControl/>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0.4</w:t>
            </w:r>
          </w:p>
        </w:tc>
        <w:tc>
          <w:tcPr>
            <w:tcW w:w="964" w:type="dxa"/>
            <w:noWrap w:val="0"/>
            <w:vAlign w:val="center"/>
          </w:tcPr>
          <w:p>
            <w:pPr>
              <w:widowControl/>
              <w:spacing w:line="260" w:lineRule="exact"/>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rPr>
              <w:t>100</w:t>
            </w:r>
          </w:p>
        </w:tc>
        <w:tc>
          <w:tcPr>
            <w:tcW w:w="964" w:type="dxa"/>
            <w:noWrap w:val="0"/>
            <w:vAlign w:val="center"/>
          </w:tcPr>
          <w:p>
            <w:pPr>
              <w:spacing w:line="260" w:lineRule="exact"/>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sz w:val="24"/>
                <w:szCs w:val="24"/>
              </w:rPr>
              <w:t>完成市控指标</w:t>
            </w:r>
          </w:p>
        </w:tc>
        <w:tc>
          <w:tcPr>
            <w:tcW w:w="964" w:type="dxa"/>
            <w:noWrap w:val="0"/>
            <w:vAlign w:val="center"/>
          </w:tcPr>
          <w:p>
            <w:pPr>
              <w:widowControl/>
              <w:spacing w:line="260" w:lineRule="exact"/>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kern w:val="0"/>
                <w:sz w:val="24"/>
                <w:szCs w:val="24"/>
              </w:rPr>
              <w:t>完成市控指标</w:t>
            </w:r>
          </w:p>
        </w:tc>
        <w:tc>
          <w:tcPr>
            <w:tcW w:w="737" w:type="dxa"/>
            <w:noWrap w:val="0"/>
            <w:vAlign w:val="center"/>
          </w:tcPr>
          <w:p>
            <w:pPr>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完成</w:t>
            </w:r>
          </w:p>
        </w:tc>
      </w:tr>
    </w:tbl>
    <w:p>
      <w:pPr>
        <w:pStyle w:val="3"/>
        <w:keepNext w:val="0"/>
        <w:keepLines w:val="0"/>
        <w:pageBreakBefore/>
        <w:widowControl w:val="0"/>
        <w:numPr>
          <w:ilvl w:val="0"/>
          <w:numId w:val="3"/>
        </w:numPr>
        <w:kinsoku/>
        <w:wordWrap/>
        <w:overflowPunct/>
        <w:topLinePunct w:val="0"/>
        <w:autoSpaceDE/>
        <w:autoSpaceDN/>
        <w:bidi w:val="0"/>
        <w:adjustRightInd/>
        <w:snapToGrid/>
        <w:spacing w:before="157" w:beforeLines="5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lang w:val="en-US" w:eastAsia="zh-CN"/>
        </w:rPr>
        <w:t xml:space="preserve"> </w:t>
      </w:r>
      <w:bookmarkStart w:id="17" w:name="_Toc27390"/>
      <w:bookmarkStart w:id="18" w:name="_Toc19269"/>
      <w:bookmarkStart w:id="19" w:name="_Toc18837"/>
      <w:bookmarkStart w:id="20" w:name="_Toc9825"/>
      <w:r>
        <w:rPr>
          <w:rFonts w:hint="default" w:ascii="Times New Roman" w:hAnsi="Times New Roman" w:eastAsia="宋体" w:cs="Times New Roman"/>
          <w:sz w:val="32"/>
          <w:lang w:val="en-US" w:eastAsia="zh-CN"/>
        </w:rPr>
        <w:t>“十四五”时期发展环境</w:t>
      </w:r>
      <w:bookmarkEnd w:id="17"/>
      <w:bookmarkEnd w:id="18"/>
      <w:bookmarkEnd w:id="19"/>
      <w:bookmarkEnd w:id="20"/>
    </w:p>
    <w:p>
      <w:pPr>
        <w:pStyle w:val="18"/>
        <w:keepNext w:val="0"/>
        <w:keepLines w:val="0"/>
        <w:pageBreakBefore w:val="0"/>
        <w:widowControl w:val="0"/>
        <w:kinsoku/>
        <w:wordWrap w:val="0"/>
        <w:overflowPunct/>
        <w:topLinePunct/>
        <w:autoSpaceDE/>
        <w:autoSpaceDN/>
        <w:bidi w:val="0"/>
        <w:adjustRightInd/>
        <w:snapToGrid/>
        <w:ind w:left="0" w:leftChars="0" w:firstLine="640" w:firstLineChars="200"/>
        <w:textAlignment w:val="auto"/>
        <w:rPr>
          <w:rFonts w:hint="default" w:ascii="Times New Roman" w:hAnsi="Times New Roman" w:cs="Times New Roman"/>
        </w:rPr>
      </w:pPr>
      <w:r>
        <w:rPr>
          <w:rFonts w:hint="default" w:ascii="Times New Roman" w:hAnsi="Times New Roman" w:eastAsia="仿宋_GB2312" w:cs="Times New Roman"/>
          <w:b w:val="0"/>
          <w:color w:val="auto"/>
          <w:kern w:val="2"/>
          <w:sz w:val="32"/>
          <w:szCs w:val="32"/>
          <w:rtl w:val="0"/>
          <w:lang w:val="en-US" w:eastAsia="zh-CN" w:bidi="ar-SA"/>
        </w:rPr>
        <w:t>进入新发展阶段，国内外环境的深刻变化既带来一系列新机遇，也带来一系列新挑战。</w:t>
      </w:r>
    </w:p>
    <w:bookmarkEnd w:id="9"/>
    <w:bookmarkEnd w:id="10"/>
    <w:p>
      <w:pPr>
        <w:pageBreakBefore w:val="0"/>
        <w:numPr>
          <w:ilvl w:val="0"/>
          <w:numId w:val="0"/>
        </w:numPr>
        <w:tabs>
          <w:tab w:val="left" w:pos="0"/>
        </w:tabs>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b/>
          <w:color w:val="000000" w:themeColor="text1"/>
          <w:sz w:val="32"/>
          <w:szCs w:val="32"/>
          <w:lang w:val="en-US" w:eastAsia="zh-CN"/>
          <w14:textFill>
            <w14:solidFill>
              <w14:schemeClr w14:val="tx1"/>
            </w14:solidFill>
          </w14:textFill>
        </w:rPr>
        <w:t>从外部发展环境看，</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国家应对“百年未有之大变局”系列政策将叠加我区，新一轮科技革命催生我区增长动能加快转换，超大规模市场消费需求将拓展我区供给侧结构性改革空间，长三角高质量一体化促进我区合作共建迈上新</w:t>
      </w:r>
      <w:r>
        <w:rPr>
          <w:rFonts w:hint="default" w:ascii="Times New Roman" w:hAnsi="Times New Roman" w:eastAsia="仿宋_GB2312" w:cs="Times New Roman"/>
          <w:color w:val="000000" w:themeColor="text1"/>
          <w:sz w:val="32"/>
          <w:szCs w:val="32"/>
          <w14:textFill>
            <w14:solidFill>
              <w14:schemeClr w14:val="tx1"/>
            </w14:solidFill>
          </w14:textFill>
        </w:rPr>
        <w:t>台阶，东部新中心将成为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合肥现代化中心城市“五高地一示范”建设的主战场</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全国</w:t>
      </w:r>
      <w:r>
        <w:rPr>
          <w:rFonts w:hint="default" w:ascii="Times New Roman" w:hAnsi="Times New Roman" w:eastAsia="仿宋_GB2312" w:cs="Times New Roman"/>
          <w:color w:val="000000" w:themeColor="text1"/>
          <w:sz w:val="32"/>
          <w:szCs w:val="32"/>
          <w14:textFill>
            <w14:solidFill>
              <w14:schemeClr w14:val="tx1"/>
            </w14:solidFill>
          </w14:textFill>
        </w:rPr>
        <w:t>老工业区搬迁改造试点为我区产业转型升级提供</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有力支撑</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合肥</w:t>
      </w:r>
      <w:r>
        <w:rPr>
          <w:rFonts w:hint="default" w:ascii="Times New Roman" w:hAnsi="Times New Roman" w:eastAsia="仿宋_GB2312" w:cs="Times New Roman"/>
          <w:color w:val="000000" w:themeColor="text1"/>
          <w:sz w:val="32"/>
          <w:szCs w:val="32"/>
          <w14:textFill>
            <w14:solidFill>
              <w14:schemeClr w14:val="tx1"/>
            </w14:solidFill>
          </w14:textFill>
        </w:rPr>
        <w:t>数字经济产业创新发展试验区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和</w:t>
      </w:r>
      <w:r>
        <w:rPr>
          <w:rFonts w:hint="default" w:ascii="Times New Roman" w:hAnsi="Times New Roman" w:eastAsia="仿宋_GB2312" w:cs="Times New Roman"/>
          <w:color w:val="000000" w:themeColor="text1"/>
          <w:sz w:val="32"/>
          <w:szCs w:val="32"/>
          <w14:textFill>
            <w14:solidFill>
              <w14:schemeClr w14:val="tx1"/>
            </w14:solidFill>
          </w14:textFill>
        </w:rPr>
        <w:t>线上经济创新发展试验区建设为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我区</w:t>
      </w:r>
      <w:r>
        <w:rPr>
          <w:rFonts w:hint="default" w:ascii="Times New Roman" w:hAnsi="Times New Roman" w:eastAsia="仿宋_GB2312" w:cs="Times New Roman"/>
          <w:color w:val="000000" w:themeColor="text1"/>
          <w:sz w:val="32"/>
          <w:szCs w:val="32"/>
          <w14:textFill>
            <w14:solidFill>
              <w14:schemeClr w14:val="tx1"/>
            </w14:solidFill>
          </w14:textFill>
        </w:rPr>
        <w:t>经济社会发展赋能增势</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14"/>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b/>
          <w:color w:val="000000" w:themeColor="text1"/>
          <w:sz w:val="32"/>
          <w:szCs w:val="32"/>
          <w:lang w:val="en-US" w:eastAsia="zh-CN"/>
          <w14:textFill>
            <w14:solidFill>
              <w14:schemeClr w14:val="tx1"/>
            </w14:solidFill>
          </w14:textFill>
        </w:rPr>
        <w:t>从内部积累基础看。</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十三五”期间，转型发展迈出坚定步伐，交通路网更加完善，空间资源有效释放，新兴产业培育明显加快，传统产业转型路径逐步清晰，东部新中心建设蓄势待发，体制机制改革全面深化，多年累积的后发优势、比较优势进一步凸显，瑶海将由“十三五”的“去旧育新”向“十四五”的“提速发力”转变。</w:t>
      </w:r>
    </w:p>
    <w:p>
      <w:pPr>
        <w:pStyle w:val="14"/>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同时，我</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发展不平衡不充分问题仍较突出，依然存在</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发展质量不够高、城市治理不够好、创新能力不够强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、公共服务供给不够优等短板弱项。全</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上下要准确把握新发展阶段，深入贯彻新发展理念，服务构建新发展格局，胸怀两个大局，强化战略定力，树牢底线思维，善于在危机中育先机、于变局中开新局。</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21" w:name="_Toc720"/>
      <w:bookmarkStart w:id="22" w:name="_Toc9099"/>
      <w:r>
        <w:rPr>
          <w:rFonts w:hint="default" w:ascii="Times New Roman" w:hAnsi="Times New Roman" w:eastAsia="宋体" w:cs="Times New Roman"/>
          <w:sz w:val="32"/>
          <w:rtl w:val="0"/>
          <w:lang w:val="en-US" w:eastAsia="zh-CN"/>
        </w:rPr>
        <w:t>“十四五”时期发展总体要求</w:t>
      </w:r>
      <w:bookmarkEnd w:id="21"/>
      <w:bookmarkEnd w:id="22"/>
    </w:p>
    <w:p>
      <w:pPr>
        <w:pageBreakBefore w:val="0"/>
        <w:numPr>
          <w:ilvl w:val="0"/>
          <w:numId w:val="0"/>
        </w:numPr>
        <w:tabs>
          <w:tab w:val="left" w:pos="0"/>
        </w:tabs>
        <w:kinsoku/>
        <w:overflowPunct/>
        <w:autoSpaceDE/>
        <w:autoSpaceDN/>
        <w:bidi w:val="0"/>
        <w:adjustRightInd/>
        <w:spacing w:line="560" w:lineRule="exact"/>
        <w:ind w:firstLine="643" w:firstLineChars="200"/>
        <w:textAlignment w:val="auto"/>
        <w:outlineLvl w:val="2"/>
        <w:rPr>
          <w:rFonts w:hint="default" w:ascii="Times New Roman" w:hAnsi="Times New Roman" w:eastAsia="仿宋_GB2312" w:cs="Times New Roman"/>
          <w:b/>
          <w:bCs/>
          <w:color w:val="000000" w:themeColor="text1"/>
          <w:kern w:val="0"/>
          <w:sz w:val="32"/>
          <w:szCs w:val="32"/>
          <w:shd w:val="clear" w:color="auto" w:fill="FFFFFF"/>
          <w:lang w:val="en-US" w:eastAsia="zh-CN" w:bidi="ar-SA"/>
          <w14:textFill>
            <w14:solidFill>
              <w14:schemeClr w14:val="tx1"/>
            </w14:solidFill>
          </w14:textFill>
        </w:rPr>
      </w:pPr>
      <w:bookmarkStart w:id="23" w:name="_Toc30501"/>
      <w:r>
        <w:rPr>
          <w:rFonts w:hint="default" w:ascii="Times New Roman" w:hAnsi="Times New Roman" w:eastAsia="仿宋_GB2312" w:cs="Times New Roman"/>
          <w:b/>
          <w:bCs/>
          <w:color w:val="000000" w:themeColor="text1"/>
          <w:kern w:val="0"/>
          <w:sz w:val="32"/>
          <w:szCs w:val="32"/>
          <w:shd w:val="clear" w:color="auto" w:fill="FFFFFF"/>
          <w:lang w:val="en-US" w:eastAsia="zh-CN" w:bidi="ar-SA"/>
          <w14:textFill>
            <w14:solidFill>
              <w14:schemeClr w14:val="tx1"/>
            </w14:solidFill>
          </w14:textFill>
        </w:rPr>
        <w:t>（一）指导思想</w:t>
      </w:r>
      <w:bookmarkEnd w:id="23"/>
    </w:p>
    <w:p>
      <w:pPr>
        <w:pageBreakBefore w:val="0"/>
        <w:numPr>
          <w:ilvl w:val="0"/>
          <w:numId w:val="0"/>
        </w:numPr>
        <w:tabs>
          <w:tab w:val="left" w:pos="0"/>
        </w:tabs>
        <w:kinsoku/>
        <w:overflowPunct/>
        <w:autoSpaceDE/>
        <w:autoSpaceDN/>
        <w:bidi w:val="0"/>
        <w:adjustRightInd/>
        <w:spacing w:line="560" w:lineRule="exact"/>
        <w:ind w:firstLine="640" w:firstLineChars="200"/>
        <w:textAlignment w:val="auto"/>
        <w:outlineLvl w:val="9"/>
        <w:rPr>
          <w:rFonts w:hint="default" w:ascii="Times New Roman" w:hAnsi="Times New Roman" w:cs="Times New Roman"/>
          <w:lang w:val="en-US" w:eastAsia="zh-CN"/>
        </w:rPr>
      </w:pPr>
      <w:r>
        <w:rPr>
          <w:rFonts w:hint="default" w:ascii="Times New Roman" w:hAnsi="Times New Roman" w:eastAsia="仿宋_GB2312" w:cs="Times New Roman"/>
          <w:color w:val="000000" w:themeColor="text1"/>
          <w:kern w:val="0"/>
          <w:sz w:val="32"/>
          <w:szCs w:val="32"/>
          <w:shd w:val="clear" w:color="auto" w:fill="FFFFFF"/>
          <w:lang w:val="en-US" w:eastAsia="zh-CN" w:bidi="ar-SA"/>
          <w14:textFill>
            <w14:solidFill>
              <w14:schemeClr w14:val="tx1"/>
            </w14:solidFill>
          </w14:textFill>
        </w:rPr>
        <w:t>高举习近平新时代中国特色社会主义思想伟大旗帜，深入贯彻党的十九大和十九届二中、三中、四中、五中全会精神，认真贯彻习近平总书记考察安徽重要讲话指示精神，全面贯彻党的基本理论、基本路线、基本方略，统筹推进“五位一体”总体布局和“四个全面”战略布局，坚持党的全面领导，坚持以人民为中心，坚持新发展理念，坚持深化改革开放，坚持系统观念，坚持稳中求进工作总基调，以推动高质量发展为主题，以深化供给侧结构性改革为主线，以改革创新为根本动力，以满足人民日益增长的美好生活需要为根本目的，统筹发展和安全，纵深推进“12345”发展战略，加强数字引领，加快推进城区面貌转变、产业转型升级、群众幸福感提升“三大任务”，强力实施城市能级、产业动能、社会治理能力、服务效能提升“四大工程”，加快建设合肥东部新中心，全力打造转型发展示范区、东部崛起新引擎、合肥新兴增长极，奋力谱写社会主义现代化建设的瑶海篇章。</w:t>
      </w:r>
    </w:p>
    <w:p>
      <w:pPr>
        <w:pageBreakBefore w:val="0"/>
        <w:numPr>
          <w:ilvl w:val="0"/>
          <w:numId w:val="0"/>
        </w:numPr>
        <w:tabs>
          <w:tab w:val="left" w:pos="0"/>
        </w:tabs>
        <w:kinsoku/>
        <w:overflowPunct/>
        <w:autoSpaceDE/>
        <w:autoSpaceDN/>
        <w:bidi w:val="0"/>
        <w:adjustRightInd/>
        <w:spacing w:line="560" w:lineRule="exact"/>
        <w:ind w:firstLine="643" w:firstLineChars="200"/>
        <w:textAlignment w:val="auto"/>
        <w:outlineLvl w:val="2"/>
        <w:rPr>
          <w:rFonts w:hint="default" w:ascii="Times New Roman" w:hAnsi="Times New Roman" w:eastAsia="仿宋_GB2312" w:cs="Times New Roman"/>
          <w:b/>
          <w:bCs/>
          <w:color w:val="000000" w:themeColor="text1"/>
          <w:kern w:val="0"/>
          <w:sz w:val="32"/>
          <w:szCs w:val="32"/>
          <w:shd w:val="clear" w:color="auto" w:fill="FFFFFF"/>
          <w:rtl w:val="0"/>
          <w:lang w:val="en-US" w:eastAsia="zh-CN" w:bidi="ar-SA"/>
          <w14:textFill>
            <w14:solidFill>
              <w14:schemeClr w14:val="tx1"/>
            </w14:solidFill>
          </w14:textFill>
        </w:rPr>
      </w:pPr>
      <w:bookmarkStart w:id="24" w:name="_Toc17927"/>
      <w:r>
        <w:rPr>
          <w:rFonts w:hint="default" w:ascii="Times New Roman" w:hAnsi="Times New Roman" w:eastAsia="仿宋_GB2312" w:cs="Times New Roman"/>
          <w:b/>
          <w:bCs/>
          <w:color w:val="000000" w:themeColor="text1"/>
          <w:kern w:val="0"/>
          <w:sz w:val="32"/>
          <w:szCs w:val="32"/>
          <w:shd w:val="clear" w:color="auto" w:fill="FFFFFF"/>
          <w:rtl w:val="0"/>
          <w:lang w:val="en-US" w:eastAsia="zh-CN" w:bidi="ar-SA"/>
          <w14:textFill>
            <w14:solidFill>
              <w14:schemeClr w14:val="tx1"/>
            </w14:solidFill>
          </w14:textFill>
        </w:rPr>
        <w:t>（二）基本原则</w:t>
      </w:r>
      <w:bookmarkEnd w:id="24"/>
    </w:p>
    <w:p>
      <w:pPr>
        <w:pStyle w:val="16"/>
        <w:keepNext w:val="0"/>
        <w:keepLines w:val="0"/>
        <w:pageBreakBefore w:val="0"/>
        <w:kinsoku/>
        <w:wordWrap/>
        <w:overflowPunct/>
        <w:topLinePunct w:val="0"/>
        <w:autoSpaceDE/>
        <w:autoSpaceDN/>
        <w:bidi w:val="0"/>
        <w:adjustRightInd/>
        <w:snapToGrid/>
        <w:spacing w:before="0" w:beforeAutospacing="0" w:after="0" w:afterAutospacing="0" w:line="556" w:lineRule="exact"/>
        <w:ind w:firstLine="643" w:firstLineChars="200"/>
        <w:jc w:val="both"/>
        <w:textAlignment w:val="auto"/>
        <w:rPr>
          <w:rFonts w:hint="default" w:ascii="Times New Roman" w:hAnsi="Times New Roman" w:eastAsia="仿宋_GB2312" w:cs="Times New Roman"/>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楷体" w:cs="Times New Roman"/>
          <w:b/>
          <w:color w:val="000000" w:themeColor="text1"/>
          <w:kern w:val="2"/>
          <w:sz w:val="32"/>
          <w:szCs w:val="32"/>
          <w14:textFill>
            <w14:solidFill>
              <w14:schemeClr w14:val="tx1"/>
            </w14:solidFill>
          </w14:textFill>
        </w:rPr>
        <w:t>——</w:t>
      </w:r>
      <w:r>
        <w:rPr>
          <w:rFonts w:hint="default" w:ascii="Times New Roman" w:hAnsi="Times New Roman" w:eastAsia="楷体_GB2312" w:cs="Times New Roman"/>
          <w:b/>
          <w:color w:val="000000" w:themeColor="text1"/>
          <w:kern w:val="2"/>
          <w:sz w:val="32"/>
          <w:szCs w:val="32"/>
          <w14:textFill>
            <w14:solidFill>
              <w14:schemeClr w14:val="tx1"/>
            </w14:solidFill>
          </w14:textFill>
        </w:rPr>
        <w:t>坚持党的全面领导。</w:t>
      </w:r>
      <w:r>
        <w:rPr>
          <w:rFonts w:hint="default" w:ascii="Times New Roman" w:hAnsi="Times New Roman" w:eastAsia="仿宋_GB2312" w:cs="Times New Roman"/>
          <w:color w:val="000000" w:themeColor="text1"/>
          <w:kern w:val="0"/>
          <w:sz w:val="32"/>
          <w:szCs w:val="32"/>
          <w:shd w:val="clear" w:color="auto" w:fill="FFFFFF"/>
          <w:lang w:val="en-US" w:eastAsia="zh-CN" w:bidi="ar-SA"/>
          <w14:textFill>
            <w14:solidFill>
              <w14:schemeClr w14:val="tx1"/>
            </w14:solidFill>
          </w14:textFill>
        </w:rPr>
        <w:t>全面落实新时代党的建设总要求和新部署，坚持和加强党的全面领导，切实增强区委总揽全局、协调各方的领导力，切实增强统一思想、聚焦目标的凝聚力，切实增强凝聚群众、合力攻坚的组织力，切实增强担当有为、狠抓落实的执行力。</w:t>
      </w:r>
    </w:p>
    <w:p>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556" w:lineRule="exact"/>
        <w:ind w:firstLine="643" w:firstLineChars="200"/>
        <w:jc w:val="both"/>
        <w:textAlignment w:val="auto"/>
        <w:rPr>
          <w:rFonts w:hint="default" w:ascii="Times New Roman" w:hAnsi="Times New Roman" w:eastAsia="仿宋_GB2312" w:cs="Times New Roman"/>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楷体" w:cs="Times New Roman"/>
          <w:b/>
          <w:color w:val="000000" w:themeColor="text1"/>
          <w:kern w:val="2"/>
          <w:sz w:val="32"/>
          <w:szCs w:val="32"/>
          <w14:textFill>
            <w14:solidFill>
              <w14:schemeClr w14:val="tx1"/>
            </w14:solidFill>
          </w14:textFill>
        </w:rPr>
        <w:t>——</w:t>
      </w:r>
      <w:r>
        <w:rPr>
          <w:rFonts w:hint="default" w:ascii="Times New Roman" w:hAnsi="Times New Roman" w:eastAsia="楷体_GB2312" w:cs="Times New Roman"/>
          <w:b/>
          <w:color w:val="000000" w:themeColor="text1"/>
          <w:kern w:val="2"/>
          <w:sz w:val="32"/>
          <w:szCs w:val="32"/>
          <w14:textFill>
            <w14:solidFill>
              <w14:schemeClr w14:val="tx1"/>
            </w14:solidFill>
          </w14:textFill>
        </w:rPr>
        <w:t>坚持以人民为中心。</w:t>
      </w:r>
      <w:r>
        <w:rPr>
          <w:rFonts w:hint="default" w:ascii="Times New Roman" w:hAnsi="Times New Roman" w:eastAsia="仿宋_GB2312" w:cs="Times New Roman"/>
          <w:color w:val="000000" w:themeColor="text1"/>
          <w:kern w:val="0"/>
          <w:sz w:val="32"/>
          <w:szCs w:val="32"/>
          <w:shd w:val="clear" w:color="auto" w:fill="FFFFFF"/>
          <w:lang w:val="en-US" w:eastAsia="zh-CN" w:bidi="ar-SA"/>
          <w14:textFill>
            <w14:solidFill>
              <w14:schemeClr w14:val="tx1"/>
            </w14:solidFill>
          </w14:textFill>
        </w:rPr>
        <w:t>坚持“民有所呼、我有所应”，打通服务群众的“最后一厘米”，始终做到发展为了人民、发展依靠人民、发展成果由人民共享，全力以赴满足老百姓日益增长的美好生活需要，激发全区人民积极性、主动性、创造性，促进社会公平，增进民生福祉。</w:t>
      </w:r>
    </w:p>
    <w:p>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556" w:lineRule="exact"/>
        <w:ind w:firstLine="643" w:firstLineChars="200"/>
        <w:jc w:val="both"/>
        <w:textAlignment w:val="auto"/>
        <w:rPr>
          <w:rFonts w:hint="default" w:ascii="Times New Roman" w:hAnsi="Times New Roman" w:eastAsia="仿宋_GB2312" w:cs="Times New Roman"/>
          <w:bCs/>
          <w:color w:val="000000" w:themeColor="text1"/>
          <w:kern w:val="2"/>
          <w:sz w:val="32"/>
          <w:szCs w:val="32"/>
          <w:lang w:eastAsia="zh-CN"/>
          <w14:textFill>
            <w14:solidFill>
              <w14:schemeClr w14:val="tx1"/>
            </w14:solidFill>
          </w14:textFill>
        </w:rPr>
      </w:pPr>
      <w:r>
        <w:rPr>
          <w:rFonts w:hint="default" w:ascii="Times New Roman" w:hAnsi="Times New Roman" w:eastAsia="楷体" w:cs="Times New Roman"/>
          <w:b/>
          <w:color w:val="000000" w:themeColor="text1"/>
          <w:kern w:val="2"/>
          <w:sz w:val="32"/>
          <w:szCs w:val="32"/>
          <w14:textFill>
            <w14:solidFill>
              <w14:schemeClr w14:val="tx1"/>
            </w14:solidFill>
          </w14:textFill>
        </w:rPr>
        <w:t>——</w:t>
      </w:r>
      <w:r>
        <w:rPr>
          <w:rFonts w:hint="default" w:ascii="Times New Roman" w:hAnsi="Times New Roman" w:eastAsia="楷体_GB2312" w:cs="Times New Roman"/>
          <w:b/>
          <w:color w:val="000000" w:themeColor="text1"/>
          <w:kern w:val="2"/>
          <w:sz w:val="32"/>
          <w:szCs w:val="32"/>
          <w14:textFill>
            <w14:solidFill>
              <w14:schemeClr w14:val="tx1"/>
            </w14:solidFill>
          </w14:textFill>
        </w:rPr>
        <w:t>坚持新发展理念。</w:t>
      </w:r>
      <w:r>
        <w:rPr>
          <w:rFonts w:hint="default" w:ascii="Times New Roman" w:hAnsi="Times New Roman" w:eastAsia="仿宋_GB2312" w:cs="Times New Roman"/>
          <w:color w:val="000000" w:themeColor="text1"/>
          <w:kern w:val="0"/>
          <w:sz w:val="32"/>
          <w:szCs w:val="32"/>
          <w:shd w:val="clear" w:color="auto" w:fill="FFFFFF"/>
          <w:lang w:val="en-US" w:eastAsia="zh-CN" w:bidi="ar-SA"/>
          <w14:textFill>
            <w14:solidFill>
              <w14:schemeClr w14:val="tx1"/>
            </w14:solidFill>
          </w14:textFill>
        </w:rPr>
        <w:t>把新发展理念贯穿瑶海转型发展的全过程和各领域，切实转变发展方式，实现内涵式增长，推动经济社会发展在“减能”中“增能”、在“去能”中“赋能”，在加快推进瑶海经济社会全面绿色转型中取得新的更大进展。</w:t>
      </w:r>
    </w:p>
    <w:p>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556" w:lineRule="exact"/>
        <w:ind w:firstLine="643" w:firstLineChars="200"/>
        <w:jc w:val="both"/>
        <w:textAlignment w:val="auto"/>
        <w:rPr>
          <w:rFonts w:hint="default" w:ascii="Times New Roman" w:hAnsi="Times New Roman" w:eastAsia="仿宋_GB2312" w:cs="Times New Roman"/>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楷体" w:cs="Times New Roman"/>
          <w:b/>
          <w:color w:val="000000" w:themeColor="text1"/>
          <w:kern w:val="2"/>
          <w:sz w:val="32"/>
          <w:szCs w:val="32"/>
          <w14:textFill>
            <w14:solidFill>
              <w14:schemeClr w14:val="tx1"/>
            </w14:solidFill>
          </w14:textFill>
        </w:rPr>
        <w:t>——</w:t>
      </w:r>
      <w:r>
        <w:rPr>
          <w:rFonts w:hint="default" w:ascii="Times New Roman" w:hAnsi="Times New Roman" w:eastAsia="楷体_GB2312" w:cs="Times New Roman"/>
          <w:b/>
          <w:color w:val="000000" w:themeColor="text1"/>
          <w:kern w:val="2"/>
          <w:sz w:val="32"/>
          <w:szCs w:val="32"/>
          <w14:textFill>
            <w14:solidFill>
              <w14:schemeClr w14:val="tx1"/>
            </w14:solidFill>
          </w14:textFill>
        </w:rPr>
        <w:t>坚持深化改革开放。</w:t>
      </w:r>
      <w:r>
        <w:rPr>
          <w:rFonts w:hint="default" w:ascii="Times New Roman" w:hAnsi="Times New Roman" w:eastAsia="仿宋_GB2312" w:cs="Times New Roman"/>
          <w:color w:val="000000" w:themeColor="text1"/>
          <w:kern w:val="0"/>
          <w:sz w:val="32"/>
          <w:szCs w:val="32"/>
          <w:shd w:val="clear" w:color="auto" w:fill="FFFFFF"/>
          <w:lang w:val="en-US" w:eastAsia="zh-CN" w:bidi="ar-SA"/>
          <w14:textFill>
            <w14:solidFill>
              <w14:schemeClr w14:val="tx1"/>
            </w14:solidFill>
          </w14:textFill>
        </w:rPr>
        <w:t>大力弘扬改革创新精神，抢抓合肥在长三角一体化发展中从“全面参与”迈向“深度融合”的契机，加大与结对城区对口合作力度和深度，借鉴和学习先进地区城市管理和开发经验，坚定不移地推进改革，坚定不移地扩大开放，持续增强发展动力和活力。</w:t>
      </w:r>
    </w:p>
    <w:p>
      <w:pPr>
        <w:pStyle w:val="27"/>
        <w:keepNext w:val="0"/>
        <w:keepLines w:val="0"/>
        <w:pageBreakBefore w:val="0"/>
        <w:widowControl w:val="0"/>
        <w:kinsoku/>
        <w:wordWrap/>
        <w:overflowPunct/>
        <w:topLinePunct w:val="0"/>
        <w:autoSpaceDE/>
        <w:autoSpaceDN/>
        <w:bidi w:val="0"/>
        <w:adjustRightInd/>
        <w:snapToGrid/>
        <w:spacing w:line="556" w:lineRule="exact"/>
        <w:ind w:firstLine="643" w:firstLineChars="200"/>
        <w:textAlignment w:val="auto"/>
        <w:rPr>
          <w:rFonts w:hint="default" w:ascii="Times New Roman" w:hAnsi="Times New Roman" w:eastAsia="仿宋_GB2312" w:cs="Times New Roman"/>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楷体" w:cs="Times New Roman"/>
          <w:b/>
          <w:color w:val="000000" w:themeColor="text1"/>
          <w:sz w:val="32"/>
          <w:szCs w:val="32"/>
          <w:lang w:val="en-US" w:eastAsia="zh-CN" w:bidi="ar-SA"/>
          <w14:textFill>
            <w14:solidFill>
              <w14:schemeClr w14:val="tx1"/>
            </w14:solidFill>
          </w14:textFill>
        </w:rPr>
        <w:t>——</w:t>
      </w:r>
      <w:r>
        <w:rPr>
          <w:rFonts w:hint="default" w:ascii="Times New Roman" w:hAnsi="Times New Roman" w:eastAsia="楷体_GB2312" w:cs="Times New Roman"/>
          <w:b/>
          <w:color w:val="000000" w:themeColor="text1"/>
          <w:kern w:val="2"/>
          <w:sz w:val="32"/>
          <w:szCs w:val="32"/>
          <w:lang w:val="en-US" w:eastAsia="zh-CN" w:bidi="ar-SA"/>
          <w14:textFill>
            <w14:solidFill>
              <w14:schemeClr w14:val="tx1"/>
            </w14:solidFill>
          </w14:textFill>
        </w:rPr>
        <w:t>坚持系统观念。</w:t>
      </w:r>
      <w:r>
        <w:rPr>
          <w:rFonts w:hint="default" w:ascii="Times New Roman" w:hAnsi="Times New Roman" w:eastAsia="仿宋_GB2312" w:cs="Times New Roman"/>
          <w:color w:val="000000" w:themeColor="text1"/>
          <w:kern w:val="0"/>
          <w:sz w:val="32"/>
          <w:szCs w:val="32"/>
          <w:shd w:val="clear" w:color="auto" w:fill="FFFFFF"/>
          <w:lang w:val="en-US" w:eastAsia="zh-CN" w:bidi="ar-SA"/>
          <w14:textFill>
            <w14:solidFill>
              <w14:schemeClr w14:val="tx1"/>
            </w14:solidFill>
          </w14:textFill>
        </w:rPr>
        <w:t>加强前瞻性思考、全局性谋划、战略性布局、整体性推进，统筹基础设施建设、生产力布局、公共服务提升和基层社会治理，正确处理好经济健康发展与社会和谐稳定的关系，着力固根基、扬优势、补短板、强弱项，实现瑶海高质量发展。</w:t>
      </w:r>
    </w:p>
    <w:p>
      <w:pPr>
        <w:keepNext/>
        <w:keepLines/>
        <w:pageBreakBefore w:val="0"/>
        <w:widowControl w:val="0"/>
        <w:numPr>
          <w:ilvl w:val="0"/>
          <w:numId w:val="0"/>
        </w:numPr>
        <w:tabs>
          <w:tab w:val="left" w:pos="0"/>
        </w:tabs>
        <w:kinsoku/>
        <w:wordWrap/>
        <w:overflowPunct/>
        <w:topLinePunct w:val="0"/>
        <w:autoSpaceDE/>
        <w:autoSpaceDN/>
        <w:bidi w:val="0"/>
        <w:adjustRightInd/>
        <w:snapToGrid/>
        <w:spacing w:line="556" w:lineRule="exact"/>
        <w:ind w:firstLine="643" w:firstLineChars="200"/>
        <w:jc w:val="both"/>
        <w:textAlignment w:val="auto"/>
        <w:outlineLvl w:val="2"/>
        <w:rPr>
          <w:rFonts w:hint="default" w:ascii="Times New Roman" w:hAnsi="Times New Roman" w:eastAsia="仿宋_GB2312" w:cs="Times New Roman"/>
          <w:kern w:val="0"/>
          <w:sz w:val="32"/>
          <w:szCs w:val="32"/>
          <w:highlight w:val="none"/>
          <w:shd w:val="clear" w:color="auto" w:fill="FFFFFF"/>
        </w:rPr>
      </w:pPr>
      <w:bookmarkStart w:id="25" w:name="_Toc8067"/>
      <w:r>
        <w:rPr>
          <w:rFonts w:hint="default" w:ascii="Times New Roman" w:hAnsi="Times New Roman" w:eastAsia="仿宋_GB2312" w:cs="Times New Roman"/>
          <w:b/>
          <w:bCs/>
          <w:color w:val="000000" w:themeColor="text1"/>
          <w:kern w:val="0"/>
          <w:sz w:val="32"/>
          <w:szCs w:val="32"/>
          <w:highlight w:val="none"/>
          <w:shd w:val="clear" w:color="auto" w:fill="FFFFFF"/>
          <w:rtl w:val="0"/>
          <w:lang w:val="en-US" w:eastAsia="zh-CN" w:bidi="ar-SA"/>
          <w14:textFill>
            <w14:solidFill>
              <w14:schemeClr w14:val="tx1"/>
            </w14:solidFill>
          </w14:textFill>
        </w:rPr>
        <w:t>（三）发展定位</w:t>
      </w:r>
      <w:bookmarkEnd w:id="25"/>
    </w:p>
    <w:p>
      <w:pPr>
        <w:keepNext w:val="0"/>
        <w:keepLines w:val="0"/>
        <w:pageBreakBefore w:val="0"/>
        <w:widowControl w:val="0"/>
        <w:numPr>
          <w:ilvl w:val="0"/>
          <w:numId w:val="0"/>
        </w:numPr>
        <w:kinsoku/>
        <w:wordWrap/>
        <w:overflowPunct/>
        <w:topLinePunct w:val="0"/>
        <w:autoSpaceDE/>
        <w:autoSpaceDN/>
        <w:bidi w:val="0"/>
        <w:adjustRightInd/>
        <w:snapToGrid w:val="0"/>
        <w:spacing w:line="556" w:lineRule="exact"/>
        <w:ind w:firstLine="643" w:firstLineChars="200"/>
        <w:textAlignment w:val="auto"/>
        <w:outlineLvl w:val="9"/>
        <w:rPr>
          <w:rFonts w:hint="default" w:ascii="Times New Roman" w:hAnsi="Times New Roman" w:cs="Times New Roman"/>
        </w:rPr>
      </w:pPr>
      <w:r>
        <w:rPr>
          <w:rFonts w:hint="default" w:ascii="Times New Roman" w:hAnsi="Times New Roman" w:eastAsia="楷体" w:cs="Times New Roman"/>
          <w:b/>
          <w:bCs w:val="0"/>
          <w:color w:val="000000" w:themeColor="text1"/>
          <w:sz w:val="32"/>
          <w:szCs w:val="32"/>
          <w:highlight w:val="none"/>
          <w:lang w:val="en-US" w:eastAsia="zh-CN" w:bidi="ar-SA"/>
          <w14:textFill>
            <w14:solidFill>
              <w14:schemeClr w14:val="tx1"/>
            </w14:solidFill>
          </w14:textFill>
        </w:rPr>
        <w:t>——</w:t>
      </w:r>
      <w:r>
        <w:rPr>
          <w:rFonts w:hint="default" w:ascii="Times New Roman" w:hAnsi="Times New Roman" w:eastAsia="楷体_GB2312" w:cs="Times New Roman"/>
          <w:b/>
          <w:bCs/>
          <w:kern w:val="0"/>
          <w:sz w:val="32"/>
          <w:szCs w:val="32"/>
          <w:highlight w:val="none"/>
        </w:rPr>
        <w:t>转型发展示范区</w:t>
      </w:r>
      <w:r>
        <w:rPr>
          <w:rFonts w:hint="default" w:ascii="Times New Roman" w:hAnsi="Times New Roman" w:eastAsia="楷体" w:cs="Times New Roman"/>
          <w:b/>
          <w:bCs/>
          <w:kern w:val="0"/>
          <w:sz w:val="32"/>
          <w:szCs w:val="32"/>
          <w:highlight w:val="none"/>
        </w:rPr>
        <w:t>。</w:t>
      </w:r>
      <w:r>
        <w:rPr>
          <w:rFonts w:hint="default" w:ascii="Times New Roman" w:hAnsi="Times New Roman" w:eastAsia="仿宋_GB2312" w:cs="Times New Roman"/>
          <w:kern w:val="0"/>
          <w:sz w:val="32"/>
          <w:szCs w:val="32"/>
          <w:highlight w:val="none"/>
          <w:shd w:val="clear" w:color="auto" w:fill="FFFFFF"/>
        </w:rPr>
        <w:t>抢抓全国城区老工业区搬迁改造</w:t>
      </w:r>
      <w:r>
        <w:rPr>
          <w:rFonts w:hint="default" w:ascii="Times New Roman" w:hAnsi="Times New Roman" w:eastAsia="仿宋_GB2312" w:cs="Times New Roman"/>
          <w:kern w:val="0"/>
          <w:sz w:val="32"/>
          <w:szCs w:val="32"/>
          <w:highlight w:val="none"/>
          <w:shd w:val="clear" w:color="auto" w:fill="FFFFFF"/>
          <w:lang w:val="en-US" w:eastAsia="zh-CN"/>
        </w:rPr>
        <w:t>新一轮政策</w:t>
      </w:r>
      <w:r>
        <w:rPr>
          <w:rFonts w:hint="default" w:ascii="Times New Roman" w:hAnsi="Times New Roman" w:eastAsia="仿宋_GB2312" w:cs="Times New Roman"/>
          <w:kern w:val="0"/>
          <w:sz w:val="32"/>
          <w:szCs w:val="32"/>
          <w:highlight w:val="none"/>
          <w:shd w:val="clear" w:color="auto" w:fill="FFFFFF"/>
        </w:rPr>
        <w:t>机遇，</w:t>
      </w:r>
      <w:r>
        <w:rPr>
          <w:rFonts w:hint="default" w:ascii="Times New Roman" w:hAnsi="Times New Roman" w:eastAsia="仿宋_GB2312" w:cs="Times New Roman"/>
          <w:kern w:val="0"/>
          <w:sz w:val="32"/>
          <w:szCs w:val="32"/>
          <w:highlight w:val="none"/>
          <w:shd w:val="clear" w:color="auto" w:fill="FFFFFF"/>
          <w:lang w:val="en-US" w:eastAsia="zh-CN"/>
        </w:rPr>
        <w:t>加强工业遗产保护利用</w:t>
      </w:r>
      <w:r>
        <w:rPr>
          <w:rFonts w:hint="default" w:ascii="Times New Roman" w:hAnsi="Times New Roman" w:eastAsia="仿宋_GB2312" w:cs="Times New Roman"/>
          <w:kern w:val="0"/>
          <w:sz w:val="32"/>
          <w:szCs w:val="32"/>
          <w:highlight w:val="none"/>
          <w:shd w:val="clear" w:color="auto" w:fill="FFFFFF"/>
        </w:rPr>
        <w:t>，</w:t>
      </w:r>
      <w:r>
        <w:rPr>
          <w:rFonts w:hint="default" w:ascii="Times New Roman" w:hAnsi="Times New Roman" w:eastAsia="仿宋_GB2312" w:cs="Times New Roman"/>
          <w:kern w:val="0"/>
          <w:sz w:val="32"/>
          <w:szCs w:val="32"/>
          <w:highlight w:val="none"/>
          <w:shd w:val="clear" w:color="auto" w:fill="FFFFFF"/>
          <w:lang w:val="en-US" w:eastAsia="zh-CN"/>
        </w:rPr>
        <w:t>凝聚工业文化创意魅力，推动数字产业化、产业数字化，营造具有特色风貌的品质城区，建设平安幸福乐居新瑶海，实现经济</w:t>
      </w:r>
      <w:r>
        <w:rPr>
          <w:rFonts w:hint="default" w:ascii="Times New Roman" w:hAnsi="Times New Roman" w:eastAsia="仿宋_GB2312" w:cs="Times New Roman"/>
          <w:kern w:val="0"/>
          <w:sz w:val="32"/>
          <w:szCs w:val="32"/>
          <w:highlight w:val="none"/>
          <w:shd w:val="clear" w:color="auto" w:fill="FFFFFF"/>
        </w:rPr>
        <w:t>社会</w:t>
      </w:r>
      <w:r>
        <w:rPr>
          <w:rFonts w:hint="default" w:ascii="Times New Roman" w:hAnsi="Times New Roman" w:eastAsia="仿宋_GB2312" w:cs="Times New Roman"/>
          <w:kern w:val="0"/>
          <w:sz w:val="32"/>
          <w:szCs w:val="32"/>
          <w:highlight w:val="none"/>
          <w:shd w:val="clear" w:color="auto" w:fill="FFFFFF"/>
          <w:lang w:val="en-US" w:eastAsia="zh-CN"/>
        </w:rPr>
        <w:t>全面绿色</w:t>
      </w:r>
      <w:r>
        <w:rPr>
          <w:rFonts w:hint="default" w:ascii="Times New Roman" w:hAnsi="Times New Roman" w:eastAsia="仿宋_GB2312" w:cs="Times New Roman"/>
          <w:kern w:val="0"/>
          <w:sz w:val="32"/>
          <w:szCs w:val="32"/>
          <w:highlight w:val="none"/>
          <w:shd w:val="clear" w:color="auto" w:fill="FFFFFF"/>
        </w:rPr>
        <w:t>转型</w:t>
      </w:r>
      <w:r>
        <w:rPr>
          <w:rFonts w:hint="default" w:ascii="Times New Roman" w:hAnsi="Times New Roman" w:eastAsia="仿宋_GB2312" w:cs="Times New Roman"/>
          <w:kern w:val="0"/>
          <w:sz w:val="32"/>
          <w:szCs w:val="32"/>
          <w:highlight w:val="none"/>
          <w:shd w:val="clear" w:color="auto" w:fill="FFFFFF"/>
          <w:lang w:eastAsia="zh-CN"/>
        </w:rPr>
        <w:t>。</w:t>
      </w:r>
    </w:p>
    <w:p>
      <w:pPr>
        <w:pStyle w:val="27"/>
        <w:keepNext w:val="0"/>
        <w:keepLines w:val="0"/>
        <w:pageBreakBefore w:val="0"/>
        <w:widowControl w:val="0"/>
        <w:kinsoku/>
        <w:wordWrap/>
        <w:overflowPunct/>
        <w:topLinePunct w:val="0"/>
        <w:autoSpaceDE/>
        <w:autoSpaceDN/>
        <w:bidi w:val="0"/>
        <w:adjustRightInd/>
        <w:spacing w:line="556" w:lineRule="exact"/>
        <w:ind w:firstLine="643" w:firstLineChars="200"/>
        <w:textAlignment w:val="auto"/>
        <w:rPr>
          <w:rFonts w:hint="default" w:ascii="Times New Roman" w:hAnsi="Times New Roman" w:eastAsia="仿宋_GB2312" w:cs="Times New Roman"/>
          <w:kern w:val="0"/>
          <w:sz w:val="32"/>
          <w:szCs w:val="32"/>
          <w:highlight w:val="none"/>
          <w:shd w:val="clear" w:color="auto" w:fill="FFFFFF"/>
          <w:lang w:val="en-US" w:eastAsia="zh-CN"/>
        </w:rPr>
      </w:pPr>
      <w:r>
        <w:rPr>
          <w:rFonts w:hint="default" w:ascii="Times New Roman" w:hAnsi="Times New Roman" w:eastAsia="楷体_GB2312" w:cs="Times New Roman"/>
          <w:b/>
          <w:bCs/>
          <w:kern w:val="0"/>
          <w:sz w:val="32"/>
          <w:szCs w:val="32"/>
          <w:highlight w:val="none"/>
          <w:lang w:val="en-US" w:eastAsia="zh-CN" w:bidi="ar-SA"/>
        </w:rPr>
        <w:t>——东部崛起新引擎。</w:t>
      </w:r>
      <w:r>
        <w:rPr>
          <w:rFonts w:hint="default" w:ascii="Times New Roman" w:hAnsi="Times New Roman" w:eastAsia="仿宋_GB2312" w:cs="Times New Roman"/>
          <w:kern w:val="0"/>
          <w:sz w:val="32"/>
          <w:szCs w:val="32"/>
          <w:highlight w:val="none"/>
          <w:shd w:val="clear" w:color="auto" w:fill="FFFFFF"/>
          <w:lang w:val="en-US" w:eastAsia="zh-CN" w:bidi="ar-SA"/>
        </w:rPr>
        <w:t>抢抓合肥市新一轮重点片区发展布局重大调整机遇，发挥东向发展“桥头堡”作用，加强与合肥新站高新技术产业开发区、肥东县等合肥东部地区的分工协作，创新合作共建体制机制，推动合肥东部加快崛起，</w:t>
      </w:r>
      <w:r>
        <w:rPr>
          <w:rFonts w:hint="default" w:ascii="Times New Roman" w:hAnsi="Times New Roman" w:eastAsia="仿宋_GB2312" w:cs="Times New Roman"/>
          <w:color w:val="000000" w:themeColor="text1"/>
          <w:kern w:val="0"/>
          <w:sz w:val="32"/>
          <w:szCs w:val="32"/>
          <w:shd w:val="clear" w:color="auto" w:fill="FFFFFF"/>
          <w:lang w:val="en-US" w:eastAsia="zh-CN" w:bidi="ar-SA"/>
          <w14:textFill>
            <w14:solidFill>
              <w14:schemeClr w14:val="tx1"/>
            </w14:solidFill>
          </w14:textFill>
        </w:rPr>
        <w:t>促进全市协调均衡发展。</w:t>
      </w:r>
    </w:p>
    <w:p>
      <w:pPr>
        <w:keepNext w:val="0"/>
        <w:keepLines w:val="0"/>
        <w:pageBreakBefore w:val="0"/>
        <w:widowControl w:val="0"/>
        <w:numPr>
          <w:ilvl w:val="0"/>
          <w:numId w:val="0"/>
        </w:numPr>
        <w:kinsoku/>
        <w:wordWrap/>
        <w:overflowPunct/>
        <w:topLinePunct w:val="0"/>
        <w:autoSpaceDE/>
        <w:autoSpaceDN/>
        <w:bidi w:val="0"/>
        <w:adjustRightInd/>
        <w:snapToGrid w:val="0"/>
        <w:spacing w:line="556" w:lineRule="exact"/>
        <w:ind w:firstLine="643" w:firstLineChars="200"/>
        <w:textAlignment w:val="auto"/>
        <w:outlineLvl w:val="9"/>
        <w:rPr>
          <w:rFonts w:hint="default" w:ascii="Times New Roman" w:hAnsi="Times New Roman" w:eastAsia="仿宋_GB2312" w:cs="Times New Roman"/>
          <w:kern w:val="0"/>
          <w:sz w:val="32"/>
          <w:szCs w:val="32"/>
          <w:highlight w:val="none"/>
          <w:shd w:val="clear" w:color="auto" w:fill="FFFFFF"/>
          <w:lang w:val="en-US"/>
        </w:rPr>
      </w:pPr>
      <w:r>
        <w:rPr>
          <w:rFonts w:hint="default" w:ascii="Times New Roman" w:hAnsi="Times New Roman" w:eastAsia="楷体" w:cs="Times New Roman"/>
          <w:b/>
          <w:bCs w:val="0"/>
          <w:color w:val="000000" w:themeColor="text1"/>
          <w:sz w:val="32"/>
          <w:szCs w:val="32"/>
          <w:highlight w:val="none"/>
          <w:lang w:val="en-US" w:eastAsia="zh-CN" w:bidi="ar-SA"/>
          <w14:textFill>
            <w14:solidFill>
              <w14:schemeClr w14:val="tx1"/>
            </w14:solidFill>
          </w14:textFill>
        </w:rPr>
        <w:t>——</w:t>
      </w:r>
      <w:r>
        <w:rPr>
          <w:rFonts w:hint="default" w:ascii="Times New Roman" w:hAnsi="Times New Roman" w:eastAsia="楷体_GB2312" w:cs="Times New Roman"/>
          <w:b/>
          <w:bCs/>
          <w:kern w:val="0"/>
          <w:sz w:val="32"/>
          <w:szCs w:val="32"/>
          <w:highlight w:val="none"/>
        </w:rPr>
        <w:t>合肥新兴增长极</w:t>
      </w:r>
      <w:r>
        <w:rPr>
          <w:rFonts w:hint="default" w:ascii="Times New Roman" w:hAnsi="Times New Roman" w:eastAsia="楷体" w:cs="Times New Roman"/>
          <w:b/>
          <w:bCs/>
          <w:kern w:val="0"/>
          <w:sz w:val="32"/>
          <w:szCs w:val="32"/>
          <w:highlight w:val="none"/>
        </w:rPr>
        <w:t>。</w:t>
      </w:r>
      <w:r>
        <w:rPr>
          <w:rFonts w:hint="default" w:ascii="Times New Roman" w:hAnsi="Times New Roman" w:eastAsia="仿宋_GB2312" w:cs="Times New Roman"/>
          <w:color w:val="000000" w:themeColor="text1"/>
          <w:kern w:val="0"/>
          <w:sz w:val="32"/>
          <w:szCs w:val="32"/>
          <w:shd w:val="clear" w:color="auto" w:fill="FFFFFF"/>
          <w:lang w:val="en-US" w:eastAsia="zh-CN" w:bidi="ar-SA"/>
          <w14:textFill>
            <w14:solidFill>
              <w14:schemeClr w14:val="tx1"/>
            </w14:solidFill>
          </w14:textFill>
        </w:rPr>
        <w:t>强化主责意识，发挥主导作用，坚持主动作为，</w:t>
      </w:r>
      <w:r>
        <w:rPr>
          <w:rFonts w:hint="default" w:ascii="Times New Roman" w:hAnsi="Times New Roman" w:eastAsia="仿宋_GB2312" w:cs="Times New Roman"/>
          <w:kern w:val="0"/>
          <w:sz w:val="32"/>
          <w:szCs w:val="32"/>
          <w:highlight w:val="none"/>
          <w:shd w:val="clear" w:color="auto" w:fill="FFFFFF"/>
        </w:rPr>
        <w:t>举全区之力建设合肥东部新中心</w:t>
      </w:r>
      <w:r>
        <w:rPr>
          <w:rFonts w:hint="default" w:ascii="Times New Roman" w:hAnsi="Times New Roman" w:eastAsia="仿宋_GB2312" w:cs="Times New Roman"/>
          <w:kern w:val="0"/>
          <w:sz w:val="32"/>
          <w:szCs w:val="32"/>
          <w:highlight w:val="none"/>
          <w:shd w:val="clear" w:color="auto" w:fill="FFFFFF"/>
          <w:lang w:eastAsia="zh-CN"/>
        </w:rPr>
        <w:t>，</w:t>
      </w:r>
      <w:r>
        <w:rPr>
          <w:rFonts w:hint="default" w:ascii="Times New Roman" w:hAnsi="Times New Roman" w:eastAsia="仿宋_GB2312" w:cs="Times New Roman"/>
          <w:kern w:val="0"/>
          <w:sz w:val="32"/>
          <w:szCs w:val="32"/>
          <w:highlight w:val="none"/>
          <w:shd w:val="clear" w:color="auto" w:fill="FFFFFF"/>
          <w:lang w:val="en-US" w:eastAsia="zh-CN"/>
        </w:rPr>
        <w:t>强化</w:t>
      </w:r>
      <w:r>
        <w:rPr>
          <w:rFonts w:hint="default" w:ascii="Times New Roman" w:hAnsi="Times New Roman" w:eastAsia="仿宋_GB2312" w:cs="Times New Roman"/>
          <w:kern w:val="0"/>
          <w:sz w:val="32"/>
          <w:szCs w:val="32"/>
          <w:highlight w:val="none"/>
          <w:shd w:val="clear" w:color="auto" w:fill="FFFFFF"/>
          <w:lang w:eastAsia="zh-CN"/>
        </w:rPr>
        <w:t>“</w:t>
      </w:r>
      <w:r>
        <w:rPr>
          <w:rFonts w:hint="default" w:ascii="Times New Roman" w:hAnsi="Times New Roman" w:eastAsia="仿宋_GB2312" w:cs="Times New Roman"/>
          <w:kern w:val="0"/>
          <w:sz w:val="32"/>
          <w:szCs w:val="32"/>
          <w:highlight w:val="none"/>
          <w:shd w:val="clear" w:color="auto" w:fill="FFFFFF"/>
        </w:rPr>
        <w:t>中国网谷</w:t>
      </w:r>
      <w:r>
        <w:rPr>
          <w:rFonts w:hint="default" w:ascii="Times New Roman" w:hAnsi="Times New Roman" w:eastAsia="仿宋_GB2312" w:cs="Times New Roman"/>
          <w:kern w:val="0"/>
          <w:sz w:val="32"/>
          <w:szCs w:val="32"/>
          <w:highlight w:val="none"/>
          <w:shd w:val="clear" w:color="auto" w:fill="FFFFFF"/>
          <w:lang w:eastAsia="zh-CN"/>
        </w:rPr>
        <w:t>”</w:t>
      </w:r>
      <w:r>
        <w:rPr>
          <w:rFonts w:hint="default" w:ascii="Times New Roman" w:hAnsi="Times New Roman" w:eastAsia="仿宋_GB2312" w:cs="Times New Roman"/>
          <w:kern w:val="0"/>
          <w:sz w:val="32"/>
          <w:szCs w:val="32"/>
          <w:highlight w:val="none"/>
          <w:shd w:val="clear" w:color="auto" w:fill="FFFFFF"/>
        </w:rPr>
        <w:t>品牌</w:t>
      </w:r>
      <w:r>
        <w:rPr>
          <w:rFonts w:hint="default" w:ascii="Times New Roman" w:hAnsi="Times New Roman" w:eastAsia="仿宋_GB2312" w:cs="Times New Roman"/>
          <w:kern w:val="0"/>
          <w:sz w:val="32"/>
          <w:szCs w:val="32"/>
          <w:highlight w:val="none"/>
          <w:shd w:val="clear" w:color="auto" w:fill="FFFFFF"/>
          <w:lang w:val="en-US" w:eastAsia="zh-CN"/>
        </w:rPr>
        <w:t>效应</w:t>
      </w:r>
      <w:r>
        <w:rPr>
          <w:rFonts w:hint="default" w:ascii="Times New Roman" w:hAnsi="Times New Roman" w:eastAsia="仿宋_GB2312" w:cs="Times New Roman"/>
          <w:kern w:val="0"/>
          <w:sz w:val="32"/>
          <w:szCs w:val="32"/>
          <w:highlight w:val="none"/>
          <w:shd w:val="clear" w:color="auto" w:fill="FFFFFF"/>
        </w:rPr>
        <w:t>，</w:t>
      </w:r>
      <w:r>
        <w:rPr>
          <w:rFonts w:hint="default" w:ascii="Times New Roman" w:hAnsi="Times New Roman" w:eastAsia="仿宋_GB2312" w:cs="Times New Roman"/>
          <w:kern w:val="0"/>
          <w:sz w:val="32"/>
          <w:szCs w:val="32"/>
          <w:highlight w:val="none"/>
          <w:shd w:val="clear" w:color="auto" w:fill="FFFFFF"/>
          <w:lang w:val="en-US" w:eastAsia="zh-CN"/>
        </w:rPr>
        <w:t>引领五大主导产业加快发展，实现</w:t>
      </w:r>
      <w:r>
        <w:rPr>
          <w:rFonts w:hint="default" w:ascii="Times New Roman" w:hAnsi="Times New Roman" w:eastAsia="仿宋_GB2312" w:cs="Times New Roman"/>
          <w:kern w:val="0"/>
          <w:sz w:val="32"/>
          <w:szCs w:val="32"/>
          <w:highlight w:val="none"/>
          <w:shd w:val="clear" w:color="auto" w:fill="FFFFFF"/>
        </w:rPr>
        <w:t>经济总量迈上千亿元新台阶</w:t>
      </w:r>
      <w:r>
        <w:rPr>
          <w:rFonts w:hint="default" w:ascii="Times New Roman" w:hAnsi="Times New Roman" w:eastAsia="仿宋_GB2312" w:cs="Times New Roman"/>
          <w:kern w:val="0"/>
          <w:sz w:val="32"/>
          <w:szCs w:val="32"/>
          <w:highlight w:val="none"/>
          <w:shd w:val="clear" w:color="auto" w:fill="FFFFFF"/>
          <w:lang w:eastAsia="zh-CN"/>
        </w:rPr>
        <w:t>，</w:t>
      </w:r>
      <w:r>
        <w:rPr>
          <w:rFonts w:hint="default" w:ascii="Times New Roman" w:hAnsi="Times New Roman" w:eastAsia="仿宋_GB2312" w:cs="Times New Roman"/>
          <w:kern w:val="0"/>
          <w:sz w:val="32"/>
          <w:szCs w:val="32"/>
          <w:highlight w:val="none"/>
          <w:shd w:val="clear" w:color="auto" w:fill="FFFFFF"/>
          <w:lang w:val="en-US" w:eastAsia="zh-CN"/>
        </w:rPr>
        <w:t>为合肥市打造“五高地一示范”做出重要贡献。</w:t>
      </w:r>
    </w:p>
    <w:p>
      <w:pPr>
        <w:keepNext w:val="0"/>
        <w:keepLines w:val="0"/>
        <w:snapToGrid w:val="0"/>
        <w:spacing w:line="560" w:lineRule="exact"/>
        <w:ind w:firstLine="643"/>
        <w:outlineLvl w:val="2"/>
        <w:rPr>
          <w:rFonts w:hint="default" w:ascii="Times New Roman" w:hAnsi="Times New Roman" w:eastAsia="仿宋_GB2312" w:cs="Times New Roman"/>
          <w:b/>
          <w:bCs/>
          <w:color w:val="000000" w:themeColor="text1"/>
          <w:kern w:val="0"/>
          <w:sz w:val="32"/>
          <w:szCs w:val="32"/>
          <w:highlight w:val="none"/>
          <w:shd w:val="clear" w:color="auto" w:fill="FFFFFF"/>
          <w:rtl w:val="0"/>
          <w:lang w:val="en-US" w:eastAsia="zh-CN" w:bidi="ar-SA"/>
          <w14:textFill>
            <w14:solidFill>
              <w14:schemeClr w14:val="tx1"/>
            </w14:solidFill>
          </w14:textFill>
        </w:rPr>
      </w:pPr>
      <w:bookmarkStart w:id="26" w:name="_Toc5909"/>
      <w:r>
        <w:rPr>
          <w:rFonts w:hint="default" w:ascii="Times New Roman" w:hAnsi="Times New Roman" w:eastAsia="仿宋_GB2312" w:cs="Times New Roman"/>
          <w:b/>
          <w:bCs/>
          <w:color w:val="000000" w:themeColor="text1"/>
          <w:kern w:val="0"/>
          <w:sz w:val="32"/>
          <w:szCs w:val="32"/>
          <w:highlight w:val="none"/>
          <w:shd w:val="clear" w:color="auto" w:fill="FFFFFF"/>
          <w:rtl w:val="0"/>
          <w:lang w:val="en-US" w:eastAsia="zh-CN" w:bidi="ar-SA"/>
          <w14:textFill>
            <w14:solidFill>
              <w14:schemeClr w14:val="tx1"/>
            </w14:solidFill>
          </w14:textFill>
        </w:rPr>
        <w:t>（四）发展路径</w:t>
      </w:r>
      <w:bookmarkEnd w:id="26"/>
    </w:p>
    <w:p>
      <w:pPr>
        <w:keepNext w:val="0"/>
        <w:keepLines w:val="0"/>
        <w:pageBreakBefore w:val="0"/>
        <w:widowControl w:val="0"/>
        <w:numPr>
          <w:ilvl w:val="0"/>
          <w:numId w:val="0"/>
        </w:numPr>
        <w:kinsoku/>
        <w:wordWrap/>
        <w:overflowPunct/>
        <w:topLinePunct w:val="0"/>
        <w:autoSpaceDE/>
        <w:autoSpaceDN/>
        <w:bidi w:val="0"/>
        <w:adjustRightInd/>
        <w:snapToGrid w:val="0"/>
        <w:spacing w:line="556" w:lineRule="exact"/>
        <w:ind w:firstLine="643" w:firstLineChars="200"/>
        <w:textAlignment w:val="auto"/>
        <w:outlineLvl w:val="9"/>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0"/>
          <w:sz w:val="32"/>
          <w:szCs w:val="32"/>
          <w:shd w:val="clear" w:color="auto" w:fill="FFFFFF"/>
          <w:lang w:val="en-US" w:eastAsia="zh-CN" w:bidi="ar-SA"/>
          <w14:textFill>
            <w14:solidFill>
              <w14:schemeClr w14:val="tx1"/>
            </w14:solidFill>
          </w14:textFill>
        </w:rPr>
        <w:t>——</w:t>
      </w:r>
      <w:r>
        <w:rPr>
          <w:rFonts w:hint="default" w:ascii="Times New Roman" w:hAnsi="Times New Roman" w:eastAsia="楷体_GB2312" w:cs="Times New Roman"/>
          <w:b/>
          <w:bCs/>
          <w:kern w:val="0"/>
          <w:sz w:val="32"/>
          <w:szCs w:val="32"/>
          <w:highlight w:val="none"/>
          <w:lang w:val="en-US" w:eastAsia="zh-CN"/>
        </w:rPr>
        <w:t>产业立区。</w:t>
      </w:r>
      <w:r>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t>抢抓新一代数字信息技术快速发展机遇，优先将物联网产业打造成我区地标性的产业集群，推动现代金融商贸、建筑业、文化创意、大健康产业加快发展，提升产业链供应链现代化水平。</w:t>
      </w:r>
    </w:p>
    <w:p>
      <w:pPr>
        <w:keepNext w:val="0"/>
        <w:keepLines w:val="0"/>
        <w:pageBreakBefore w:val="0"/>
        <w:widowControl w:val="0"/>
        <w:numPr>
          <w:ilvl w:val="0"/>
          <w:numId w:val="0"/>
        </w:numPr>
        <w:kinsoku/>
        <w:wordWrap/>
        <w:overflowPunct/>
        <w:topLinePunct w:val="0"/>
        <w:autoSpaceDE/>
        <w:autoSpaceDN/>
        <w:bidi w:val="0"/>
        <w:adjustRightInd/>
        <w:snapToGrid w:val="0"/>
        <w:spacing w:line="556" w:lineRule="exact"/>
        <w:ind w:firstLine="643" w:firstLineChars="200"/>
        <w:textAlignment w:val="auto"/>
        <w:outlineLvl w:val="9"/>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0"/>
          <w:sz w:val="32"/>
          <w:szCs w:val="32"/>
          <w:shd w:val="clear" w:color="auto" w:fill="FFFFFF"/>
          <w:lang w:val="en-US" w:eastAsia="zh-CN" w:bidi="ar-SA"/>
          <w14:textFill>
            <w14:solidFill>
              <w14:schemeClr w14:val="tx1"/>
            </w14:solidFill>
          </w14:textFill>
        </w:rPr>
        <w:t>——</w:t>
      </w:r>
      <w:r>
        <w:rPr>
          <w:rFonts w:hint="default" w:ascii="Times New Roman" w:hAnsi="Times New Roman" w:eastAsia="楷体_GB2312" w:cs="Times New Roman"/>
          <w:b/>
          <w:bCs/>
          <w:kern w:val="0"/>
          <w:sz w:val="32"/>
          <w:szCs w:val="32"/>
          <w:highlight w:val="none"/>
          <w:lang w:val="en-US" w:eastAsia="zh-CN"/>
        </w:rPr>
        <w:t>科技兴区。</w:t>
      </w:r>
      <w:r>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t>把发展基点放在创新上，加快推进以科技创新、产业创新为核心的全面创新，贯通第一要务、第一资源、第一动力，塑造更多依靠创新驱动、更多发挥先发优势的引领型发展。</w:t>
      </w:r>
    </w:p>
    <w:p>
      <w:pPr>
        <w:keepNext w:val="0"/>
        <w:keepLines w:val="0"/>
        <w:pageBreakBefore w:val="0"/>
        <w:widowControl w:val="0"/>
        <w:numPr>
          <w:ilvl w:val="0"/>
          <w:numId w:val="0"/>
        </w:numPr>
        <w:kinsoku/>
        <w:wordWrap/>
        <w:overflowPunct/>
        <w:topLinePunct w:val="0"/>
        <w:autoSpaceDE/>
        <w:autoSpaceDN/>
        <w:bidi w:val="0"/>
        <w:adjustRightInd/>
        <w:snapToGrid w:val="0"/>
        <w:spacing w:line="556" w:lineRule="exact"/>
        <w:ind w:firstLine="643" w:firstLineChars="200"/>
        <w:textAlignment w:val="auto"/>
        <w:outlineLvl w:val="9"/>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0"/>
          <w:sz w:val="32"/>
          <w:szCs w:val="32"/>
          <w:shd w:val="clear" w:color="auto" w:fill="FFFFFF"/>
          <w:lang w:val="en-US" w:eastAsia="zh-CN" w:bidi="ar-SA"/>
          <w14:textFill>
            <w14:solidFill>
              <w14:schemeClr w14:val="tx1"/>
            </w14:solidFill>
          </w14:textFill>
        </w:rPr>
        <w:t>——</w:t>
      </w:r>
      <w:r>
        <w:rPr>
          <w:rFonts w:hint="default" w:ascii="Times New Roman" w:hAnsi="Times New Roman" w:eastAsia="楷体_GB2312" w:cs="Times New Roman"/>
          <w:b/>
          <w:bCs/>
          <w:kern w:val="0"/>
          <w:sz w:val="32"/>
          <w:szCs w:val="32"/>
          <w:highlight w:val="none"/>
          <w:lang w:val="en-US" w:eastAsia="zh-CN"/>
        </w:rPr>
        <w:t>更新靓区。</w:t>
      </w:r>
      <w:r>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t>积极贯彻国家全面推进城镇老旧小区改造、实施城市更新行动等政策，科学调整全区用地结构，大力推进旧城改造、历史文化保护、老工业区再利用，推动城市发展由外延扩张式向内涵提升式转变。</w:t>
      </w:r>
    </w:p>
    <w:p>
      <w:pPr>
        <w:keepNext w:val="0"/>
        <w:keepLines w:val="0"/>
        <w:pageBreakBefore w:val="0"/>
        <w:widowControl w:val="0"/>
        <w:numPr>
          <w:ilvl w:val="0"/>
          <w:numId w:val="0"/>
        </w:numPr>
        <w:kinsoku/>
        <w:wordWrap/>
        <w:overflowPunct/>
        <w:topLinePunct w:val="0"/>
        <w:autoSpaceDE/>
        <w:autoSpaceDN/>
        <w:bidi w:val="0"/>
        <w:adjustRightInd/>
        <w:snapToGrid w:val="0"/>
        <w:spacing w:line="556" w:lineRule="exact"/>
        <w:ind w:firstLine="643" w:firstLineChars="200"/>
        <w:textAlignment w:val="auto"/>
        <w:outlineLvl w:val="9"/>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0"/>
          <w:sz w:val="32"/>
          <w:szCs w:val="32"/>
          <w:shd w:val="clear" w:color="auto" w:fill="FFFFFF"/>
          <w:lang w:val="en-US" w:eastAsia="zh-CN" w:bidi="ar-SA"/>
          <w14:textFill>
            <w14:solidFill>
              <w14:schemeClr w14:val="tx1"/>
            </w14:solidFill>
          </w14:textFill>
        </w:rPr>
        <w:t>——</w:t>
      </w:r>
      <w:r>
        <w:rPr>
          <w:rFonts w:hint="default" w:ascii="Times New Roman" w:hAnsi="Times New Roman" w:eastAsia="楷体_GB2312" w:cs="Times New Roman"/>
          <w:b/>
          <w:bCs/>
          <w:kern w:val="0"/>
          <w:sz w:val="32"/>
          <w:szCs w:val="32"/>
          <w:highlight w:val="none"/>
          <w:lang w:val="en-US" w:eastAsia="zh-CN"/>
        </w:rPr>
        <w:t>文化强区。</w:t>
      </w:r>
      <w:r>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t>围绕举旗帜、聚民心、育新人、兴文化、展形象的使命任务，坚定文化自信，坚持以社会主义核心价值观引领文化建设，突出工业文明保护利用和工业文化创意的支撑作用，推进文化强区建设。</w:t>
      </w:r>
    </w:p>
    <w:p>
      <w:pPr>
        <w:keepNext w:val="0"/>
        <w:keepLines w:val="0"/>
        <w:pageBreakBefore w:val="0"/>
        <w:widowControl w:val="0"/>
        <w:numPr>
          <w:ilvl w:val="0"/>
          <w:numId w:val="0"/>
        </w:numPr>
        <w:kinsoku/>
        <w:wordWrap/>
        <w:overflowPunct/>
        <w:topLinePunct w:val="0"/>
        <w:autoSpaceDE/>
        <w:autoSpaceDN/>
        <w:bidi w:val="0"/>
        <w:adjustRightInd/>
        <w:snapToGrid w:val="0"/>
        <w:spacing w:line="556" w:lineRule="exact"/>
        <w:ind w:firstLine="643" w:firstLineChars="200"/>
        <w:textAlignment w:val="auto"/>
        <w:outlineLvl w:val="9"/>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0"/>
          <w:sz w:val="32"/>
          <w:szCs w:val="32"/>
          <w:shd w:val="clear" w:color="auto" w:fill="FFFFFF"/>
          <w:lang w:val="en-US" w:eastAsia="zh-CN" w:bidi="ar-SA"/>
          <w14:textFill>
            <w14:solidFill>
              <w14:schemeClr w14:val="tx1"/>
            </w14:solidFill>
          </w14:textFill>
        </w:rPr>
        <w:t>——</w:t>
      </w:r>
      <w:r>
        <w:rPr>
          <w:rFonts w:hint="default" w:ascii="Times New Roman" w:hAnsi="Times New Roman" w:eastAsia="楷体_GB2312" w:cs="Times New Roman"/>
          <w:b/>
          <w:bCs/>
          <w:kern w:val="0"/>
          <w:sz w:val="32"/>
          <w:szCs w:val="32"/>
          <w:highlight w:val="none"/>
          <w:lang w:val="en-US" w:eastAsia="zh-CN"/>
        </w:rPr>
        <w:t>效能活区。</w:t>
      </w:r>
      <w:r>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t>加大对重点领域关键环节的改革力度，全面转变政府职能，加强和创新社会治理，提高行政效能，创优营商环境，推进企业办事便利化、政务服务智慧化、市场秩序法治化。</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3" w:firstLineChars="200"/>
        <w:jc w:val="both"/>
        <w:textAlignment w:val="auto"/>
        <w:outlineLvl w:val="2"/>
        <w:rPr>
          <w:rFonts w:hint="default" w:ascii="Times New Roman" w:hAnsi="Times New Roman" w:eastAsia="仿宋_GB2312" w:cs="Times New Roman"/>
          <w:b/>
          <w:bCs/>
          <w:color w:val="000000" w:themeColor="text1"/>
          <w:kern w:val="0"/>
          <w:sz w:val="32"/>
          <w:szCs w:val="32"/>
          <w:shd w:val="clear" w:color="auto" w:fill="FFFFFF"/>
          <w:rtl w:val="0"/>
          <w:lang w:val="en-US" w:eastAsia="zh-CN" w:bidi="ar-SA"/>
          <w14:textFill>
            <w14:solidFill>
              <w14:schemeClr w14:val="tx1"/>
            </w14:solidFill>
          </w14:textFill>
        </w:rPr>
      </w:pPr>
      <w:bookmarkStart w:id="27" w:name="_Toc24826"/>
      <w:bookmarkStart w:id="28" w:name="_Toc6029"/>
      <w:r>
        <w:rPr>
          <w:rFonts w:hint="default" w:ascii="Times New Roman" w:hAnsi="Times New Roman" w:cs="Times New Roman"/>
          <w:b/>
          <w:bCs/>
          <w:color w:val="000000" w:themeColor="text1"/>
          <w:kern w:val="0"/>
          <w:sz w:val="32"/>
          <w:szCs w:val="32"/>
          <w:shd w:val="clear" w:color="auto" w:fill="FFFFFF"/>
          <w:rtl w:val="0"/>
          <w:lang w:val="en-US" w:eastAsia="zh-CN" w:bidi="ar-SA"/>
          <w14:textFill>
            <w14:solidFill>
              <w14:schemeClr w14:val="tx1"/>
            </w14:solidFill>
          </w14:textFill>
        </w:rPr>
        <w:t>（五）</w:t>
      </w:r>
      <w:r>
        <w:rPr>
          <w:rFonts w:hint="default" w:ascii="Times New Roman" w:hAnsi="Times New Roman" w:eastAsia="仿宋_GB2312" w:cs="Times New Roman"/>
          <w:b/>
          <w:bCs/>
          <w:color w:val="000000" w:themeColor="text1"/>
          <w:kern w:val="0"/>
          <w:sz w:val="32"/>
          <w:szCs w:val="32"/>
          <w:shd w:val="clear" w:color="auto" w:fill="FFFFFF"/>
          <w:rtl w:val="0"/>
          <w:lang w:val="en-US" w:eastAsia="zh-CN" w:bidi="ar-SA"/>
          <w14:textFill>
            <w14:solidFill>
              <w14:schemeClr w14:val="tx1"/>
            </w14:solidFill>
          </w14:textFill>
        </w:rPr>
        <w:t>区域布局</w:t>
      </w:r>
      <w:bookmarkEnd w:id="27"/>
    </w:p>
    <w:p>
      <w:pPr>
        <w:keepNext/>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auto"/>
        <w:outlineLvl w:val="9"/>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t>全面提高基础设施、主导产业、公共服务联通融合水平，建成以长江东路现代服务业密集带为串联，以东部新中心数字引领区为标杆，以龙岗科技创新驱动区、老城宜居生活区为支撑的“一带三区”协同发展布局形态。</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3" w:firstLineChars="200"/>
        <w:textAlignment w:val="auto"/>
        <w:outlineLvl w:val="9"/>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楷体_GB2312" w:cs="Times New Roman"/>
          <w:b/>
          <w:color w:val="000000" w:themeColor="text1"/>
          <w:kern w:val="2"/>
          <w:sz w:val="32"/>
          <w:szCs w:val="32"/>
          <w:lang w:val="en-US" w:eastAsia="zh-CN" w:bidi="ar-SA"/>
          <w14:textFill>
            <w14:solidFill>
              <w14:schemeClr w14:val="tx1"/>
            </w14:solidFill>
          </w14:textFill>
        </w:rPr>
        <w:t>加快建设长江东路现代服务业密集带。</w:t>
      </w:r>
      <w:r>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t>利用长江东路和长江东大街-新安江路沿线两侧可连片开发的地块，引入新业态、新模式，培育生产性、知识型、公共型服务业，大力发展总部经济，中间突破，形成瑶海现代服务业密集带。</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3" w:firstLineChars="200"/>
        <w:textAlignment w:val="auto"/>
        <w:outlineLvl w:val="9"/>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楷体_GB2312" w:cs="Times New Roman"/>
          <w:b/>
          <w:color w:val="000000" w:themeColor="text1"/>
          <w:kern w:val="2"/>
          <w:sz w:val="32"/>
          <w:szCs w:val="32"/>
          <w:lang w:val="en-US" w:eastAsia="zh-CN" w:bidi="ar-SA"/>
          <w14:textFill>
            <w14:solidFill>
              <w14:schemeClr w14:val="tx1"/>
            </w14:solidFill>
          </w14:textFill>
        </w:rPr>
        <w:t>加快建设东部新中心数字引领区。</w:t>
      </w:r>
      <w:r>
        <w:rPr>
          <w:rFonts w:hint="default" w:ascii="Times New Roman" w:hAnsi="Times New Roman" w:eastAsia="仿宋_GB2312" w:cs="Times New Roman"/>
          <w:b w:val="0"/>
          <w:color w:val="000000" w:themeColor="text1"/>
          <w:kern w:val="0"/>
          <w:sz w:val="32"/>
          <w:szCs w:val="32"/>
          <w:highlight w:val="none"/>
          <w:shd w:val="clear" w:color="auto" w:fill="FFFFFF"/>
          <w:lang w:val="en-US" w:eastAsia="zh-CN" w:bidi="ar-SA"/>
          <w14:textFill>
            <w14:solidFill>
              <w14:schemeClr w14:val="tx1"/>
            </w14:solidFill>
          </w14:textFill>
        </w:rPr>
        <w:t>围绕走新路、创新源、建新城</w:t>
      </w:r>
      <w:r>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t>，大力发展物联网、大数据、人工智能等新兴产业，积极培育工业文化创意产业，提高新城承载力，打造未来产业发现新城、工业文化创意新城、幸福宜居生态新城。</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3" w:firstLineChars="200"/>
        <w:textAlignment w:val="auto"/>
        <w:outlineLvl w:val="9"/>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楷体_GB2312" w:cs="Times New Roman"/>
          <w:b/>
          <w:color w:val="000000" w:themeColor="text1"/>
          <w:kern w:val="2"/>
          <w:sz w:val="32"/>
          <w:szCs w:val="32"/>
          <w:lang w:val="en-US" w:eastAsia="zh-CN" w:bidi="ar-SA"/>
          <w14:textFill>
            <w14:solidFill>
              <w14:schemeClr w14:val="tx1"/>
            </w14:solidFill>
          </w14:textFill>
        </w:rPr>
        <w:t>加快建设龙岗科技创新驱动区。</w:t>
      </w:r>
      <w:r>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t>着力采用科创引领、高端切入、专业集群发展策略，加快承接长三角中心城市科技成果转移转化，重点发展大健康、数字经济等产业，打造科技成果产业化新基地，争创省级开发区。</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楷体_GB2312" w:cs="Times New Roman"/>
          <w:b/>
          <w:color w:val="000000" w:themeColor="text1"/>
          <w:kern w:val="2"/>
          <w:sz w:val="32"/>
          <w:szCs w:val="32"/>
          <w:lang w:val="en-US" w:eastAsia="zh-CN" w:bidi="ar-SA"/>
          <w14:textFill>
            <w14:solidFill>
              <w14:schemeClr w14:val="tx1"/>
            </w14:solidFill>
          </w14:textFill>
        </w:rPr>
        <w:t>加快建设老城宜居生活区。</w:t>
      </w:r>
      <w:r>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t>加快老城更新步伐，提高基础设施、公共服务供给水平，深度挖掘人文底蕴，加强文明创建，着实解决好老城群众出行、休闲、运动等困难，让人民更加幸福、城市更有温度、生活气息更加浓郁。</w:t>
      </w:r>
    </w:p>
    <w:bookmarkEnd w:id="28"/>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29" w:name="_Toc31597"/>
      <w:bookmarkStart w:id="30" w:name="_Toc18480"/>
      <w:r>
        <w:rPr>
          <w:rFonts w:hint="default" w:ascii="Times New Roman" w:hAnsi="Times New Roman" w:eastAsia="宋体" w:cs="Times New Roman"/>
          <w:sz w:val="32"/>
          <w:rtl w:val="0"/>
          <w:lang w:val="en-US" w:eastAsia="zh-CN"/>
        </w:rPr>
        <w:t>“十四五”时期发展目标</w:t>
      </w:r>
      <w:bookmarkEnd w:id="29"/>
      <w:bookmarkEnd w:id="30"/>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b w:val="0"/>
          <w:kern w:val="0"/>
          <w:sz w:val="32"/>
          <w:szCs w:val="32"/>
          <w:shd w:val="clear" w:color="auto" w:fill="FFFFFF"/>
          <w:lang w:val="en-US" w:eastAsia="zh-CN" w:bidi="ar-SA"/>
        </w:rPr>
        <w:t>遵循“速度赶超全市、发展质量不断提升”的要求，奋力跨上千亿元GDP新台阶，实现更高质量、更有效率、更加公平、更可持续、更为安全的发展，为2035年基本实现现代化奠定坚实基础。</w:t>
      </w:r>
    </w:p>
    <w:p>
      <w:pPr>
        <w:pStyle w:val="25"/>
        <w:pageBreakBefore w:val="0"/>
        <w:kinsoku/>
        <w:overflowPunct/>
        <w:autoSpaceDE/>
        <w:autoSpaceDN/>
        <w:bidi w:val="0"/>
        <w:adjustRightInd/>
        <w:spacing w:line="560" w:lineRule="exact"/>
        <w:ind w:firstLine="641"/>
        <w:textAlignment w:val="auto"/>
        <w:rPr>
          <w:rFonts w:hint="default" w:ascii="Times New Roman" w:hAnsi="Times New Roman" w:eastAsia="仿宋_GB2312" w:cs="Times New Roman"/>
          <w:sz w:val="32"/>
          <w:szCs w:val="32"/>
          <w:shd w:val="clear" w:color="auto" w:fill="FFFFFF"/>
        </w:rPr>
      </w:pPr>
      <w:r>
        <w:rPr>
          <w:rFonts w:hint="default" w:ascii="Times New Roman" w:hAnsi="Times New Roman" w:eastAsia="楷体" w:cs="Times New Roman"/>
          <w:b/>
          <w:color w:val="000000" w:themeColor="text1"/>
          <w:kern w:val="2"/>
          <w:sz w:val="32"/>
          <w:szCs w:val="32"/>
          <w14:textFill>
            <w14:solidFill>
              <w14:schemeClr w14:val="tx1"/>
            </w14:solidFill>
          </w14:textFill>
        </w:rPr>
        <w:t>——</w:t>
      </w:r>
      <w:r>
        <w:rPr>
          <w:rFonts w:hint="default" w:ascii="Times New Roman" w:hAnsi="Times New Roman" w:eastAsia="楷体_GB2312" w:cs="Times New Roman"/>
          <w:b/>
          <w:color w:val="000000" w:themeColor="text1"/>
          <w:kern w:val="2"/>
          <w:sz w:val="32"/>
          <w:szCs w:val="32"/>
          <w:lang w:val="en-US" w:eastAsia="zh-CN" w:bidi="ar-SA"/>
          <w14:textFill>
            <w14:solidFill>
              <w14:schemeClr w14:val="tx1"/>
            </w14:solidFill>
          </w14:textFill>
        </w:rPr>
        <w:t>经济发展实现新的更大跃升。</w:t>
      </w:r>
      <w:r>
        <w:rPr>
          <w:rFonts w:hint="default" w:ascii="Times New Roman" w:hAnsi="Times New Roman" w:eastAsia="仿宋_GB2312" w:cs="Times New Roman"/>
          <w:sz w:val="32"/>
          <w:szCs w:val="32"/>
        </w:rPr>
        <w:t>做实做强做优实体经济，</w:t>
      </w:r>
      <w:r>
        <w:rPr>
          <w:rFonts w:hint="default" w:ascii="Times New Roman" w:hAnsi="Times New Roman" w:eastAsia="仿宋_GB2312" w:cs="Times New Roman"/>
          <w:sz w:val="32"/>
          <w:szCs w:val="32"/>
          <w:shd w:val="clear" w:color="auto" w:fill="FFFFFF"/>
        </w:rPr>
        <w:t>经济实力不断增强，在全国中小城市百强区中争先进位。</w:t>
      </w:r>
      <w:r>
        <w:rPr>
          <w:rFonts w:hint="default" w:ascii="Times New Roman" w:hAnsi="Times New Roman" w:eastAsia="仿宋_GB2312" w:cs="Times New Roman"/>
          <w:sz w:val="32"/>
          <w:szCs w:val="32"/>
        </w:rPr>
        <w:t>增强经济发展新动能和</w:t>
      </w:r>
      <w:r>
        <w:rPr>
          <w:rFonts w:hint="default" w:ascii="Times New Roman" w:hAnsi="Times New Roman" w:eastAsia="仿宋_GB2312" w:cs="Times New Roman"/>
          <w:sz w:val="32"/>
          <w:szCs w:val="32"/>
          <w:shd w:val="clear" w:color="auto" w:fill="FFFFFF"/>
        </w:rPr>
        <w:t>创新能力，产业链现代化水平明显提高。</w:t>
      </w:r>
      <w:r>
        <w:rPr>
          <w:rFonts w:hint="default" w:ascii="Times New Roman" w:hAnsi="Times New Roman" w:eastAsia="仿宋_GB2312" w:cs="Times New Roman"/>
          <w:sz w:val="32"/>
          <w:szCs w:val="32"/>
        </w:rPr>
        <w:t>做大体量、提升质量，</w:t>
      </w:r>
      <w:r>
        <w:rPr>
          <w:rFonts w:hint="default" w:ascii="Times New Roman" w:hAnsi="Times New Roman" w:eastAsia="仿宋_GB2312" w:cs="Times New Roman"/>
          <w:sz w:val="32"/>
          <w:szCs w:val="32"/>
          <w:shd w:val="clear" w:color="auto" w:fill="FFFFFF"/>
        </w:rPr>
        <w:t>进一步壮大主导产业，二、三产业结构优化到</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30：70</w:t>
      </w:r>
      <w:r>
        <w:rPr>
          <w:rFonts w:hint="default" w:ascii="Times New Roman" w:hAnsi="Times New Roman" w:eastAsia="仿宋_GB2312" w:cs="Times New Roman"/>
          <w:sz w:val="32"/>
          <w:szCs w:val="32"/>
          <w:shd w:val="clear" w:color="auto" w:fill="FFFFFF"/>
        </w:rPr>
        <w:t>，转型为现代服务</w:t>
      </w:r>
      <w:r>
        <w:rPr>
          <w:rFonts w:hint="default" w:ascii="Times New Roman" w:hAnsi="Times New Roman" w:eastAsia="仿宋_GB2312" w:cs="Times New Roman"/>
          <w:sz w:val="32"/>
          <w:szCs w:val="32"/>
          <w:shd w:val="clear" w:color="auto" w:fill="FFFFFF"/>
          <w:lang w:val="en-US" w:eastAsia="zh-CN"/>
        </w:rPr>
        <w:t>业</w:t>
      </w:r>
      <w:r>
        <w:rPr>
          <w:rFonts w:hint="default" w:ascii="Times New Roman" w:hAnsi="Times New Roman" w:eastAsia="仿宋_GB2312" w:cs="Times New Roman"/>
          <w:sz w:val="32"/>
          <w:szCs w:val="32"/>
          <w:shd w:val="clear" w:color="auto" w:fill="FFFFFF"/>
        </w:rPr>
        <w:t>强区。</w:t>
      </w:r>
    </w:p>
    <w:p>
      <w:pPr>
        <w:pStyle w:val="25"/>
        <w:pageBreakBefore w:val="0"/>
        <w:kinsoku/>
        <w:overflowPunct/>
        <w:autoSpaceDE/>
        <w:autoSpaceDN/>
        <w:bidi w:val="0"/>
        <w:adjustRightInd/>
        <w:spacing w:line="560" w:lineRule="exact"/>
        <w:ind w:firstLine="641"/>
        <w:textAlignment w:val="auto"/>
        <w:rPr>
          <w:rFonts w:hint="default" w:ascii="Times New Roman" w:hAnsi="Times New Roman" w:eastAsia="仿宋_GB2312" w:cs="Times New Roman"/>
          <w:color w:val="000000" w:themeColor="text1"/>
          <w:kern w:val="0"/>
          <w:sz w:val="32"/>
          <w:szCs w:val="32"/>
          <w:shd w:val="clear" w:color="auto" w:fill="FFFFFF"/>
          <w14:textFill>
            <w14:solidFill>
              <w14:schemeClr w14:val="tx1"/>
            </w14:solidFill>
          </w14:textFill>
        </w:rPr>
      </w:pPr>
      <w:r>
        <w:rPr>
          <w:rFonts w:hint="default" w:ascii="Times New Roman" w:hAnsi="Times New Roman" w:eastAsia="楷体" w:cs="Times New Roman"/>
          <w:b/>
          <w:color w:val="000000" w:themeColor="text1"/>
          <w:kern w:val="2"/>
          <w:sz w:val="32"/>
          <w:szCs w:val="32"/>
          <w14:textFill>
            <w14:solidFill>
              <w14:schemeClr w14:val="tx1"/>
            </w14:solidFill>
          </w14:textFill>
        </w:rPr>
        <w:t>——</w:t>
      </w:r>
      <w:r>
        <w:rPr>
          <w:rFonts w:hint="default" w:ascii="Times New Roman" w:hAnsi="Times New Roman" w:eastAsia="楷体_GB2312" w:cs="Times New Roman"/>
          <w:b/>
          <w:color w:val="000000" w:themeColor="text1"/>
          <w:kern w:val="2"/>
          <w:sz w:val="32"/>
          <w:szCs w:val="32"/>
          <w:lang w:val="en-US" w:eastAsia="zh-CN" w:bidi="ar-SA"/>
          <w14:textFill>
            <w14:solidFill>
              <w14:schemeClr w14:val="tx1"/>
            </w14:solidFill>
          </w14:textFill>
        </w:rPr>
        <w:t>改革开放实现新的更大突破。</w:t>
      </w:r>
      <w:r>
        <w:rPr>
          <w:rFonts w:hint="default" w:ascii="Times New Roman" w:hAnsi="Times New Roman" w:eastAsia="仿宋_GB2312" w:cs="Times New Roman"/>
          <w:color w:val="000000" w:themeColor="text1"/>
          <w:kern w:val="0"/>
          <w:sz w:val="32"/>
          <w:szCs w:val="32"/>
          <w:shd w:val="clear" w:color="auto" w:fill="FFFFFF"/>
          <w14:textFill>
            <w14:solidFill>
              <w14:schemeClr w14:val="tx1"/>
            </w14:solidFill>
          </w14:textFill>
        </w:rPr>
        <w:t>以东部新中心、</w:t>
      </w:r>
      <w:r>
        <w:rPr>
          <w:rFonts w:hint="default" w:ascii="Times New Roman" w:hAnsi="Times New Roman" w:eastAsia="仿宋_GB2312" w:cs="Times New Roman"/>
          <w:color w:val="000000" w:themeColor="text1"/>
          <w:kern w:val="0"/>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shd w:val="clear" w:color="auto" w:fill="FFFFFF"/>
          <w14:textFill>
            <w14:solidFill>
              <w14:schemeClr w14:val="tx1"/>
            </w14:solidFill>
          </w14:textFill>
        </w:rPr>
        <w:t>一谷三基地</w:t>
      </w:r>
      <w:r>
        <w:rPr>
          <w:rFonts w:hint="default" w:ascii="Times New Roman" w:hAnsi="Times New Roman" w:eastAsia="仿宋_GB2312" w:cs="Times New Roman"/>
          <w:color w:val="000000" w:themeColor="text1"/>
          <w:kern w:val="0"/>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shd w:val="clear" w:color="auto" w:fill="FFFFFF"/>
          <w14:textFill>
            <w14:solidFill>
              <w14:schemeClr w14:val="tx1"/>
            </w14:solidFill>
          </w14:textFill>
        </w:rPr>
        <w:t>为主平台，深化长三角G60科创走廊产业合作示范园（物联网）建设，积极承接沪苏浙中心城市功能疏解、产业转移、科技成果转化，成为我市与长三角“深度合作”的排头兵。</w:t>
      </w:r>
    </w:p>
    <w:p>
      <w:pPr>
        <w:pStyle w:val="25"/>
        <w:pageBreakBefore w:val="0"/>
        <w:kinsoku/>
        <w:overflowPunct/>
        <w:autoSpaceDE/>
        <w:autoSpaceDN/>
        <w:bidi w:val="0"/>
        <w:adjustRightInd/>
        <w:spacing w:line="560" w:lineRule="exact"/>
        <w:ind w:firstLine="641"/>
        <w:textAlignment w:val="auto"/>
        <w:rPr>
          <w:rFonts w:hint="default" w:ascii="Times New Roman" w:hAnsi="Times New Roman" w:eastAsia="仿宋_GB2312" w:cs="Times New Roman"/>
          <w:color w:val="000000" w:themeColor="text1"/>
          <w:kern w:val="0"/>
          <w:sz w:val="32"/>
          <w:szCs w:val="32"/>
          <w:shd w:val="clear" w:color="auto" w:fill="FFFFFF"/>
          <w14:textFill>
            <w14:solidFill>
              <w14:schemeClr w14:val="tx1"/>
            </w14:solidFill>
          </w14:textFill>
        </w:rPr>
      </w:pPr>
      <w:r>
        <w:rPr>
          <w:rFonts w:hint="default" w:ascii="Times New Roman" w:hAnsi="Times New Roman" w:eastAsia="楷体" w:cs="Times New Roman"/>
          <w:b/>
          <w:color w:val="000000" w:themeColor="text1"/>
          <w:kern w:val="2"/>
          <w:sz w:val="32"/>
          <w:szCs w:val="32"/>
          <w14:textFill>
            <w14:solidFill>
              <w14:schemeClr w14:val="tx1"/>
            </w14:solidFill>
          </w14:textFill>
        </w:rPr>
        <w:t>——</w:t>
      </w:r>
      <w:r>
        <w:rPr>
          <w:rFonts w:hint="default" w:ascii="Times New Roman" w:hAnsi="Times New Roman" w:eastAsia="楷体_GB2312" w:cs="Times New Roman"/>
          <w:b/>
          <w:color w:val="000000" w:themeColor="text1"/>
          <w:kern w:val="2"/>
          <w:sz w:val="32"/>
          <w:szCs w:val="32"/>
          <w:lang w:val="en-US" w:eastAsia="zh-CN" w:bidi="ar-SA"/>
          <w14:textFill>
            <w14:solidFill>
              <w14:schemeClr w14:val="tx1"/>
            </w14:solidFill>
          </w14:textFill>
        </w:rPr>
        <w:t>城区文明实现新的更大提高。</w:t>
      </w:r>
      <w:r>
        <w:rPr>
          <w:rFonts w:hint="default" w:ascii="Times New Roman" w:hAnsi="Times New Roman" w:eastAsia="仿宋_GB2312" w:cs="Times New Roman"/>
          <w:color w:val="000000" w:themeColor="text1"/>
          <w:kern w:val="0"/>
          <w:sz w:val="32"/>
          <w:szCs w:val="32"/>
          <w:shd w:val="clear" w:color="auto" w:fill="FFFFFF"/>
          <w14:textFill>
            <w14:solidFill>
              <w14:schemeClr w14:val="tx1"/>
            </w14:solidFill>
          </w14:textFill>
        </w:rPr>
        <w:t>社会主义核心价值观深入人心，人民思想道德素质、科学文化素质和身心健康素质明显提高，公共文化服务体系和文化产业体系更加健全，人民精神文化生活日益丰富，发展凝聚力进一步增强。</w:t>
      </w:r>
    </w:p>
    <w:p>
      <w:pPr>
        <w:pStyle w:val="25"/>
        <w:pageBreakBefore w:val="0"/>
        <w:kinsoku/>
        <w:overflowPunct/>
        <w:autoSpaceDE/>
        <w:autoSpaceDN/>
        <w:bidi w:val="0"/>
        <w:adjustRightInd/>
        <w:spacing w:line="560" w:lineRule="exact"/>
        <w:ind w:firstLine="641"/>
        <w:textAlignment w:val="auto"/>
        <w:rPr>
          <w:rFonts w:hint="default" w:ascii="Times New Roman" w:hAnsi="Times New Roman" w:eastAsia="仿宋_GB2312" w:cs="Times New Roman"/>
          <w:color w:val="000000" w:themeColor="text1"/>
          <w:kern w:val="0"/>
          <w:sz w:val="32"/>
          <w:szCs w:val="32"/>
          <w:shd w:val="clear" w:color="auto" w:fill="FFFFFF"/>
          <w14:textFill>
            <w14:solidFill>
              <w14:schemeClr w14:val="tx1"/>
            </w14:solidFill>
          </w14:textFill>
        </w:rPr>
      </w:pPr>
      <w:r>
        <w:rPr>
          <w:rFonts w:hint="default" w:ascii="Times New Roman" w:hAnsi="Times New Roman" w:eastAsia="楷体" w:cs="Times New Roman"/>
          <w:b/>
          <w:color w:val="000000" w:themeColor="text1"/>
          <w:kern w:val="2"/>
          <w:sz w:val="32"/>
          <w:szCs w:val="32"/>
          <w14:textFill>
            <w14:solidFill>
              <w14:schemeClr w14:val="tx1"/>
            </w14:solidFill>
          </w14:textFill>
        </w:rPr>
        <w:t>——</w:t>
      </w:r>
      <w:r>
        <w:rPr>
          <w:rFonts w:hint="default" w:ascii="Times New Roman" w:hAnsi="Times New Roman" w:eastAsia="楷体_GB2312" w:cs="Times New Roman"/>
          <w:b/>
          <w:color w:val="000000" w:themeColor="text1"/>
          <w:kern w:val="2"/>
          <w:sz w:val="32"/>
          <w:szCs w:val="32"/>
          <w:lang w:val="en-US" w:eastAsia="zh-CN" w:bidi="ar-SA"/>
          <w14:textFill>
            <w14:solidFill>
              <w14:schemeClr w14:val="tx1"/>
            </w14:solidFill>
          </w14:textFill>
        </w:rPr>
        <w:t>生态文明实现新的更大成效。</w:t>
      </w:r>
      <w:r>
        <w:rPr>
          <w:rFonts w:hint="default" w:ascii="Times New Roman" w:hAnsi="Times New Roman" w:eastAsia="仿宋_GB2312" w:cs="Times New Roman"/>
          <w:color w:val="000000" w:themeColor="text1"/>
          <w:kern w:val="0"/>
          <w:sz w:val="32"/>
          <w:szCs w:val="32"/>
          <w:shd w:val="clear" w:color="auto" w:fill="FFFFFF"/>
          <w14:textFill>
            <w14:solidFill>
              <w14:schemeClr w14:val="tx1"/>
            </w14:solidFill>
          </w14:textFill>
        </w:rPr>
        <w:t>源头防治成效显著，蓝天、碧水、净土保卫战取得全局性的胜利，万元增加值能耗低于全市平均水平，主要污染物排放总量持续减少，打造美丽合肥瑶海新样板。</w:t>
      </w:r>
    </w:p>
    <w:p>
      <w:pPr>
        <w:pStyle w:val="25"/>
        <w:pageBreakBefore w:val="0"/>
        <w:kinsoku/>
        <w:overflowPunct/>
        <w:autoSpaceDE/>
        <w:autoSpaceDN/>
        <w:bidi w:val="0"/>
        <w:adjustRightInd/>
        <w:spacing w:line="560" w:lineRule="exact"/>
        <w:ind w:firstLine="641"/>
        <w:textAlignment w:val="auto"/>
        <w:rPr>
          <w:rFonts w:hint="default" w:ascii="Times New Roman" w:hAnsi="Times New Roman" w:eastAsia="仿宋_GB2312" w:cs="Times New Roman"/>
          <w:color w:val="000000" w:themeColor="text1"/>
          <w:kern w:val="0"/>
          <w:sz w:val="32"/>
          <w:szCs w:val="32"/>
          <w:shd w:val="clear" w:color="auto" w:fill="FFFFFF"/>
          <w14:textFill>
            <w14:solidFill>
              <w14:schemeClr w14:val="tx1"/>
            </w14:solidFill>
          </w14:textFill>
        </w:rPr>
      </w:pPr>
      <w:r>
        <w:rPr>
          <w:rFonts w:hint="default" w:ascii="Times New Roman" w:hAnsi="Times New Roman" w:eastAsia="楷体" w:cs="Times New Roman"/>
          <w:b/>
          <w:color w:val="000000" w:themeColor="text1"/>
          <w:kern w:val="2"/>
          <w:sz w:val="32"/>
          <w:szCs w:val="32"/>
          <w14:textFill>
            <w14:solidFill>
              <w14:schemeClr w14:val="tx1"/>
            </w14:solidFill>
          </w14:textFill>
        </w:rPr>
        <w:t>——</w:t>
      </w:r>
      <w:r>
        <w:rPr>
          <w:rFonts w:hint="default" w:ascii="Times New Roman" w:hAnsi="Times New Roman" w:eastAsia="楷体_GB2312" w:cs="Times New Roman"/>
          <w:b/>
          <w:color w:val="000000" w:themeColor="text1"/>
          <w:kern w:val="2"/>
          <w:sz w:val="32"/>
          <w:szCs w:val="32"/>
          <w:lang w:val="en-US" w:eastAsia="zh-CN" w:bidi="ar-SA"/>
          <w14:textFill>
            <w14:solidFill>
              <w14:schemeClr w14:val="tx1"/>
            </w14:solidFill>
          </w14:textFill>
        </w:rPr>
        <w:t>民生福祉实现新的更大增进。</w:t>
      </w:r>
      <w:r>
        <w:rPr>
          <w:rFonts w:hint="default" w:ascii="Times New Roman" w:hAnsi="Times New Roman" w:eastAsia="仿宋_GB2312" w:cs="Times New Roman"/>
          <w:color w:val="000000" w:themeColor="text1"/>
          <w:kern w:val="0"/>
          <w:sz w:val="32"/>
          <w:szCs w:val="32"/>
          <w:shd w:val="clear" w:color="auto" w:fill="FFFFFF"/>
          <w14:textFill>
            <w14:solidFill>
              <w14:schemeClr w14:val="tx1"/>
            </w14:solidFill>
          </w14:textFill>
        </w:rPr>
        <w:t>民生问题得到切实解决，社会事业加快发展，全民覆盖、普惠共享的基本公共服务体系基本建成，居民收入进一步提高，全体人民在共建共享发展中拥有更多获得感。</w:t>
      </w:r>
    </w:p>
    <w:p>
      <w:pPr>
        <w:pStyle w:val="25"/>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hint="default" w:ascii="Times New Roman" w:hAnsi="Times New Roman" w:eastAsia="仿宋_GB2312" w:cs="Times New Roman"/>
          <w:color w:val="000000" w:themeColor="text1"/>
          <w:kern w:val="0"/>
          <w:sz w:val="32"/>
          <w:szCs w:val="32"/>
          <w:shd w:val="clear" w:color="auto" w:fill="FFFFFF"/>
          <w:lang w:eastAsia="zh-CN"/>
          <w14:textFill>
            <w14:solidFill>
              <w14:schemeClr w14:val="tx1"/>
            </w14:solidFill>
          </w14:textFill>
        </w:rPr>
      </w:pPr>
      <w:r>
        <w:rPr>
          <w:rFonts w:hint="default" w:ascii="Times New Roman" w:hAnsi="Times New Roman" w:eastAsia="楷体" w:cs="Times New Roman"/>
          <w:b/>
          <w:color w:val="000000" w:themeColor="text1"/>
          <w:kern w:val="2"/>
          <w:sz w:val="32"/>
          <w:szCs w:val="32"/>
          <w14:textFill>
            <w14:solidFill>
              <w14:schemeClr w14:val="tx1"/>
            </w14:solidFill>
          </w14:textFill>
        </w:rPr>
        <w:t>——</w:t>
      </w:r>
      <w:r>
        <w:rPr>
          <w:rFonts w:hint="default" w:ascii="Times New Roman" w:hAnsi="Times New Roman" w:eastAsia="楷体_GB2312" w:cs="Times New Roman"/>
          <w:b/>
          <w:color w:val="000000" w:themeColor="text1"/>
          <w:kern w:val="2"/>
          <w:sz w:val="32"/>
          <w:szCs w:val="32"/>
          <w:lang w:val="en-US" w:eastAsia="zh-CN" w:bidi="ar-SA"/>
          <w14:textFill>
            <w14:solidFill>
              <w14:schemeClr w14:val="tx1"/>
            </w14:solidFill>
          </w14:textFill>
        </w:rPr>
        <w:t>治理效能实现新的更大提升。</w:t>
      </w:r>
      <w:r>
        <w:rPr>
          <w:rFonts w:hint="default" w:ascii="Times New Roman" w:hAnsi="Times New Roman" w:eastAsia="仿宋_GB2312" w:cs="Times New Roman"/>
          <w:color w:val="000000" w:themeColor="text1"/>
          <w:kern w:val="0"/>
          <w:sz w:val="32"/>
          <w:szCs w:val="32"/>
          <w:shd w:val="clear" w:color="auto" w:fill="FFFFFF"/>
          <w14:textFill>
            <w14:solidFill>
              <w14:schemeClr w14:val="tx1"/>
            </w14:solidFill>
          </w14:textFill>
        </w:rPr>
        <w:t>社会主义民主法治更加健全，行政效率和公信力显著提升，基层</w:t>
      </w:r>
      <w:r>
        <w:rPr>
          <w:rFonts w:hint="default" w:ascii="Times New Roman" w:hAnsi="Times New Roman" w:eastAsia="仿宋_GB2312" w:cs="Times New Roman"/>
          <w:color w:val="000000" w:themeColor="text1"/>
          <w:kern w:val="0"/>
          <w:sz w:val="32"/>
          <w:szCs w:val="32"/>
          <w:shd w:val="clear" w:color="auto" w:fill="FFFFFF"/>
          <w:lang w:val="en-US" w:eastAsia="zh-CN"/>
          <w14:textFill>
            <w14:solidFill>
              <w14:schemeClr w14:val="tx1"/>
            </w14:solidFill>
          </w14:textFill>
        </w:rPr>
        <w:t>社会</w:t>
      </w:r>
      <w:r>
        <w:rPr>
          <w:rFonts w:hint="default" w:ascii="Times New Roman" w:hAnsi="Times New Roman" w:eastAsia="仿宋_GB2312" w:cs="Times New Roman"/>
          <w:color w:val="000000" w:themeColor="text1"/>
          <w:kern w:val="0"/>
          <w:sz w:val="32"/>
          <w:szCs w:val="32"/>
          <w:shd w:val="clear" w:color="auto" w:fill="FFFFFF"/>
          <w14:textFill>
            <w14:solidFill>
              <w14:schemeClr w14:val="tx1"/>
            </w14:solidFill>
          </w14:textFill>
        </w:rPr>
        <w:t>治理水平明显提高，防范化解重大风险体制机制不断健全，应急能力显著增强，法治政府、法治社会、法治瑶海建设取得重大进展。</w:t>
      </w:r>
    </w:p>
    <w:tbl>
      <w:tblPr>
        <w:tblStyle w:val="20"/>
        <w:tblpPr w:leftFromText="180" w:rightFromText="180" w:vertAnchor="text" w:horzAnchor="page" w:tblpX="1805" w:tblpY="302"/>
        <w:tblOverlap w:val="never"/>
        <w:tblW w:w="8311" w:type="dxa"/>
        <w:tblInd w:w="0" w:type="dxa"/>
        <w:shd w:val="clear" w:color="auto" w:fill="auto"/>
        <w:tblLayout w:type="fixed"/>
        <w:tblCellMar>
          <w:top w:w="0" w:type="dxa"/>
          <w:left w:w="0" w:type="dxa"/>
          <w:bottom w:w="0" w:type="dxa"/>
          <w:right w:w="0" w:type="dxa"/>
        </w:tblCellMar>
      </w:tblPr>
      <w:tblGrid>
        <w:gridCol w:w="405"/>
        <w:gridCol w:w="3869"/>
        <w:gridCol w:w="806"/>
        <w:gridCol w:w="993"/>
        <w:gridCol w:w="1113"/>
        <w:gridCol w:w="1125"/>
      </w:tblGrid>
      <w:tr>
        <w:tblPrEx>
          <w:shd w:val="clear" w:color="auto" w:fill="auto"/>
          <w:tblCellMar>
            <w:top w:w="0" w:type="dxa"/>
            <w:left w:w="0" w:type="dxa"/>
            <w:bottom w:w="0" w:type="dxa"/>
            <w:right w:w="0" w:type="dxa"/>
          </w:tblCellMar>
        </w:tblPrEx>
        <w:trPr>
          <w:trHeight w:val="624" w:hRule="atLeast"/>
        </w:trPr>
        <w:tc>
          <w:tcPr>
            <w:tcW w:w="8311" w:type="dxa"/>
            <w:gridSpan w:val="6"/>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cs="Times New Roman"/>
                <w:b/>
                <w:bCs/>
                <w:i w:val="0"/>
                <w:color w:val="000000"/>
                <w:sz w:val="30"/>
                <w:szCs w:val="30"/>
                <w:u w:val="none"/>
                <w:lang w:val="en-US" w:eastAsia="zh-CN"/>
              </w:rPr>
            </w:pPr>
            <w:bookmarkStart w:id="31" w:name="_Toc26075"/>
            <w:r>
              <w:rPr>
                <w:rFonts w:hint="default" w:ascii="Times New Roman" w:hAnsi="Times New Roman" w:eastAsia="黑体" w:cs="Times New Roman"/>
                <w:b w:val="0"/>
                <w:bCs w:val="0"/>
                <w:i w:val="0"/>
                <w:color w:val="000000"/>
                <w:sz w:val="30"/>
                <w:szCs w:val="30"/>
                <w:u w:val="none"/>
                <w:lang w:val="en-US" w:eastAsia="zh-CN"/>
              </w:rPr>
              <w:t>“十四五”时期经济社会发展主要目标</w:t>
            </w:r>
            <w:bookmarkEnd w:id="31"/>
          </w:p>
        </w:tc>
      </w:tr>
      <w:tr>
        <w:tblPrEx>
          <w:shd w:val="clear" w:color="auto" w:fill="auto"/>
          <w:tblCellMar>
            <w:top w:w="0" w:type="dxa"/>
            <w:left w:w="0" w:type="dxa"/>
            <w:bottom w:w="0" w:type="dxa"/>
            <w:right w:w="0" w:type="dxa"/>
          </w:tblCellMar>
        </w:tblPrEx>
        <w:trPr>
          <w:trHeight w:val="531" w:hRule="atLeast"/>
        </w:trPr>
        <w:tc>
          <w:tcPr>
            <w:tcW w:w="405" w:type="dxa"/>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黑体" w:cs="Times New Roman"/>
                <w:color w:val="000000"/>
                <w:kern w:val="2"/>
                <w:sz w:val="24"/>
                <w:szCs w:val="24"/>
                <w:lang w:val="en-US" w:eastAsia="zh-CN" w:bidi="ar-SA"/>
              </w:rPr>
              <w:t>类别</w:t>
            </w:r>
          </w:p>
        </w:tc>
        <w:tc>
          <w:tcPr>
            <w:tcW w:w="3869" w:type="dxa"/>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color w:val="000000"/>
                <w:kern w:val="2"/>
                <w:sz w:val="24"/>
                <w:szCs w:val="24"/>
                <w:lang w:val="en-US" w:eastAsia="zh-CN" w:bidi="ar-SA"/>
              </w:rPr>
            </w:pPr>
            <w:r>
              <w:rPr>
                <w:rFonts w:hint="default" w:ascii="Times New Roman" w:hAnsi="Times New Roman" w:eastAsia="黑体" w:cs="Times New Roman"/>
                <w:color w:val="000000"/>
                <w:sz w:val="24"/>
                <w:szCs w:val="24"/>
              </w:rPr>
              <w:t>指标</w:t>
            </w:r>
          </w:p>
        </w:tc>
        <w:tc>
          <w:tcPr>
            <w:tcW w:w="806" w:type="dxa"/>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单位</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2020年</w:t>
            </w:r>
          </w:p>
        </w:tc>
        <w:tc>
          <w:tcPr>
            <w:tcW w:w="1113" w:type="dxa"/>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color w:val="000000"/>
                <w:sz w:val="24"/>
                <w:szCs w:val="24"/>
                <w:lang w:val="en-US" w:eastAsia="zh-CN"/>
              </w:rPr>
            </w:pPr>
            <w:r>
              <w:rPr>
                <w:rFonts w:hint="default" w:ascii="Times New Roman" w:hAnsi="Times New Roman" w:eastAsia="黑体" w:cs="Times New Roman"/>
                <w:color w:val="000000"/>
                <w:sz w:val="24"/>
                <w:szCs w:val="24"/>
                <w:lang w:val="en-US" w:eastAsia="zh-CN"/>
              </w:rPr>
              <w:t>“十四五”</w:t>
            </w:r>
          </w:p>
          <w:p>
            <w:pPr>
              <w:pStyle w:val="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color w:val="000000"/>
                <w:sz w:val="24"/>
                <w:szCs w:val="24"/>
                <w:lang w:val="en-US" w:eastAsia="zh-CN"/>
              </w:rPr>
            </w:pPr>
            <w:r>
              <w:rPr>
                <w:rFonts w:hint="default" w:ascii="Times New Roman" w:hAnsi="Times New Roman" w:eastAsia="黑体" w:cs="Times New Roman"/>
                <w:color w:val="000000"/>
                <w:sz w:val="24"/>
                <w:szCs w:val="24"/>
                <w:lang w:val="en-US" w:eastAsia="zh-CN"/>
              </w:rPr>
              <w:t>年均增速</w:t>
            </w:r>
          </w:p>
        </w:tc>
        <w:tc>
          <w:tcPr>
            <w:tcW w:w="1125" w:type="dxa"/>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color w:val="000000"/>
                <w:sz w:val="24"/>
                <w:szCs w:val="24"/>
                <w:lang w:val="en-US" w:eastAsia="zh-CN"/>
              </w:rPr>
            </w:pPr>
            <w:r>
              <w:rPr>
                <w:rFonts w:hint="default" w:ascii="Times New Roman" w:hAnsi="Times New Roman" w:eastAsia="黑体" w:cs="Times New Roman"/>
                <w:color w:val="000000"/>
                <w:sz w:val="24"/>
                <w:szCs w:val="24"/>
                <w:lang w:val="en-US" w:eastAsia="zh-CN"/>
              </w:rPr>
              <w:t>属性</w:t>
            </w:r>
          </w:p>
        </w:tc>
      </w:tr>
      <w:tr>
        <w:tblPrEx>
          <w:shd w:val="clear" w:color="auto" w:fill="auto"/>
          <w:tblCellMar>
            <w:top w:w="0" w:type="dxa"/>
            <w:left w:w="0" w:type="dxa"/>
            <w:bottom w:w="0" w:type="dxa"/>
            <w:right w:w="0" w:type="dxa"/>
          </w:tblCellMar>
        </w:tblPrEx>
        <w:trPr>
          <w:trHeight w:val="397" w:hRule="atLeast"/>
        </w:trPr>
        <w:tc>
          <w:tcPr>
            <w:tcW w:w="405" w:type="dxa"/>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color w:val="000000"/>
                <w:sz w:val="22"/>
                <w:szCs w:val="22"/>
                <w:u w:val="none"/>
                <w:lang w:val="en-US" w:eastAsia="zh-CN"/>
              </w:rPr>
            </w:pPr>
            <w:r>
              <w:rPr>
                <w:rFonts w:hint="default" w:ascii="Times New Roman" w:hAnsi="Times New Roman" w:eastAsia="黑体" w:cs="Times New Roman"/>
                <w:i w:val="0"/>
                <w:color w:val="000000"/>
                <w:sz w:val="24"/>
                <w:szCs w:val="24"/>
                <w:u w:val="none"/>
                <w:lang w:val="en-US" w:eastAsia="zh-CN"/>
              </w:rPr>
              <w:t>经济发展</w:t>
            </w: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地区生产总值</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亿元</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0"/>
                <w:sz w:val="24"/>
                <w:szCs w:val="24"/>
                <w:lang w:val="en-US" w:eastAsia="zh-CN"/>
              </w:rPr>
              <w:t>622.6</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cs="Times New Roman"/>
                <w:color w:val="000000"/>
                <w:kern w:val="0"/>
                <w:sz w:val="24"/>
                <w:szCs w:val="24"/>
                <w:lang w:val="en-US" w:eastAsia="zh-CN"/>
              </w:rPr>
              <w:t>8</w:t>
            </w:r>
            <w:r>
              <w:rPr>
                <w:rFonts w:hint="default" w:ascii="Times New Roman" w:hAnsi="Times New Roman" w:cs="Times New Roman"/>
                <w:color w:val="000000"/>
                <w:kern w:val="0"/>
                <w:sz w:val="24"/>
                <w:szCs w:val="24"/>
                <w:lang w:val="en-US" w:eastAsia="zh-CN"/>
              </w:rPr>
              <w:t>%</w:t>
            </w:r>
            <w:r>
              <w:rPr>
                <w:rFonts w:hint="eastAsia" w:ascii="Times New Roman" w:hAnsi="Times New Roman" w:cs="Times New Roman"/>
                <w:color w:val="000000"/>
                <w:kern w:val="0"/>
                <w:sz w:val="24"/>
                <w:szCs w:val="24"/>
                <w:lang w:val="en-US" w:eastAsia="zh-CN"/>
              </w:rPr>
              <w:t>以上</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预期性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i w:val="0"/>
                <w:color w:val="000000"/>
                <w:sz w:val="22"/>
                <w:szCs w:val="22"/>
                <w:u w:val="none"/>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2.二产增加值</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亿元</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206.4</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w:t>
            </w:r>
            <w:r>
              <w:rPr>
                <w:rFonts w:hint="default" w:ascii="Times New Roman" w:hAnsi="Times New Roman" w:cs="Times New Roman"/>
                <w:color w:val="000000"/>
                <w:kern w:val="0"/>
                <w:sz w:val="24"/>
                <w:szCs w:val="24"/>
                <w:lang w:val="en-US" w:eastAsia="zh-CN"/>
              </w:rPr>
              <w:t>%</w:t>
            </w:r>
            <w:r>
              <w:rPr>
                <w:rFonts w:hint="eastAsia" w:ascii="Times New Roman" w:hAnsi="Times New Roman" w:eastAsia="宋体" w:cs="Times New Roman"/>
                <w:color w:val="000000"/>
                <w:kern w:val="0"/>
                <w:sz w:val="24"/>
                <w:szCs w:val="24"/>
                <w:lang w:val="en-US" w:eastAsia="zh-CN" w:bidi="ar-SA"/>
              </w:rPr>
              <w:t>以上</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rPr>
              <w:t>预期性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i w:val="0"/>
                <w:color w:val="000000"/>
                <w:sz w:val="22"/>
                <w:szCs w:val="22"/>
                <w:u w:val="none"/>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3.三产（服务业）增加值</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亿元</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szCs w:val="24"/>
                <w:lang w:val="en-US" w:eastAsia="zh-CN"/>
              </w:rPr>
              <w:t>415.9</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0"/>
                <w:sz w:val="24"/>
                <w:szCs w:val="24"/>
              </w:rPr>
              <w:t>8.5</w:t>
            </w:r>
            <w:r>
              <w:rPr>
                <w:rFonts w:hint="default" w:ascii="Times New Roman" w:hAnsi="Times New Roman" w:cs="Times New Roman"/>
                <w:color w:val="000000"/>
                <w:kern w:val="0"/>
                <w:sz w:val="24"/>
                <w:szCs w:val="24"/>
                <w:lang w:val="en-US" w:eastAsia="zh-CN"/>
              </w:rPr>
              <w:t>%</w:t>
            </w:r>
            <w:r>
              <w:rPr>
                <w:rFonts w:hint="eastAsia" w:ascii="Times New Roman" w:hAnsi="Times New Roman" w:cs="Times New Roman"/>
                <w:color w:val="000000"/>
                <w:kern w:val="0"/>
                <w:sz w:val="24"/>
                <w:szCs w:val="24"/>
                <w:lang w:val="en-US" w:eastAsia="zh-CN"/>
              </w:rPr>
              <w:t>以上</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rPr>
              <w:t>预期性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i w:val="0"/>
                <w:color w:val="000000"/>
                <w:sz w:val="22"/>
                <w:szCs w:val="22"/>
                <w:u w:val="none"/>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4.一般公共预算收入</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亿元</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0"/>
                <w:sz w:val="24"/>
                <w:szCs w:val="24"/>
                <w:lang w:val="en-US" w:eastAsia="zh-CN"/>
              </w:rPr>
              <w:t>17.7</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5</w:t>
            </w:r>
            <w:r>
              <w:rPr>
                <w:rFonts w:hint="default" w:ascii="Times New Roman" w:hAnsi="Times New Roman" w:cs="Times New Roman"/>
                <w:color w:val="000000"/>
                <w:kern w:val="0"/>
                <w:sz w:val="24"/>
                <w:szCs w:val="24"/>
                <w:lang w:val="en-US" w:eastAsia="zh-CN"/>
              </w:rPr>
              <w:t>%</w:t>
            </w:r>
            <w:r>
              <w:rPr>
                <w:rFonts w:hint="eastAsia" w:ascii="Times New Roman" w:hAnsi="Times New Roman" w:cs="Times New Roman"/>
                <w:color w:val="000000"/>
                <w:kern w:val="0"/>
                <w:sz w:val="24"/>
                <w:szCs w:val="24"/>
                <w:lang w:val="en-US" w:eastAsia="zh-CN"/>
              </w:rPr>
              <w:t>左右</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rPr>
              <w:t>预期性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i w:val="0"/>
                <w:color w:val="000000"/>
                <w:sz w:val="22"/>
                <w:szCs w:val="22"/>
                <w:u w:val="none"/>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5.固定资产投资</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lang w:val="en-US" w:eastAsia="zh-CN"/>
              </w:rPr>
              <w:t>亿元</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lang w:val="en-US" w:eastAsia="zh-CN"/>
              </w:rPr>
              <w:t>1</w:t>
            </w:r>
            <w:r>
              <w:rPr>
                <w:rFonts w:hint="default" w:ascii="Times New Roman" w:hAnsi="Times New Roman" w:cs="Times New Roman"/>
                <w:color w:val="000000"/>
                <w:sz w:val="24"/>
                <w:szCs w:val="24"/>
                <w:lang w:val="en-US" w:eastAsia="zh-CN"/>
              </w:rPr>
              <w:t>30</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eastAsia="宋体" w:cs="Times New Roman"/>
                <w:color w:val="000000"/>
                <w:kern w:val="0"/>
                <w:sz w:val="24"/>
                <w:szCs w:val="24"/>
              </w:rPr>
              <w:t>8</w:t>
            </w:r>
            <w:r>
              <w:rPr>
                <w:rFonts w:hint="default" w:ascii="Times New Roman" w:hAnsi="Times New Roman" w:cs="Times New Roman"/>
                <w:color w:val="000000"/>
                <w:kern w:val="0"/>
                <w:sz w:val="24"/>
                <w:szCs w:val="24"/>
                <w:lang w:val="en-US" w:eastAsia="zh-CN"/>
              </w:rPr>
              <w:t>%</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rPr>
              <w:t>预期性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i w:val="0"/>
                <w:color w:val="000000"/>
                <w:sz w:val="22"/>
                <w:szCs w:val="22"/>
                <w:u w:val="none"/>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6.社会消费品零售总额</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亿元</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0"/>
                <w:sz w:val="24"/>
                <w:szCs w:val="24"/>
                <w:lang w:val="en-US" w:eastAsia="zh-CN"/>
              </w:rPr>
              <w:t>428.4</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2"/>
                <w:sz w:val="24"/>
                <w:szCs w:val="24"/>
                <w:lang w:val="en-US" w:eastAsia="zh-CN" w:bidi="ar-SA"/>
              </w:rPr>
              <w:t>8</w:t>
            </w:r>
            <w:r>
              <w:rPr>
                <w:rFonts w:hint="default" w:ascii="Times New Roman" w:hAnsi="Times New Roman" w:cs="Times New Roman"/>
                <w:color w:val="000000"/>
                <w:kern w:val="0"/>
                <w:sz w:val="24"/>
                <w:szCs w:val="24"/>
                <w:lang w:val="en-US" w:eastAsia="zh-CN"/>
              </w:rPr>
              <w:t>%</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lang w:val="en-US" w:eastAsia="zh-CN"/>
              </w:rPr>
              <w:t>预期性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i w:val="0"/>
                <w:color w:val="000000"/>
                <w:sz w:val="22"/>
                <w:szCs w:val="22"/>
                <w:u w:val="none"/>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7.外商直接投资</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lang w:val="en-US" w:eastAsia="zh-CN"/>
              </w:rPr>
              <w:t>亿</w:t>
            </w:r>
            <w:r>
              <w:rPr>
                <w:rFonts w:hint="default" w:ascii="Times New Roman" w:hAnsi="Times New Roman" w:eastAsia="宋体" w:cs="Times New Roman"/>
                <w:color w:val="000000"/>
                <w:sz w:val="24"/>
                <w:szCs w:val="24"/>
              </w:rPr>
              <w:t>美元</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0"/>
                <w:sz w:val="24"/>
                <w:szCs w:val="24"/>
                <w:highlight w:val="none"/>
                <w:lang w:val="en-US" w:eastAsia="zh-CN"/>
              </w:rPr>
              <w:t>8</w:t>
            </w:r>
            <w:r>
              <w:rPr>
                <w:rFonts w:hint="default" w:ascii="Times New Roman" w:hAnsi="Times New Roman" w:cs="Times New Roman"/>
                <w:color w:val="000000"/>
                <w:kern w:val="0"/>
                <w:sz w:val="24"/>
                <w:szCs w:val="24"/>
                <w:lang w:val="en-US" w:eastAsia="zh-CN"/>
              </w:rPr>
              <w:t>%</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highlight w:val="yellow"/>
                <w:lang w:val="en-US" w:eastAsia="zh-CN" w:bidi="ar-SA"/>
              </w:rPr>
            </w:pPr>
            <w:r>
              <w:rPr>
                <w:rFonts w:hint="default" w:ascii="Times New Roman" w:hAnsi="Times New Roman" w:eastAsia="宋体" w:cs="Times New Roman"/>
                <w:color w:val="000000"/>
                <w:kern w:val="0"/>
                <w:sz w:val="24"/>
                <w:szCs w:val="24"/>
                <w:lang w:val="en-US" w:eastAsia="zh-CN"/>
              </w:rPr>
              <w:t>预期性</w:t>
            </w:r>
          </w:p>
        </w:tc>
      </w:tr>
      <w:tr>
        <w:tblPrEx>
          <w:shd w:val="clear" w:color="auto" w:fill="auto"/>
          <w:tblCellMar>
            <w:top w:w="0" w:type="dxa"/>
            <w:left w:w="0" w:type="dxa"/>
            <w:bottom w:w="0" w:type="dxa"/>
            <w:right w:w="0" w:type="dxa"/>
          </w:tblCellMar>
        </w:tblPrEx>
        <w:trPr>
          <w:trHeight w:val="397" w:hRule="atLeast"/>
        </w:trPr>
        <w:tc>
          <w:tcPr>
            <w:tcW w:w="405" w:type="dxa"/>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color w:val="000000"/>
                <w:sz w:val="22"/>
                <w:szCs w:val="22"/>
                <w:u w:val="none"/>
                <w:lang w:val="en-US" w:eastAsia="zh-CN"/>
              </w:rPr>
            </w:pPr>
            <w:r>
              <w:rPr>
                <w:rFonts w:hint="default" w:ascii="Times New Roman" w:hAnsi="Times New Roman" w:eastAsia="黑体" w:cs="Times New Roman"/>
                <w:i w:val="0"/>
                <w:color w:val="000000"/>
                <w:sz w:val="24"/>
                <w:szCs w:val="24"/>
                <w:u w:val="none"/>
                <w:lang w:val="en-US" w:eastAsia="zh-CN"/>
              </w:rPr>
              <w:t>创新驱动</w:t>
            </w: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8.战略性新兴产业产值占规模以上</w:t>
            </w:r>
          </w:p>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工业产值比重</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highlight w:val="none"/>
                <w:lang w:val="en-US" w:eastAsia="zh-CN"/>
              </w:rPr>
              <w:t>%</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2"/>
                <w:sz w:val="24"/>
                <w:szCs w:val="24"/>
                <w:lang w:val="en-US" w:eastAsia="zh-CN" w:bidi="ar-SA"/>
              </w:rPr>
              <w:t>20.8</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2"/>
                <w:sz w:val="24"/>
                <w:szCs w:val="24"/>
                <w:lang w:val="en-US" w:eastAsia="zh-CN" w:bidi="ar-SA"/>
              </w:rPr>
              <w:t>43</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highlight w:val="none"/>
                <w:lang w:val="en-US" w:eastAsia="zh-CN"/>
              </w:rPr>
              <w:t>预期性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i w:val="0"/>
                <w:color w:val="000000"/>
                <w:sz w:val="22"/>
                <w:szCs w:val="22"/>
                <w:u w:val="none"/>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9.高新技术企业数</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个</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2"/>
                <w:sz w:val="24"/>
                <w:szCs w:val="24"/>
                <w:lang w:val="en-US" w:eastAsia="zh-CN" w:bidi="ar-SA"/>
              </w:rPr>
              <w:t>51</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2"/>
                <w:sz w:val="24"/>
                <w:szCs w:val="24"/>
                <w:highlight w:val="none"/>
                <w:lang w:val="en-US" w:eastAsia="zh-CN" w:bidi="ar-SA"/>
              </w:rPr>
              <w:t>200</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rPr>
              <w:t>预期性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i w:val="0"/>
                <w:color w:val="000000"/>
                <w:sz w:val="22"/>
                <w:szCs w:val="22"/>
                <w:u w:val="none"/>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10.研究与试验发展经费投入强度</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2"/>
                <w:sz w:val="24"/>
                <w:szCs w:val="24"/>
                <w:lang w:val="en-US" w:eastAsia="zh-CN" w:bidi="ar-SA"/>
              </w:rPr>
              <w:t>%</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2"/>
                <w:sz w:val="24"/>
                <w:szCs w:val="24"/>
                <w:lang w:val="en-US" w:eastAsia="zh-CN" w:bidi="ar-SA"/>
              </w:rPr>
              <w:t>—</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cs="Times New Roman"/>
                <w:color w:val="000000"/>
                <w:kern w:val="2"/>
                <w:sz w:val="24"/>
                <w:szCs w:val="24"/>
                <w:highlight w:val="none"/>
                <w:lang w:val="en-US" w:eastAsia="zh-CN" w:bidi="ar-SA"/>
              </w:rPr>
              <w:t>3</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预期性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i w:val="0"/>
                <w:color w:val="000000"/>
                <w:sz w:val="22"/>
                <w:szCs w:val="22"/>
                <w:u w:val="none"/>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11.每万人口高价值发明专利拥有量</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i w:val="0"/>
                <w:color w:val="000000"/>
                <w:kern w:val="0"/>
                <w:sz w:val="24"/>
                <w:szCs w:val="24"/>
                <w:u w:val="none"/>
                <w:lang w:val="en-US" w:eastAsia="zh-CN" w:bidi="ar"/>
              </w:rPr>
              <w:t>件</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2"/>
                <w:sz w:val="24"/>
                <w:szCs w:val="24"/>
                <w:lang w:val="en-US" w:eastAsia="zh-CN" w:bidi="ar-SA"/>
              </w:rPr>
              <w:t>0.98</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cs="Times New Roman"/>
                <w:color w:val="000000"/>
                <w:kern w:val="0"/>
                <w:sz w:val="24"/>
                <w:szCs w:val="24"/>
                <w:highlight w:val="none"/>
                <w:lang w:val="en-US" w:eastAsia="zh-CN"/>
              </w:rPr>
              <w:t>1.44</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预期性</w:t>
            </w:r>
          </w:p>
        </w:tc>
      </w:tr>
      <w:tr>
        <w:tblPrEx>
          <w:shd w:val="clear" w:color="auto" w:fill="auto"/>
          <w:tblCellMar>
            <w:top w:w="0" w:type="dxa"/>
            <w:left w:w="0" w:type="dxa"/>
            <w:bottom w:w="0" w:type="dxa"/>
            <w:right w:w="0" w:type="dxa"/>
          </w:tblCellMar>
        </w:tblPrEx>
        <w:trPr>
          <w:trHeight w:val="397" w:hRule="atLeast"/>
        </w:trPr>
        <w:tc>
          <w:tcPr>
            <w:tcW w:w="405" w:type="dxa"/>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color w:val="000000"/>
                <w:sz w:val="22"/>
                <w:szCs w:val="22"/>
                <w:u w:val="none"/>
                <w:lang w:val="en-US" w:eastAsia="zh-CN"/>
              </w:rPr>
            </w:pPr>
            <w:r>
              <w:rPr>
                <w:rFonts w:hint="default" w:ascii="Times New Roman" w:hAnsi="Times New Roman" w:eastAsia="黑体" w:cs="Times New Roman"/>
                <w:i w:val="0"/>
                <w:color w:val="000000"/>
                <w:sz w:val="24"/>
                <w:szCs w:val="24"/>
                <w:u w:val="none"/>
                <w:lang w:val="en-US" w:eastAsia="zh-CN"/>
              </w:rPr>
              <w:t>民生福祉</w:t>
            </w: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12.城镇化率</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0"/>
                <w:sz w:val="24"/>
                <w:szCs w:val="24"/>
              </w:rPr>
              <w:t>99</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0"/>
                <w:sz w:val="24"/>
                <w:szCs w:val="24"/>
              </w:rPr>
              <w:t>99</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rPr>
              <w:t>预期性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i w:val="0"/>
                <w:color w:val="000000"/>
                <w:sz w:val="22"/>
                <w:szCs w:val="22"/>
                <w:u w:val="none"/>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13.城镇常住居民人均可支配收入</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元</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cs="Times New Roman"/>
                <w:color w:val="000000"/>
                <w:kern w:val="0"/>
                <w:sz w:val="24"/>
                <w:szCs w:val="24"/>
                <w:lang w:val="en-US" w:eastAsia="zh-CN"/>
              </w:rPr>
              <w:t>50003</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0"/>
                <w:sz w:val="24"/>
                <w:szCs w:val="24"/>
                <w:highlight w:val="none"/>
              </w:rPr>
              <w:t>＞</w:t>
            </w:r>
            <w:r>
              <w:rPr>
                <w:rFonts w:hint="default" w:ascii="Times New Roman" w:hAnsi="Times New Roman" w:eastAsia="宋体" w:cs="Times New Roman"/>
                <w:color w:val="000000"/>
                <w:kern w:val="0"/>
                <w:sz w:val="24"/>
                <w:szCs w:val="24"/>
              </w:rPr>
              <w:t>GDP增速</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rPr>
              <w:t>预期性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i w:val="0"/>
                <w:color w:val="000000"/>
                <w:sz w:val="22"/>
                <w:szCs w:val="22"/>
                <w:u w:val="none"/>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14.新增就业岗位（5年累计）</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eastAsia="宋体" w:cs="Times New Roman"/>
                <w:color w:val="000000"/>
                <w:sz w:val="24"/>
                <w:szCs w:val="24"/>
              </w:rPr>
              <w:t>万个</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cs="Times New Roman"/>
                <w:color w:val="000000"/>
                <w:kern w:val="0"/>
                <w:sz w:val="24"/>
                <w:szCs w:val="24"/>
                <w:lang w:val="en-US" w:eastAsia="zh-CN"/>
              </w:rPr>
              <w:t>1.6</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szCs w:val="24"/>
                <w:lang w:val="en-US" w:eastAsia="zh-CN"/>
              </w:rPr>
              <w:t>6</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rPr>
              <w:t>预期性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i w:val="0"/>
                <w:color w:val="000000"/>
                <w:sz w:val="22"/>
                <w:szCs w:val="22"/>
                <w:u w:val="none"/>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15.城镇调查失业率</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w:t>
            </w:r>
          </w:p>
        </w:tc>
        <w:tc>
          <w:tcPr>
            <w:tcW w:w="2106" w:type="dxa"/>
            <w:gridSpan w:val="2"/>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2"/>
                <w:sz w:val="24"/>
                <w:szCs w:val="24"/>
                <w:lang w:val="en-US" w:eastAsia="zh-CN" w:bidi="ar-SA"/>
              </w:rPr>
              <w:t>低于全市平均</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rPr>
              <w:t>预期性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i w:val="0"/>
                <w:color w:val="000000"/>
                <w:sz w:val="22"/>
                <w:szCs w:val="22"/>
                <w:u w:val="none"/>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16.学前教育毛入园率</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2"/>
                <w:sz w:val="24"/>
                <w:szCs w:val="24"/>
                <w:lang w:val="en-US" w:eastAsia="zh-CN" w:bidi="ar-SA"/>
              </w:rPr>
              <w:t>100</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eastAsia="宋体" w:cs="Times New Roman"/>
                <w:color w:val="000000"/>
                <w:kern w:val="2"/>
                <w:sz w:val="24"/>
                <w:szCs w:val="24"/>
                <w:highlight w:val="none"/>
                <w:lang w:val="en-US" w:eastAsia="zh-CN" w:bidi="ar-SA"/>
              </w:rPr>
              <w:t>100</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rPr>
              <w:t>预期性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i w:val="0"/>
                <w:color w:val="000000"/>
                <w:sz w:val="22"/>
                <w:szCs w:val="22"/>
                <w:u w:val="none"/>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17.基本养老保险参保人数</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万人</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58.</w:t>
            </w:r>
            <w:r>
              <w:rPr>
                <w:rFonts w:hint="default" w:ascii="Times New Roman" w:hAnsi="Times New Roman" w:cs="Times New Roman"/>
                <w:color w:val="000000"/>
                <w:kern w:val="2"/>
                <w:sz w:val="24"/>
                <w:szCs w:val="24"/>
                <w:lang w:val="en-US" w:eastAsia="zh-CN" w:bidi="ar-SA"/>
              </w:rPr>
              <w:t>6</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完成下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highlight w:val="none"/>
                <w:lang w:val="en-US" w:eastAsia="zh-CN" w:bidi="ar-SA"/>
              </w:rPr>
              <w:t>达任务</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cs="Times New Roman"/>
                <w:color w:val="000000"/>
                <w:kern w:val="0"/>
                <w:sz w:val="24"/>
                <w:szCs w:val="24"/>
                <w:lang w:val="en-US" w:eastAsia="zh-CN"/>
              </w:rPr>
              <w:t>约束性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i w:val="0"/>
                <w:color w:val="000000"/>
                <w:sz w:val="22"/>
                <w:szCs w:val="22"/>
                <w:u w:val="none"/>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18.劳动年龄人口平均受教育年限</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lang w:val="en-US" w:eastAsia="zh-CN"/>
              </w:rPr>
              <w:t>（年）</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2"/>
                <w:sz w:val="24"/>
                <w:szCs w:val="24"/>
                <w:lang w:val="en-US" w:eastAsia="zh-CN" w:bidi="ar-SA"/>
              </w:rPr>
              <w:t>12左右</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kern w:val="2"/>
                <w:sz w:val="24"/>
                <w:szCs w:val="24"/>
                <w:highlight w:val="none"/>
                <w:lang w:val="en-US" w:eastAsia="zh-CN" w:bidi="ar-SA"/>
              </w:rPr>
              <w:t>12.5</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约束性</w:t>
            </w:r>
          </w:p>
        </w:tc>
      </w:tr>
      <w:tr>
        <w:tblPrEx>
          <w:shd w:val="clear" w:color="auto" w:fill="auto"/>
          <w:tblCellMar>
            <w:top w:w="0" w:type="dxa"/>
            <w:left w:w="0" w:type="dxa"/>
            <w:bottom w:w="0" w:type="dxa"/>
            <w:right w:w="0" w:type="dxa"/>
          </w:tblCellMar>
        </w:tblPrEx>
        <w:trPr>
          <w:trHeight w:val="397" w:hRule="atLeast"/>
        </w:trPr>
        <w:tc>
          <w:tcPr>
            <w:tcW w:w="405" w:type="dxa"/>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黑体" w:cs="Times New Roman"/>
                <w:i w:val="0"/>
                <w:color w:val="000000"/>
                <w:sz w:val="24"/>
                <w:szCs w:val="24"/>
                <w:u w:val="none"/>
                <w:lang w:val="en-US" w:eastAsia="zh-CN"/>
              </w:rPr>
              <w:t>绿色生态</w:t>
            </w: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19.单位GDP能源消耗降低</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sz w:val="24"/>
                <w:szCs w:val="24"/>
              </w:rPr>
              <w:t>%</w:t>
            </w:r>
          </w:p>
        </w:tc>
        <w:tc>
          <w:tcPr>
            <w:tcW w:w="993" w:type="dxa"/>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kern w:val="2"/>
                <w:sz w:val="24"/>
                <w:szCs w:val="24"/>
                <w:lang w:val="en-US" w:eastAsia="zh-CN" w:bidi="ar-SA"/>
              </w:rPr>
            </w:pPr>
            <w:r>
              <w:rPr>
                <w:rFonts w:hint="default" w:ascii="Times New Roman" w:hAnsi="Times New Roman" w:cs="Times New Roman"/>
                <w:color w:val="000000"/>
                <w:kern w:val="2"/>
                <w:sz w:val="24"/>
                <w:szCs w:val="24"/>
                <w:lang w:val="en-US" w:eastAsia="zh-CN" w:bidi="ar-SA"/>
              </w:rPr>
              <w:t>达省控</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2"/>
                <w:sz w:val="24"/>
                <w:szCs w:val="24"/>
                <w:lang w:val="en-US" w:eastAsia="zh-CN" w:bidi="ar-SA"/>
              </w:rPr>
              <w:t>目标</w:t>
            </w:r>
          </w:p>
        </w:tc>
        <w:tc>
          <w:tcPr>
            <w:tcW w:w="1113" w:type="dxa"/>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达省控</w:t>
            </w:r>
          </w:p>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2"/>
                <w:sz w:val="24"/>
                <w:szCs w:val="24"/>
                <w:highlight w:val="none"/>
                <w:lang w:val="en-US" w:eastAsia="zh-CN" w:bidi="ar-SA"/>
              </w:rPr>
              <w:t>目标</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约束性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i w:val="0"/>
                <w:color w:val="000000"/>
                <w:sz w:val="24"/>
                <w:szCs w:val="24"/>
                <w:u w:val="none"/>
                <w:lang w:val="en-US" w:eastAsia="zh-CN"/>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20.单位GDP二氧化碳排放降低</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sz w:val="24"/>
                <w:szCs w:val="24"/>
              </w:rPr>
              <w:t>%</w:t>
            </w:r>
          </w:p>
        </w:tc>
        <w:tc>
          <w:tcPr>
            <w:tcW w:w="993"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p>
        </w:tc>
        <w:tc>
          <w:tcPr>
            <w:tcW w:w="1113"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rPr>
            </w:pP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rPr>
              <w:t>约束性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i w:val="0"/>
                <w:color w:val="000000"/>
                <w:sz w:val="24"/>
                <w:szCs w:val="24"/>
                <w:u w:val="none"/>
                <w:lang w:val="en-US" w:eastAsia="zh-CN"/>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21.空气</w:t>
            </w:r>
            <w:r>
              <w:rPr>
                <w:rFonts w:hint="eastAsia" w:ascii="Times New Roman" w:hAnsi="Times New Roman" w:eastAsia="宋体" w:cs="Times New Roman"/>
                <w:color w:val="000000"/>
                <w:sz w:val="24"/>
                <w:szCs w:val="24"/>
                <w:lang w:val="en-US" w:eastAsia="zh-CN"/>
              </w:rPr>
              <w:t>质量</w:t>
            </w:r>
            <w:r>
              <w:rPr>
                <w:rFonts w:hint="default" w:ascii="Times New Roman" w:hAnsi="Times New Roman" w:eastAsia="宋体" w:cs="Times New Roman"/>
                <w:color w:val="000000"/>
                <w:sz w:val="24"/>
                <w:szCs w:val="24"/>
                <w:lang w:val="en-US" w:eastAsia="zh-CN"/>
              </w:rPr>
              <w:t>优良天数比率</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sz w:val="24"/>
                <w:szCs w:val="24"/>
              </w:rPr>
              <w:t>%</w:t>
            </w:r>
          </w:p>
        </w:tc>
        <w:tc>
          <w:tcPr>
            <w:tcW w:w="993"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p>
        </w:tc>
        <w:tc>
          <w:tcPr>
            <w:tcW w:w="1113"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rPr>
            </w:pP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rPr>
              <w:t>约束性</w:t>
            </w:r>
          </w:p>
        </w:tc>
      </w:tr>
      <w:tr>
        <w:tblPrEx>
          <w:tblCellMar>
            <w:top w:w="0" w:type="dxa"/>
            <w:left w:w="0" w:type="dxa"/>
            <w:bottom w:w="0" w:type="dxa"/>
            <w:right w:w="0" w:type="dxa"/>
          </w:tblCellMar>
        </w:tblPrEx>
        <w:trPr>
          <w:trHeight w:val="397" w:hRule="atLeast"/>
        </w:trPr>
        <w:tc>
          <w:tcPr>
            <w:tcW w:w="405"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i w:val="0"/>
                <w:color w:val="000000"/>
                <w:sz w:val="24"/>
                <w:szCs w:val="24"/>
                <w:u w:val="none"/>
                <w:lang w:val="en-US" w:eastAsia="zh-CN"/>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22.地表水达到或好于Ⅲ类水体比例</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sz w:val="24"/>
                <w:szCs w:val="24"/>
              </w:rPr>
              <w:t>%</w:t>
            </w:r>
          </w:p>
        </w:tc>
        <w:tc>
          <w:tcPr>
            <w:tcW w:w="993" w:type="dxa"/>
            <w:vMerge w:val="continue"/>
            <w:tcBorders>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p>
        </w:tc>
        <w:tc>
          <w:tcPr>
            <w:tcW w:w="1113" w:type="dxa"/>
            <w:vMerge w:val="continue"/>
            <w:tcBorders>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rPr>
            </w:pP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rPr>
              <w:t>约束性</w:t>
            </w:r>
          </w:p>
        </w:tc>
      </w:tr>
      <w:tr>
        <w:tblPrEx>
          <w:tblCellMar>
            <w:top w:w="0" w:type="dxa"/>
            <w:left w:w="0" w:type="dxa"/>
            <w:bottom w:w="0" w:type="dxa"/>
            <w:right w:w="0" w:type="dxa"/>
          </w:tblCellMar>
        </w:tblPrEx>
        <w:trPr>
          <w:trHeight w:val="397" w:hRule="atLeast"/>
        </w:trPr>
        <w:tc>
          <w:tcPr>
            <w:tcW w:w="405" w:type="dxa"/>
            <w:vMerge w:val="continue"/>
            <w:tcBorders>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i w:val="0"/>
                <w:color w:val="000000"/>
                <w:sz w:val="24"/>
                <w:szCs w:val="24"/>
                <w:u w:val="none"/>
                <w:lang w:val="en-US" w:eastAsia="zh-CN"/>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23.森林覆盖率</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2"/>
                <w:sz w:val="24"/>
                <w:szCs w:val="24"/>
                <w:lang w:val="en-US" w:eastAsia="zh-CN" w:bidi="ar-SA"/>
              </w:rPr>
              <w:t>4.7</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4.8</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约束性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i w:val="0"/>
                <w:color w:val="000000"/>
                <w:sz w:val="24"/>
                <w:szCs w:val="24"/>
                <w:u w:val="none"/>
                <w:lang w:val="en-US" w:eastAsia="zh-CN"/>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24.建成区绿化覆盖率</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p>
        </w:tc>
        <w:tc>
          <w:tcPr>
            <w:tcW w:w="99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kern w:val="2"/>
                <w:sz w:val="24"/>
                <w:szCs w:val="24"/>
                <w:lang w:val="en-US" w:eastAsia="zh-CN" w:bidi="ar-SA"/>
              </w:rPr>
              <w:t>21.81</w:t>
            </w:r>
          </w:p>
        </w:tc>
        <w:tc>
          <w:tcPr>
            <w:tcW w:w="111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24.2</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约束性</w:t>
            </w:r>
          </w:p>
        </w:tc>
      </w:tr>
      <w:tr>
        <w:tblPrEx>
          <w:tblCellMar>
            <w:top w:w="0" w:type="dxa"/>
            <w:left w:w="0" w:type="dxa"/>
            <w:bottom w:w="0" w:type="dxa"/>
            <w:right w:w="0" w:type="dxa"/>
          </w:tblCellMar>
        </w:tblPrEx>
        <w:trPr>
          <w:trHeight w:val="457" w:hRule="atLeast"/>
        </w:trPr>
        <w:tc>
          <w:tcPr>
            <w:tcW w:w="405" w:type="dxa"/>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黑体" w:cs="Times New Roman"/>
                <w:i w:val="0"/>
                <w:color w:val="000000"/>
                <w:sz w:val="24"/>
                <w:szCs w:val="24"/>
                <w:highlight w:val="none"/>
                <w:u w:val="none"/>
                <w:lang w:val="en-US" w:eastAsia="zh-CN"/>
              </w:rPr>
              <w:t>安全保障</w:t>
            </w: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25.粮食综合生产能力</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18"/>
                <w:szCs w:val="18"/>
                <w:lang w:val="en-US" w:eastAsia="zh-CN"/>
              </w:rPr>
              <w:t>（万吨）</w:t>
            </w:r>
          </w:p>
        </w:tc>
        <w:tc>
          <w:tcPr>
            <w:tcW w:w="993" w:type="dxa"/>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完成</w:t>
            </w:r>
          </w:p>
        </w:tc>
        <w:tc>
          <w:tcPr>
            <w:tcW w:w="1113" w:type="dxa"/>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完成下</w:t>
            </w:r>
          </w:p>
          <w:p>
            <w:pPr>
              <w:pStyle w:val="6"/>
              <w:keepNext w:val="0"/>
              <w:keepLines w:val="0"/>
              <w:pageBreakBefore w:val="0"/>
              <w:widowControl w:val="0"/>
              <w:kinsoku/>
              <w:wordWrap/>
              <w:overflowPunct/>
              <w:topLinePunct w:val="0"/>
              <w:autoSpaceDE/>
              <w:autoSpaceDN/>
              <w:bidi w:val="0"/>
              <w:adjustRightInd/>
              <w:snapToGrid/>
              <w:spacing w:line="240" w:lineRule="auto"/>
              <w:ind w:firstLine="10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达任务</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约束性</w:t>
            </w:r>
          </w:p>
        </w:tc>
      </w:tr>
      <w:tr>
        <w:tblPrEx>
          <w:shd w:val="clear" w:color="auto" w:fill="auto"/>
          <w:tblCellMar>
            <w:top w:w="0" w:type="dxa"/>
            <w:left w:w="0" w:type="dxa"/>
            <w:bottom w:w="0" w:type="dxa"/>
            <w:right w:w="0" w:type="dxa"/>
          </w:tblCellMar>
        </w:tblPrEx>
        <w:trPr>
          <w:trHeight w:val="397" w:hRule="atLeast"/>
        </w:trPr>
        <w:tc>
          <w:tcPr>
            <w:tcW w:w="405" w:type="dxa"/>
            <w:vMerge w:val="continue"/>
            <w:tcBorders>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i w:val="0"/>
                <w:color w:val="000000"/>
                <w:sz w:val="24"/>
                <w:szCs w:val="24"/>
                <w:u w:val="none"/>
                <w:lang w:val="en-US" w:eastAsia="zh-CN"/>
              </w:rPr>
            </w:pPr>
          </w:p>
        </w:tc>
        <w:tc>
          <w:tcPr>
            <w:tcW w:w="386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26.能源综合生产能力</w:t>
            </w:r>
          </w:p>
        </w:tc>
        <w:tc>
          <w:tcPr>
            <w:tcW w:w="80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00" w:lineRule="exact"/>
              <w:ind w:firstLine="102"/>
              <w:jc w:val="left"/>
              <w:textAlignment w:val="auto"/>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（万吨</w:t>
            </w:r>
          </w:p>
          <w:p>
            <w:pPr>
              <w:pStyle w:val="6"/>
              <w:keepNext w:val="0"/>
              <w:keepLines w:val="0"/>
              <w:pageBreakBefore w:val="0"/>
              <w:widowControl w:val="0"/>
              <w:kinsoku/>
              <w:wordWrap/>
              <w:overflowPunct/>
              <w:topLinePunct w:val="0"/>
              <w:autoSpaceDE/>
              <w:autoSpaceDN/>
              <w:bidi w:val="0"/>
              <w:adjustRightInd/>
              <w:snapToGrid w:val="0"/>
              <w:spacing w:line="200" w:lineRule="exact"/>
              <w:ind w:firstLine="102"/>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18"/>
                <w:szCs w:val="18"/>
                <w:lang w:val="en-US" w:eastAsia="zh-CN"/>
              </w:rPr>
              <w:t>标准煤）</w:t>
            </w: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p>
        </w:tc>
        <w:tc>
          <w:tcPr>
            <w:tcW w:w="1113" w:type="dxa"/>
            <w:vMerge w:val="continue"/>
            <w:tcBorders>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left"/>
              <w:textAlignment w:val="auto"/>
              <w:rPr>
                <w:rFonts w:hint="default" w:ascii="Times New Roman" w:hAnsi="Times New Roman" w:eastAsia="宋体" w:cs="Times New Roman"/>
                <w:color w:val="000000"/>
                <w:sz w:val="24"/>
                <w:szCs w:val="24"/>
                <w:lang w:val="en-US" w:eastAsia="zh-CN"/>
              </w:rPr>
            </w:pP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10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约束性</w:t>
            </w:r>
          </w:p>
        </w:tc>
      </w:tr>
    </w:tbl>
    <w:p>
      <w:pPr>
        <w:pStyle w:val="3"/>
        <w:keepNext w:val="0"/>
        <w:keepLines w:val="0"/>
        <w:pageBreakBefore w:val="0"/>
        <w:widowControl w:val="0"/>
        <w:numPr>
          <w:ilvl w:val="0"/>
          <w:numId w:val="3"/>
        </w:numPr>
        <w:kinsoku/>
        <w:wordWrap/>
        <w:overflowPunct/>
        <w:topLinePunct w:val="0"/>
        <w:autoSpaceDE/>
        <w:autoSpaceDN/>
        <w:bidi w:val="0"/>
        <w:adjustRightInd/>
        <w:snapToGrid/>
        <w:spacing w:before="313" w:beforeLines="10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bookmarkStart w:id="32" w:name="_Toc11092"/>
      <w:bookmarkStart w:id="33" w:name="_Toc10309"/>
      <w:bookmarkStart w:id="34" w:name="_Toc22579"/>
      <w:bookmarkStart w:id="35" w:name="_Toc12578"/>
      <w:bookmarkStart w:id="36" w:name="_Toc24414"/>
      <w:r>
        <w:rPr>
          <w:rFonts w:hint="default" w:ascii="Times New Roman" w:hAnsi="Times New Roman" w:eastAsia="宋体" w:cs="Times New Roman"/>
          <w:sz w:val="32"/>
          <w:rtl w:val="0"/>
          <w:lang w:val="en-US" w:eastAsia="zh-CN"/>
        </w:rPr>
        <w:t xml:space="preserve"> </w:t>
      </w:r>
      <w:bookmarkStart w:id="37" w:name="_Toc21163"/>
      <w:bookmarkStart w:id="38" w:name="_Toc9681"/>
      <w:bookmarkStart w:id="39" w:name="_Toc7194"/>
      <w:bookmarkStart w:id="40" w:name="_Toc17530"/>
      <w:r>
        <w:rPr>
          <w:rFonts w:hint="default" w:ascii="Times New Roman" w:hAnsi="Times New Roman" w:eastAsia="宋体" w:cs="Times New Roman"/>
          <w:sz w:val="32"/>
          <w:rtl w:val="0"/>
          <w:lang w:val="en-US" w:eastAsia="zh-CN"/>
        </w:rPr>
        <w:t>2035年远景目标</w:t>
      </w:r>
      <w:bookmarkEnd w:id="32"/>
      <w:bookmarkEnd w:id="37"/>
      <w:bookmarkEnd w:id="38"/>
      <w:bookmarkEnd w:id="39"/>
      <w:bookmarkEnd w:id="40"/>
    </w:p>
    <w:p>
      <w:pPr>
        <w:pageBreakBefore w:val="0"/>
        <w:numPr>
          <w:ilvl w:val="0"/>
          <w:numId w:val="0"/>
        </w:numPr>
        <w:tabs>
          <w:tab w:val="left" w:pos="0"/>
        </w:tabs>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kern w:val="0"/>
          <w:sz w:val="32"/>
          <w:szCs w:val="32"/>
          <w:shd w:val="clear" w:color="auto" w:fill="FFFFFF"/>
          <w14:textFill>
            <w14:solidFill>
              <w14:schemeClr w14:val="tx1"/>
            </w14:solidFill>
          </w14:textFill>
        </w:rPr>
      </w:pPr>
      <w:r>
        <w:rPr>
          <w:rFonts w:hint="default" w:ascii="Times New Roman" w:hAnsi="Times New Roman" w:eastAsia="仿宋_GB2312" w:cs="Times New Roman"/>
          <w:color w:val="000000" w:themeColor="text1"/>
          <w:kern w:val="0"/>
          <w:sz w:val="32"/>
          <w:szCs w:val="32"/>
          <w:shd w:val="clear" w:color="auto" w:fill="FFFFFF"/>
          <w:lang w:val="en-US" w:eastAsia="zh-CN"/>
          <w14:textFill>
            <w14:solidFill>
              <w14:schemeClr w14:val="tx1"/>
            </w14:solidFill>
          </w14:textFill>
        </w:rPr>
        <w:t>展望2035年，我区经济实力跃上新台阶，总量稳居全省市辖区第一梯队，“中国网谷及物联网产业”成为地标集群，“数字瑶海、智慧新城”全面建成；社会治理形成新标杆，人民平等参与、平等发展权利得到充分保障，基本建成法治政府、法治社会、法治瑶海，基本实现治理体系和治理能力现代化；国民素质和社会文明程度达到新高度，文化软实力显著增强，建成文化强区、教育强区、人才强区、体育强区、健康城区；全面绿色转型树立新样板，广泛形成绿色生产生活方式，生态环境根本好转，美丽瑶海基本建成；对外开放形成新格局，与长三角一体化发展机制高效运转，参与区域经济合作和竞争新优势明显增强；平安瑶海建设达到新水平，军政军民团结更加巩固；人民生活更加美好，中等收入群体显著扩大，人的全面发展、全体人民共同富裕取得更为明显的实质性进展。</w:t>
      </w:r>
    </w:p>
    <w:p>
      <w:pPr>
        <w:pStyle w:val="2"/>
        <w:keepNext/>
        <w:keepLines/>
        <w:pageBreakBefore w:val="0"/>
        <w:widowControl w:val="0"/>
        <w:numPr>
          <w:ilvl w:val="0"/>
          <w:numId w:val="2"/>
        </w:numPr>
        <w:kinsoku/>
        <w:wordWrap/>
        <w:overflowPunct/>
        <w:topLinePunct w:val="0"/>
        <w:autoSpaceDE/>
        <w:autoSpaceDN/>
        <w:bidi w:val="0"/>
        <w:adjustRightInd/>
        <w:snapToGrid/>
        <w:spacing w:before="313" w:beforeLines="100" w:after="50" w:afterLines="50" w:line="560" w:lineRule="exact"/>
        <w:ind w:left="0" w:leftChars="0" w:firstLine="640" w:firstLineChars="200"/>
        <w:jc w:val="left"/>
        <w:textAlignment w:val="auto"/>
        <w:rPr>
          <w:rFonts w:hint="default" w:ascii="Times New Roman" w:hAnsi="Times New Roman" w:eastAsia="黑体" w:cs="Times New Roman"/>
          <w:b w:val="0"/>
          <w:sz w:val="32"/>
          <w:rtl w:val="0"/>
          <w:lang w:val="en-US" w:eastAsia="zh-CN"/>
        </w:rPr>
      </w:pPr>
      <w:r>
        <w:rPr>
          <w:rFonts w:hint="default" w:ascii="Times New Roman" w:hAnsi="Times New Roman" w:eastAsia="黑体" w:cs="Times New Roman"/>
          <w:b w:val="0"/>
          <w:sz w:val="32"/>
          <w:rtl w:val="0"/>
          <w:lang w:val="en-US" w:eastAsia="zh-CN"/>
        </w:rPr>
        <w:t xml:space="preserve">  </w:t>
      </w:r>
      <w:bookmarkStart w:id="41" w:name="_Toc5388"/>
      <w:bookmarkStart w:id="42" w:name="_Toc15265"/>
      <w:r>
        <w:rPr>
          <w:rFonts w:hint="default" w:ascii="Times New Roman" w:hAnsi="Times New Roman" w:eastAsia="黑体" w:cs="Times New Roman"/>
          <w:b w:val="0"/>
          <w:sz w:val="32"/>
          <w:rtl w:val="0"/>
          <w:lang w:val="en-US" w:eastAsia="zh-CN"/>
        </w:rPr>
        <w:t>以创新驱动赋能东部新中心建设  打造合肥新兴增长极</w:t>
      </w:r>
      <w:bookmarkEnd w:id="41"/>
      <w:bookmarkEnd w:id="42"/>
    </w:p>
    <w:bookmarkEnd w:id="33"/>
    <w:bookmarkEnd w:id="34"/>
    <w:bookmarkEnd w:id="35"/>
    <w:bookmarkEnd w:id="36"/>
    <w:p>
      <w:pPr>
        <w:pStyle w:val="25"/>
        <w:pageBreakBefore w:val="0"/>
        <w:kinsoku/>
        <w:overflowPunct/>
        <w:autoSpaceDE/>
        <w:autoSpaceDN/>
        <w:bidi w:val="0"/>
        <w:adjustRightInd/>
        <w:spacing w:line="560" w:lineRule="exact"/>
        <w:ind w:firstLine="640"/>
        <w:textAlignment w:val="auto"/>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将</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创新</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驱动作为</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高水平推进合肥东部新中心</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建设的</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战略支撑</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，全面营造东部新中心体制机制和科技创新优势，加速打造合肥发展新引擎。</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bookmarkStart w:id="43" w:name="_Toc28108"/>
      <w:bookmarkStart w:id="44" w:name="_Toc26746"/>
      <w:bookmarkStart w:id="45" w:name="_Toc234"/>
      <w:r>
        <w:rPr>
          <w:rFonts w:hint="default" w:ascii="Times New Roman" w:hAnsi="Times New Roman" w:eastAsia="宋体" w:cs="Times New Roman"/>
          <w:sz w:val="32"/>
          <w:rtl w:val="0"/>
          <w:lang w:val="en-US" w:eastAsia="zh-CN"/>
        </w:rPr>
        <w:t xml:space="preserve"> </w:t>
      </w:r>
      <w:bookmarkStart w:id="46" w:name="_Toc6015"/>
      <w:bookmarkStart w:id="47" w:name="_Toc4856"/>
      <w:r>
        <w:rPr>
          <w:rFonts w:hint="default" w:ascii="Times New Roman" w:hAnsi="Times New Roman" w:eastAsia="宋体" w:cs="Times New Roman"/>
          <w:sz w:val="32"/>
          <w:rtl w:val="0"/>
          <w:lang w:val="en-US" w:eastAsia="zh-CN"/>
        </w:rPr>
        <w:t>奋力建设合肥东部新中心</w:t>
      </w:r>
      <w:bookmarkEnd w:id="46"/>
      <w:bookmarkEnd w:id="47"/>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紧紧围绕“长三角青年中心、安徽双创中心、合肥东部新中心”的定位，以</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强平台、壮产业、扩开放、出形象</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为主要任务</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打造一座充满活力和魅力的现代化智慧新城</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在合肥市“东西两翼齐飞”中发挥好引擎作用</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lang w:val="en-US" w:eastAsia="zh-CN" w:bidi="ar-SA"/>
          <w14:textFill>
            <w14:solidFill>
              <w14:schemeClr w14:val="tx1"/>
            </w14:solidFill>
          </w14:textFill>
        </w:rPr>
        <w:t>大力培育新兴产业集群。</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围绕东部新中心产业规划</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以</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建链补链强链</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为抓手，重点</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强化主导产业链关键环节招商，加快形成以</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物联网、文化创意、科技</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服务等产业为主体的</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新兴产业</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体系</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推进</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红旗产业园区产业转型</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，增加产业</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发展空间</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以基础设施建设为牵引，推动合肥物联网产业园延伸发展。加快推进产业落地，实施</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中国宝武安徽（产业）总部项目</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核心区</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 xml:space="preserve"> CBD、工业文旅等</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项目建设</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highlight w:val="yellow"/>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highlight w:val="none"/>
          <w:lang w:val="en-US" w:eastAsia="zh-CN" w:bidi="ar-SA"/>
          <w14:textFill>
            <w14:solidFill>
              <w14:schemeClr w14:val="tx1"/>
            </w14:solidFill>
          </w14:textFill>
        </w:rPr>
        <w:t>建设工业遗存特色载体。</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以“唤醒”城市记忆、凝聚文化魅力为主线，打好</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第二批国家工业遗产</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品牌，按照国际化标准制定工业遗产保护和利用方案，系统性保护工业遗产，赋予工业遗产新内涵</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建设</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工业遗址公园</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打造合肥</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工业文明长廊，</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塑造集城市记忆、创意文化、休闲体验等于一体的“生活秀带”，打造城市文化地标</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楷体_GB2312" w:cs="Times New Roman"/>
          <w:b/>
          <w:color w:val="000000" w:themeColor="text1"/>
          <w:kern w:val="2"/>
          <w:sz w:val="32"/>
          <w:szCs w:val="32"/>
          <w:lang w:val="en-US" w:eastAsia="zh-CN" w:bidi="ar-SA"/>
          <w14:textFill>
            <w14:solidFill>
              <w14:schemeClr w14:val="tx1"/>
            </w14:solidFill>
          </w14:textFill>
        </w:rPr>
        <w:t>全面增强新城承载能力。</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坚持基础设施优先、社会事业优先、群众利益优先、产业项目优先，创新东部新中心建设开发新模式。</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全面完成东部新中心范围内旧城改造，</w:t>
      </w:r>
      <w:r>
        <w:rPr>
          <w:rFonts w:hint="default" w:ascii="Times New Roman" w:hAnsi="Times New Roman" w:eastAsia="仿宋_GB2312" w:cs="Times New Roman"/>
          <w:sz w:val="32"/>
          <w:szCs w:val="32"/>
          <w:lang w:val="en-US" w:eastAsia="zh-CN"/>
        </w:rPr>
        <w:t>完善东部新中心</w:t>
      </w:r>
      <w:r>
        <w:rPr>
          <w:rFonts w:hint="default" w:ascii="Times New Roman" w:hAnsi="Times New Roman" w:eastAsia="仿宋_GB2312" w:cs="Times New Roman"/>
          <w:sz w:val="32"/>
          <w:szCs w:val="32"/>
        </w:rPr>
        <w:t>路网体系</w:t>
      </w:r>
      <w:r>
        <w:rPr>
          <w:rFonts w:hint="default" w:ascii="Times New Roman" w:hAnsi="Times New Roman" w:eastAsia="仿宋_GB2312" w:cs="Times New Roman"/>
          <w:sz w:val="32"/>
          <w:szCs w:val="32"/>
          <w:lang w:val="en-US" w:eastAsia="zh-CN"/>
        </w:rPr>
        <w:t>和</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公共服务配套，建设高品质人居环境</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基本建成</w:t>
      </w:r>
      <w:r>
        <w:rPr>
          <w:rFonts w:hint="default" w:ascii="Times New Roman" w:hAnsi="Times New Roman" w:eastAsia="仿宋_GB2312" w:cs="Times New Roman"/>
          <w:sz w:val="32"/>
          <w:szCs w:val="32"/>
          <w:lang w:val="en-US" w:eastAsia="zh-CN"/>
        </w:rPr>
        <w:t>合肥</w:t>
      </w:r>
      <w:r>
        <w:rPr>
          <w:rFonts w:hint="default" w:ascii="Times New Roman" w:hAnsi="Times New Roman" w:eastAsia="仿宋_GB2312" w:cs="Times New Roman"/>
          <w:sz w:val="32"/>
          <w:szCs w:val="32"/>
        </w:rPr>
        <w:t>市博物馆、</w:t>
      </w:r>
      <w:r>
        <w:rPr>
          <w:rFonts w:hint="default" w:ascii="Times New Roman" w:hAnsi="Times New Roman" w:eastAsia="仿宋_GB2312" w:cs="Times New Roman"/>
          <w:sz w:val="32"/>
          <w:szCs w:val="32"/>
          <w:lang w:val="en-US" w:eastAsia="zh-CN"/>
        </w:rPr>
        <w:t>合肥一中东校区、</w:t>
      </w:r>
      <w:r>
        <w:rPr>
          <w:rFonts w:hint="default" w:ascii="Times New Roman" w:hAnsi="Times New Roman" w:eastAsia="仿宋_GB2312" w:cs="Times New Roman"/>
          <w:sz w:val="32"/>
          <w:szCs w:val="32"/>
        </w:rPr>
        <w:t>市青少年活动中心</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市儿童医院</w:t>
      </w:r>
      <w:r>
        <w:rPr>
          <w:rFonts w:hint="default" w:ascii="Times New Roman" w:hAnsi="Times New Roman" w:eastAsia="仿宋_GB2312" w:cs="Times New Roman"/>
          <w:sz w:val="32"/>
          <w:szCs w:val="32"/>
          <w:lang w:val="en-US" w:eastAsia="zh-CN"/>
        </w:rPr>
        <w:t>等项目</w:t>
      </w:r>
      <w:r>
        <w:rPr>
          <w:rFonts w:hint="default" w:ascii="Times New Roman" w:hAnsi="Times New Roman" w:eastAsia="仿宋_GB2312" w:cs="Times New Roman"/>
          <w:sz w:val="32"/>
          <w:szCs w:val="32"/>
        </w:rPr>
        <w:t>建设，</w:t>
      </w:r>
      <w:r>
        <w:rPr>
          <w:rFonts w:hint="default" w:ascii="Times New Roman" w:hAnsi="Times New Roman" w:eastAsia="仿宋_GB2312" w:cs="Times New Roman"/>
          <w:sz w:val="32"/>
          <w:szCs w:val="32"/>
          <w:lang w:val="en-US" w:eastAsia="zh-CN"/>
        </w:rPr>
        <w:t>推进</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优质教育</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体育、</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医疗</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健康</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文化旅游</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等</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公共服务</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设施全覆盖。</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kern w:val="0"/>
          <w:sz w:val="32"/>
          <w:szCs w:val="32"/>
          <w:highlight w:val="none"/>
          <w:shd w:val="clear" w:color="auto" w:fill="FFFFFF"/>
          <w:rtl w:val="0"/>
          <w:lang w:val="en-US" w:eastAsia="zh-CN" w:bidi="ar-SA"/>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持续加强生态环境治理。</w:t>
      </w:r>
      <w:r>
        <w:rPr>
          <w:rFonts w:hint="default" w:ascii="Times New Roman" w:hAnsi="Times New Roman" w:eastAsia="仿宋_GB2312" w:cs="Times New Roman"/>
          <w:color w:val="000000" w:themeColor="text1"/>
          <w:kern w:val="0"/>
          <w:sz w:val="32"/>
          <w:szCs w:val="32"/>
          <w:shd w:val="clear" w:color="auto" w:fill="FFFFFF"/>
          <w:rtl w:val="0"/>
          <w:lang w:val="en-US" w:eastAsia="zh-CN" w:bidi="ar-SA"/>
          <w14:textFill>
            <w14:solidFill>
              <w14:schemeClr w14:val="tx1"/>
            </w14:solidFill>
          </w14:textFill>
        </w:rPr>
        <w:t>围绕“土壤污染治理”“水环境治理”两大重点，探索创新工业污染地块“环境修复+开发建设”的新路径，逐步完成马</w:t>
      </w:r>
      <w:r>
        <w:rPr>
          <w:rFonts w:hint="default" w:ascii="Times New Roman" w:hAnsi="Times New Roman" w:eastAsia="仿宋_GB2312" w:cs="Times New Roman"/>
          <w:color w:val="000000" w:themeColor="text1"/>
          <w:kern w:val="0"/>
          <w:sz w:val="32"/>
          <w:szCs w:val="32"/>
          <w:highlight w:val="none"/>
          <w:shd w:val="clear" w:color="auto" w:fill="FFFFFF"/>
          <w:rtl w:val="0"/>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0"/>
          <w:sz w:val="32"/>
          <w:szCs w:val="32"/>
          <w:shd w:val="clear" w:color="auto" w:fill="FFFFFF"/>
          <w:rtl w:val="0"/>
          <w:lang w:val="en-US" w:eastAsia="zh-CN" w:bidi="ar-SA"/>
          <w14:textFill>
            <w14:solidFill>
              <w14:schemeClr w14:val="tx1"/>
            </w14:solidFill>
          </w14:textFill>
        </w:rPr>
        <w:t>合</w:t>
      </w:r>
      <w:r>
        <w:rPr>
          <w:rFonts w:hint="default" w:ascii="Times New Roman" w:hAnsi="Times New Roman" w:eastAsia="仿宋_GB2312" w:cs="Times New Roman"/>
          <w:color w:val="000000" w:themeColor="text1"/>
          <w:kern w:val="0"/>
          <w:sz w:val="32"/>
          <w:szCs w:val="32"/>
          <w:highlight w:val="none"/>
          <w:shd w:val="clear" w:color="auto" w:fill="FFFFFF"/>
          <w:rtl w:val="0"/>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0"/>
          <w:sz w:val="32"/>
          <w:szCs w:val="32"/>
          <w:shd w:val="clear" w:color="auto" w:fill="FFFFFF"/>
          <w:rtl w:val="0"/>
          <w:lang w:val="en-US" w:eastAsia="zh-CN" w:bidi="ar-SA"/>
          <w14:textFill>
            <w14:solidFill>
              <w14:schemeClr w14:val="tx1"/>
            </w14:solidFill>
          </w14:textFill>
        </w:rPr>
        <w:t>钢、氯碱化工、老合钢等污染地块治理工作。落实合肥“美丽河流</w:t>
      </w:r>
      <w:r>
        <w:rPr>
          <w:rFonts w:hint="default" w:ascii="Times New Roman" w:hAnsi="Times New Roman" w:eastAsia="仿宋_GB2312" w:cs="Times New Roman"/>
          <w:color w:val="000000" w:themeColor="text1"/>
          <w:kern w:val="0"/>
          <w:sz w:val="32"/>
          <w:szCs w:val="32"/>
          <w:highlight w:val="none"/>
          <w:shd w:val="clear" w:color="auto" w:fill="FFFFFF"/>
          <w:rtl w:val="0"/>
          <w:lang w:val="en-US" w:eastAsia="zh-CN" w:bidi="ar-SA"/>
          <w14:textFill>
            <w14:solidFill>
              <w14:schemeClr w14:val="tx1"/>
            </w14:solidFill>
          </w14:textFill>
        </w:rPr>
        <w:t>”水体综合治理要求，加快建设核心区双“</w:t>
      </w:r>
      <w:r>
        <w:rPr>
          <w:rFonts w:hint="default" w:ascii="Times New Roman" w:hAnsi="Times New Roman" w:eastAsia="仿宋_GB2312" w:cs="Times New Roman"/>
          <w:bCs/>
          <w:color w:val="000000" w:themeColor="text1"/>
          <w:kern w:val="2"/>
          <w:sz w:val="32"/>
          <w:szCs w:val="32"/>
          <w:rtl w:val="0"/>
          <w:lang w:val="en-US" w:eastAsia="zh-CN" w:bidi="ar-SA"/>
          <w14:textFill>
            <w14:solidFill>
              <w14:schemeClr w14:val="tx1"/>
            </w14:solidFill>
          </w14:textFill>
        </w:rPr>
        <w:t>π</w:t>
      </w:r>
      <w:r>
        <w:rPr>
          <w:rFonts w:hint="default" w:ascii="Times New Roman" w:hAnsi="Times New Roman" w:eastAsia="仿宋_GB2312" w:cs="Times New Roman"/>
          <w:color w:val="000000" w:themeColor="text1"/>
          <w:kern w:val="0"/>
          <w:sz w:val="32"/>
          <w:szCs w:val="32"/>
          <w:highlight w:val="none"/>
          <w:shd w:val="clear" w:color="auto" w:fill="FFFFFF"/>
          <w:rtl w:val="0"/>
          <w:lang w:val="en-US" w:eastAsia="zh-CN" w:bidi="ar-SA"/>
          <w14:textFill>
            <w14:solidFill>
              <w14:schemeClr w14:val="tx1"/>
            </w14:solidFill>
          </w14:textFill>
        </w:rPr>
        <w:t>”水系、南淝河活力港湾等水韵景观。</w:t>
      </w:r>
    </w:p>
    <w:tbl>
      <w:tblPr>
        <w:tblStyle w:val="20"/>
        <w:tblpPr w:leftFromText="180" w:rightFromText="180" w:vertAnchor="text" w:horzAnchor="page" w:tblpX="1835" w:tblpY="302"/>
        <w:tblOverlap w:val="never"/>
        <w:tblW w:w="8275" w:type="dxa"/>
        <w:tblInd w:w="0" w:type="dxa"/>
        <w:shd w:val="clear" w:color="auto" w:fill="auto"/>
        <w:tblLayout w:type="fixed"/>
        <w:tblCellMar>
          <w:top w:w="0" w:type="dxa"/>
          <w:left w:w="0" w:type="dxa"/>
          <w:bottom w:w="0" w:type="dxa"/>
          <w:right w:w="0" w:type="dxa"/>
        </w:tblCellMar>
      </w:tblPr>
      <w:tblGrid>
        <w:gridCol w:w="8275"/>
      </w:tblGrid>
      <w:tr>
        <w:tblPrEx>
          <w:shd w:val="clear" w:color="auto" w:fill="auto"/>
          <w:tblCellMar>
            <w:top w:w="0" w:type="dxa"/>
            <w:left w:w="0" w:type="dxa"/>
            <w:bottom w:w="0" w:type="dxa"/>
            <w:right w:w="0" w:type="dxa"/>
          </w:tblCellMar>
        </w:tblPrEx>
        <w:trPr>
          <w:trHeight w:val="624" w:hRule="atLeast"/>
        </w:trPr>
        <w:tc>
          <w:tcPr>
            <w:tcW w:w="827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48" w:name="_Toc4302"/>
            <w:r>
              <w:rPr>
                <w:rFonts w:hint="default" w:ascii="Times New Roman" w:hAnsi="Times New Roman" w:eastAsia="黑体" w:cs="Times New Roman"/>
                <w:b w:val="0"/>
                <w:bCs w:val="0"/>
                <w:i w:val="0"/>
                <w:color w:val="000000"/>
                <w:sz w:val="30"/>
                <w:szCs w:val="30"/>
                <w:u w:val="none"/>
              </w:rPr>
              <w:t>东部新中心重大工程项目</w:t>
            </w:r>
            <w:bookmarkEnd w:id="48"/>
          </w:p>
        </w:tc>
      </w:tr>
      <w:tr>
        <w:tblPrEx>
          <w:shd w:val="clear" w:color="auto" w:fill="auto"/>
          <w:tblCellMar>
            <w:top w:w="0" w:type="dxa"/>
            <w:left w:w="0" w:type="dxa"/>
            <w:bottom w:w="0" w:type="dxa"/>
            <w:right w:w="0" w:type="dxa"/>
          </w:tblCellMar>
        </w:tblPrEx>
        <w:trPr>
          <w:trHeight w:val="967" w:hRule="atLeast"/>
        </w:trPr>
        <w:tc>
          <w:tcPr>
            <w:tcW w:w="827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line="440" w:lineRule="exact"/>
              <w:ind w:firstLine="562" w:firstLineChars="200"/>
              <w:textAlignment w:val="auto"/>
              <w:rPr>
                <w:rFonts w:hint="default" w:ascii="Times New Roman" w:hAnsi="Times New Roman" w:eastAsia="仿宋_GB2312" w:cs="Times New Roman"/>
                <w:b w:val="0"/>
                <w:bCs w:val="0"/>
                <w:sz w:val="28"/>
                <w:szCs w:val="36"/>
                <w:vertAlign w:val="baseline"/>
                <w:lang w:val="en-US" w:eastAsia="zh-CN"/>
              </w:rPr>
            </w:pPr>
            <w:r>
              <w:rPr>
                <w:rFonts w:hint="default" w:ascii="Times New Roman" w:hAnsi="Times New Roman" w:eastAsia="楷体_GB2312" w:cs="Times New Roman"/>
                <w:b/>
                <w:bCs/>
                <w:sz w:val="28"/>
                <w:szCs w:val="36"/>
                <w:vertAlign w:val="baseline"/>
                <w:lang w:val="en-US" w:eastAsia="zh-CN"/>
              </w:rPr>
              <w:t>规划设计项目。</w:t>
            </w:r>
            <w:r>
              <w:rPr>
                <w:rFonts w:hint="default" w:ascii="Times New Roman" w:hAnsi="Times New Roman" w:eastAsia="仿宋_GB2312" w:cs="Times New Roman"/>
                <w:b w:val="0"/>
                <w:bCs w:val="0"/>
                <w:sz w:val="28"/>
                <w:szCs w:val="36"/>
                <w:vertAlign w:val="baseline"/>
                <w:lang w:val="en-US" w:eastAsia="zh-CN"/>
              </w:rPr>
              <w:t>加快东部新中心核心区控规编制和报批工作，完成东部新中心内部水系规划、核心区地下空间规划、产业发展规划、供电专项规划、公共服务设施规划等专项规划修编。</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cs="Times New Roman"/>
                <w:b w:val="0"/>
                <w:bCs w:val="0"/>
                <w:sz w:val="28"/>
                <w:szCs w:val="36"/>
                <w:vertAlign w:val="baseline"/>
                <w:lang w:val="en-US" w:eastAsia="zh-CN"/>
              </w:rPr>
            </w:pPr>
            <w:r>
              <w:rPr>
                <w:rFonts w:hint="default" w:ascii="Times New Roman" w:hAnsi="Times New Roman" w:eastAsia="楷体_GB2312" w:cs="Times New Roman"/>
                <w:b/>
                <w:bCs/>
                <w:sz w:val="28"/>
                <w:szCs w:val="36"/>
                <w:vertAlign w:val="baseline"/>
                <w:lang w:val="en-US" w:eastAsia="zh-CN"/>
              </w:rPr>
              <w:t>工业遗产保护利用项目。</w:t>
            </w:r>
            <w:r>
              <w:rPr>
                <w:rFonts w:hint="default" w:ascii="Times New Roman" w:hAnsi="Times New Roman" w:eastAsia="仿宋_GB2312" w:cs="Times New Roman"/>
                <w:b w:val="0"/>
                <w:bCs w:val="0"/>
                <w:sz w:val="28"/>
                <w:szCs w:val="36"/>
                <w:vertAlign w:val="baseline"/>
                <w:lang w:val="en-US" w:eastAsia="zh-CN"/>
              </w:rPr>
              <w:t>建设中国宝武安徽（产业）总部项目，完成首期合钢五厂改造等项目建设；推进工业遗址公园项目一期建设，实施合肥工业文明长廊综合整治，完成高炉区活化利用项目。</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b w:val="0"/>
                <w:bCs w:val="0"/>
                <w:sz w:val="28"/>
                <w:szCs w:val="36"/>
                <w:vertAlign w:val="baseline"/>
                <w:lang w:val="en-US" w:eastAsia="zh-CN"/>
              </w:rPr>
            </w:pPr>
            <w:r>
              <w:rPr>
                <w:rFonts w:hint="default" w:ascii="Times New Roman" w:hAnsi="Times New Roman" w:eastAsia="楷体_GB2312" w:cs="Times New Roman"/>
                <w:b/>
                <w:bCs/>
                <w:sz w:val="28"/>
                <w:szCs w:val="36"/>
                <w:vertAlign w:val="baseline"/>
                <w:lang w:val="en-US" w:eastAsia="zh-CN"/>
              </w:rPr>
              <w:t>城市更新项目。</w:t>
            </w:r>
            <w:r>
              <w:rPr>
                <w:rFonts w:hint="default" w:ascii="Times New Roman" w:hAnsi="Times New Roman" w:eastAsia="仿宋_GB2312" w:cs="Times New Roman"/>
                <w:b w:val="0"/>
                <w:bCs w:val="0"/>
                <w:sz w:val="28"/>
                <w:szCs w:val="36"/>
                <w:vertAlign w:val="baseline"/>
                <w:lang w:val="en-US" w:eastAsia="zh-CN"/>
              </w:rPr>
              <w:t>推进核心区CBD等项目建设；完成大兴镇片区全域旧改项目，推进城东街道、红光街道片区旧改项目；建成东城新海苑、兴城家园、红旗石材复建点等复建点；建成月亮湾路、钢南路、滨河路、障山路等14条道路。</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cs="Times New Roman"/>
                <w:b w:val="0"/>
                <w:bCs w:val="0"/>
                <w:sz w:val="28"/>
                <w:szCs w:val="36"/>
                <w:vertAlign w:val="baseline"/>
                <w:lang w:val="en-US" w:eastAsia="zh-CN"/>
              </w:rPr>
            </w:pPr>
            <w:r>
              <w:rPr>
                <w:rFonts w:hint="default" w:ascii="Times New Roman" w:hAnsi="Times New Roman" w:eastAsia="楷体_GB2312" w:cs="Times New Roman"/>
                <w:b/>
                <w:bCs/>
                <w:sz w:val="28"/>
                <w:szCs w:val="36"/>
                <w:vertAlign w:val="baseline"/>
                <w:lang w:val="en-US" w:eastAsia="zh-CN"/>
              </w:rPr>
              <w:t>公共服务设施项目。</w:t>
            </w:r>
            <w:r>
              <w:rPr>
                <w:rFonts w:hint="default" w:ascii="Times New Roman" w:hAnsi="Times New Roman" w:eastAsia="仿宋_GB2312" w:cs="Times New Roman"/>
                <w:b w:val="0"/>
                <w:bCs w:val="0"/>
                <w:sz w:val="28"/>
                <w:szCs w:val="36"/>
                <w:vertAlign w:val="baseline"/>
                <w:lang w:val="en-US" w:eastAsia="zh-CN"/>
              </w:rPr>
              <w:t>完成合肥市博物馆、市青少年活动中心、市儿童医院和合肥一中东校区、滨河中学、高亮路小学、裕溪路学校扩建等项目建设。实施青年创意田园二期工程、建成唐桥游园、网谷公园和重点路段景观等项目。</w:t>
            </w:r>
          </w:p>
          <w:p>
            <w:pPr>
              <w:keepNext w:val="0"/>
              <w:keepLines w:val="0"/>
              <w:pageBreakBefore/>
              <w:widowControl w:val="0"/>
              <w:kinsoku/>
              <w:wordWrap/>
              <w:overflowPunct/>
              <w:topLinePunct w:val="0"/>
              <w:autoSpaceDE/>
              <w:autoSpaceDN/>
              <w:bidi w:val="0"/>
              <w:adjustRightInd/>
              <w:snapToGrid/>
              <w:spacing w:after="157" w:afterLines="50" w:line="440" w:lineRule="exact"/>
              <w:ind w:firstLine="562" w:firstLineChars="200"/>
              <w:textAlignment w:val="auto"/>
              <w:rPr>
                <w:rFonts w:hint="default" w:ascii="Times New Roman" w:hAnsi="Times New Roman" w:eastAsia="宋体" w:cs="Times New Roman"/>
                <w:i w:val="0"/>
                <w:color w:val="000000"/>
                <w:sz w:val="22"/>
                <w:szCs w:val="22"/>
                <w:u w:val="none"/>
                <w:lang w:val="en-US"/>
              </w:rPr>
            </w:pPr>
            <w:r>
              <w:rPr>
                <w:rFonts w:hint="default" w:ascii="Times New Roman" w:hAnsi="Times New Roman" w:eastAsia="楷体_GB2312" w:cs="Times New Roman"/>
                <w:b/>
                <w:bCs/>
                <w:sz w:val="28"/>
                <w:szCs w:val="36"/>
                <w:vertAlign w:val="baseline"/>
                <w:lang w:val="en-US" w:eastAsia="zh-CN"/>
              </w:rPr>
              <w:t>生态修复项目。</w:t>
            </w:r>
            <w:r>
              <w:rPr>
                <w:rFonts w:hint="default" w:ascii="Times New Roman" w:hAnsi="Times New Roman" w:eastAsia="仿宋_GB2312" w:cs="Times New Roman"/>
                <w:b w:val="0"/>
                <w:bCs w:val="0"/>
                <w:sz w:val="28"/>
                <w:szCs w:val="36"/>
                <w:vertAlign w:val="baseline"/>
                <w:lang w:val="en-US" w:eastAsia="zh-CN"/>
              </w:rPr>
              <w:t>完成马(合)钢、氯碱化工、老合钢等污染地块治理工作；实施钟油坊污水处理厂配套管网建设、河道开挖、生态护岸等水系修复项目，建设南淝河活力港湾项目。</w:t>
            </w:r>
          </w:p>
        </w:tc>
      </w:tr>
    </w:tbl>
    <w:p>
      <w:pPr>
        <w:pStyle w:val="3"/>
        <w:keepNext w:val="0"/>
        <w:keepLines w:val="0"/>
        <w:pageBreakBefore w:val="0"/>
        <w:widowControl w:val="0"/>
        <w:numPr>
          <w:ilvl w:val="0"/>
          <w:numId w:val="3"/>
        </w:numPr>
        <w:kinsoku/>
        <w:wordWrap/>
        <w:overflowPunct/>
        <w:topLinePunct w:val="0"/>
        <w:autoSpaceDE/>
        <w:autoSpaceDN/>
        <w:bidi w:val="0"/>
        <w:adjustRightInd/>
        <w:snapToGrid/>
        <w:spacing w:before="313" w:beforeLines="10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49" w:name="_Toc19069"/>
      <w:bookmarkStart w:id="50" w:name="_Toc19098"/>
      <w:r>
        <w:rPr>
          <w:rFonts w:hint="default" w:ascii="Times New Roman" w:hAnsi="Times New Roman" w:eastAsia="宋体" w:cs="Times New Roman"/>
          <w:sz w:val="32"/>
          <w:rtl w:val="0"/>
          <w:lang w:val="en-US" w:eastAsia="zh-CN"/>
        </w:rPr>
        <w:t>深入实施科技兴区行动</w:t>
      </w:r>
      <w:bookmarkEnd w:id="49"/>
      <w:bookmarkEnd w:id="50"/>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auto"/>
        <w:outlineLvl w:val="9"/>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t>坚持创新在我区现代化建设全局中的核心地位，深入实施科教兴区战略、人才强区战略、创新驱动发展战略，着力以东部新中心为主战场，带动全区科技创新和科技成果产业化跃上新台阶，为产业转型、城市转型、社会转型赋能增效。</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pPr>
      <w:bookmarkStart w:id="51" w:name="_Toc29015"/>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创新科技发展思路</w:t>
      </w:r>
      <w:bookmarkEnd w:id="51"/>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w:t>
      </w:r>
      <w:r>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t>抢抓科技强国、长三角一体化等发展机遇，打造科技成果产业化基地，推动以科技创新为核心的全面创新，加快推进高新技术企业培育、高层次科技人才团队建设、科技创新平台建设、科技成果转化“四大任务”，争取全区科技研发投入、高新技术企业数、高新技术产业增加值、专利授权量取得</w:t>
      </w:r>
      <w:r>
        <w:rPr>
          <w:rFonts w:hint="default" w:ascii="Times New Roman" w:hAnsi="Times New Roman" w:eastAsia="仿宋_GB2312" w:cs="Times New Roman"/>
          <w:b w:val="0"/>
          <w:color w:val="000000" w:themeColor="text1"/>
          <w:kern w:val="0"/>
          <w:sz w:val="32"/>
          <w:szCs w:val="32"/>
          <w:highlight w:val="none"/>
          <w:shd w:val="clear" w:color="auto" w:fill="FFFFFF"/>
          <w:lang w:val="en-US" w:eastAsia="zh-CN" w:bidi="ar-SA"/>
          <w14:textFill>
            <w14:solidFill>
              <w14:schemeClr w14:val="tx1"/>
            </w14:solidFill>
          </w14:textFill>
        </w:rPr>
        <w:t>更</w:t>
      </w:r>
      <w:r>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t>大突破，为推动经济社会发展全面绿色转型贡献科技力量。</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加大科技投入力度。</w:t>
      </w:r>
      <w:r>
        <w:rPr>
          <w:rFonts w:hint="default" w:ascii="Times New Roman" w:hAnsi="Times New Roman" w:eastAsia="仿宋_GB2312" w:cs="Times New Roman"/>
          <w:b w:val="0"/>
          <w:color w:val="000000" w:themeColor="text1"/>
          <w:kern w:val="0"/>
          <w:sz w:val="32"/>
          <w:szCs w:val="32"/>
          <w:shd w:val="clear" w:color="auto" w:fill="FFFFFF"/>
          <w:rtl w:val="0"/>
          <w:lang w:val="en-US" w:eastAsia="zh-CN" w:bidi="ar-SA"/>
          <w14:textFill>
            <w14:solidFill>
              <w14:schemeClr w14:val="tx1"/>
            </w14:solidFill>
          </w14:textFill>
        </w:rPr>
        <w:t>充分发挥</w:t>
      </w:r>
      <w:r>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t>财政科技经费支出的引导作用，实施“科银企担”对接行动计划，促进创新链、产业链和资金链“三链融合互动”，建设多元化、多层次、多渠道的科技投融资体系。设立科技创新投资公司，加大对创新型企业、科技项目研发承接机构的支持力度。支持和引导企业加大研发费用投入，提高企业研究与试验发展经费支出占销售收入比重。引导科技企业上市挂牌融资，鼓励支持企业在上海证券交易所科创板上市，在省股权托管交易中心科技创新专板精选层、科技创新专板培育层和基础层挂牌，实现我区高新技术企业上市融资“零”的突破。完善金融支持创新政策，支持保险机构与创投企业开展合作，鼓励商业银行加大对科技企业信贷投放力度，拓展科技金融供给渠道。完善企业创新风险补偿机制，探索成立区融资担保公司，设立科技型中小企业风险基金池，推广科保贷、助保贷等融资产品，化解在技术开发、成果转化、产业化方面面临</w:t>
      </w:r>
      <w:r>
        <w:rPr>
          <w:rFonts w:hint="default" w:ascii="Times New Roman" w:hAnsi="Times New Roman" w:eastAsia="仿宋_GB2312" w:cs="Times New Roman"/>
          <w:b w:val="0"/>
          <w:color w:val="000000" w:themeColor="text1"/>
          <w:kern w:val="0"/>
          <w:sz w:val="32"/>
          <w:szCs w:val="32"/>
          <w:highlight w:val="none"/>
          <w:shd w:val="clear" w:color="auto" w:fill="FFFFFF"/>
          <w:lang w:val="en-US" w:eastAsia="zh-CN" w:bidi="ar-SA"/>
          <w14:textFill>
            <w14:solidFill>
              <w14:schemeClr w14:val="tx1"/>
            </w14:solidFill>
          </w14:textFill>
        </w:rPr>
        <w:t>的风险</w:t>
      </w:r>
      <w:r>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t>，解决发展过程中融资困难的问题。争取在东部新中心建设瑶海中小企业融资创新示范平台、“政产学研用金”一体化平台等</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科技金融服务平台。到2025年，全社会研发投入强度达到3%以上。</w:t>
      </w:r>
    </w:p>
    <w:tbl>
      <w:tblPr>
        <w:tblStyle w:val="20"/>
        <w:tblpPr w:leftFromText="180" w:rightFromText="180" w:vertAnchor="text" w:horzAnchor="page" w:tblpX="1813" w:tblpY="302"/>
        <w:tblOverlap w:val="never"/>
        <w:tblW w:w="8297" w:type="dxa"/>
        <w:tblInd w:w="0" w:type="dxa"/>
        <w:shd w:val="clear" w:color="auto" w:fill="auto"/>
        <w:tblLayout w:type="fixed"/>
        <w:tblCellMar>
          <w:top w:w="0" w:type="dxa"/>
          <w:left w:w="0" w:type="dxa"/>
          <w:bottom w:w="0" w:type="dxa"/>
          <w:right w:w="0" w:type="dxa"/>
        </w:tblCellMar>
      </w:tblPr>
      <w:tblGrid>
        <w:gridCol w:w="8297"/>
      </w:tblGrid>
      <w:tr>
        <w:tblPrEx>
          <w:shd w:val="clear" w:color="auto" w:fill="auto"/>
          <w:tblCellMar>
            <w:top w:w="0" w:type="dxa"/>
            <w:left w:w="0" w:type="dxa"/>
            <w:bottom w:w="0" w:type="dxa"/>
            <w:right w:w="0" w:type="dxa"/>
          </w:tblCellMar>
        </w:tblPrEx>
        <w:trPr>
          <w:trHeight w:val="567" w:hRule="atLeast"/>
        </w:trPr>
        <w:tc>
          <w:tcPr>
            <w:tcW w:w="8297"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52" w:name="_Toc1729"/>
            <w:r>
              <w:rPr>
                <w:rFonts w:hint="default" w:ascii="Times New Roman" w:hAnsi="Times New Roman" w:eastAsia="黑体" w:cs="Times New Roman"/>
                <w:b w:val="0"/>
                <w:bCs w:val="0"/>
                <w:i w:val="0"/>
                <w:color w:val="000000"/>
                <w:sz w:val="30"/>
                <w:szCs w:val="30"/>
                <w:u w:val="none"/>
                <w:lang w:val="en-US" w:eastAsia="zh-CN"/>
              </w:rPr>
              <w:t>“科银企担”对接行动</w:t>
            </w:r>
            <w:bookmarkEnd w:id="52"/>
          </w:p>
        </w:tc>
      </w:tr>
      <w:tr>
        <w:tblPrEx>
          <w:tblCellMar>
            <w:top w:w="0" w:type="dxa"/>
            <w:left w:w="0" w:type="dxa"/>
            <w:bottom w:w="0" w:type="dxa"/>
            <w:right w:w="0" w:type="dxa"/>
          </w:tblCellMar>
        </w:tblPrEx>
        <w:trPr>
          <w:trHeight w:val="567" w:hRule="atLeast"/>
        </w:trPr>
        <w:tc>
          <w:tcPr>
            <w:tcW w:w="8297"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0" w:firstLineChars="200"/>
              <w:textAlignment w:val="auto"/>
              <w:rPr>
                <w:rFonts w:hint="default" w:ascii="Times New Roman" w:hAnsi="Times New Roman" w:eastAsia="宋体" w:cs="Times New Roman"/>
                <w:i w:val="0"/>
                <w:color w:val="000000"/>
                <w:sz w:val="22"/>
                <w:szCs w:val="22"/>
                <w:u w:val="none"/>
              </w:rPr>
            </w:pPr>
            <w:r>
              <w:rPr>
                <w:rFonts w:hint="default" w:ascii="Times New Roman" w:hAnsi="Times New Roman" w:eastAsia="仿宋_GB2312" w:cs="Times New Roman"/>
                <w:i w:val="0"/>
                <w:color w:val="000000"/>
                <w:sz w:val="28"/>
                <w:szCs w:val="28"/>
                <w:u w:val="none"/>
              </w:rPr>
              <w:t>建立政府引导、企业主导的合作新模式，构建战略合作联盟，促进创新创业人才、高新技术成果、金融资本向企业集聚，实现产业链、创新链、资金链和政策链深度融合</w:t>
            </w:r>
            <w:r>
              <w:rPr>
                <w:rFonts w:hint="default" w:ascii="Times New Roman" w:hAnsi="Times New Roman" w:eastAsia="仿宋_GB2312" w:cs="Times New Roman"/>
                <w:i w:val="0"/>
                <w:color w:val="000000"/>
                <w:sz w:val="28"/>
                <w:szCs w:val="28"/>
                <w:u w:val="none"/>
                <w:lang w:eastAsia="zh-CN"/>
              </w:rPr>
              <w:t>。</w:t>
            </w:r>
            <w:r>
              <w:rPr>
                <w:rFonts w:hint="default" w:ascii="Times New Roman" w:hAnsi="Times New Roman" w:eastAsia="仿宋_GB2312" w:cs="Times New Roman"/>
                <w:i w:val="0"/>
                <w:color w:val="000000"/>
                <w:sz w:val="28"/>
                <w:szCs w:val="28"/>
                <w:u w:val="none"/>
              </w:rPr>
              <w:t>支持引导科技创新投融资交易服务平台建设</w:t>
            </w:r>
            <w:r>
              <w:rPr>
                <w:rFonts w:hint="default" w:ascii="Times New Roman" w:hAnsi="Times New Roman" w:eastAsia="仿宋_GB2312" w:cs="Times New Roman"/>
                <w:i w:val="0"/>
                <w:color w:val="000000"/>
                <w:sz w:val="28"/>
                <w:szCs w:val="28"/>
                <w:u w:val="none"/>
                <w:lang w:eastAsia="zh-CN"/>
              </w:rPr>
              <w:t>，</w:t>
            </w:r>
            <w:r>
              <w:rPr>
                <w:rFonts w:hint="default" w:ascii="Times New Roman" w:hAnsi="Times New Roman" w:eastAsia="仿宋_GB2312" w:cs="Times New Roman"/>
                <w:i w:val="0"/>
                <w:color w:val="000000"/>
                <w:sz w:val="28"/>
                <w:szCs w:val="28"/>
                <w:u w:val="none"/>
              </w:rPr>
              <w:t>推动科技型中小企业孵化、科技成果转化、高新技术产业化。</w:t>
            </w:r>
          </w:p>
        </w:tc>
      </w:tr>
    </w:tbl>
    <w:p>
      <w:pPr>
        <w:pStyle w:val="25"/>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培育创新型企业。</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完善“科技型中小企业—国家高新技术企业—高成长企业”培育链条，</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落实省中小微科技型企业梯度培育计划</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，支持创新型中小微企业成长为技术创新重要发源地，推动产业链上中下游、大中小企业融通创新</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加快</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建立辅导机制，</w:t>
      </w: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安排专人点对点赴重点企业开展辅导工作，鼓励科技企业孵化器（众创空间）以及第三方服务机构开展创新型企业培育工作，定制化开展创新型企业申报工作，提高申报效率。</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实施高新技术企业</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倍增计划</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扶持</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更多企业进入高</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新技术企业</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行列。</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到2025年，</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高新技术企业达</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200</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家</w:t>
      </w: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，年均增长30%以上。</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FF"/>
          <w:sz w:val="32"/>
          <w:szCs w:val="32"/>
          <w:shd w:val="clear" w:color="auto" w:fill="FFFFFF"/>
        </w:rPr>
      </w:pPr>
      <w:bookmarkStart w:id="53" w:name="_Toc27529"/>
      <w:bookmarkStart w:id="54" w:name="_Toc1559"/>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提高产业技术水平</w:t>
      </w:r>
      <w:bookmarkEnd w:id="53"/>
      <w:bookmarkEnd w:id="54"/>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落实科技强国行动纲要和省、市科技创新“攻尖”计划，在实施省科技重大专项、省重大创新工程攻关等计划和重大新兴产业基地建设中力争实现新突破。</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研究制定</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主导产业、“两新”产业和现代服务业</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产业技术路线图，确定产业未来五年技术创新的主要方向、关键技术和突破路径</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引导和支持各类要素向企业集聚</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支持原始创新、集成创新和</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引进消化吸收再创新</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研发一批关键共性技术</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，缓解</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产业数字化、网络化、智能化</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绿色化</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技术约束</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组织实施科技计划项目，加强首台套装备、首批次新材料、首版次软件应用的扶持，</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重点企业和主导产品的技术装备水平处于</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市</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内同行业前列。鼓励创新主体挖掘专利申请潜力，开展企业发明专利</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清零</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行动，提高专利申请量和授权量。</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到</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2025年</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战略性新兴产业、</w:t>
      </w: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高新技术产业产值（营业收入）年均增速均在10%以上，专利申请总量超4000件</w:t>
      </w:r>
      <w:r>
        <w:rPr>
          <w:rFonts w:hint="default" w:ascii="Times New Roman" w:hAnsi="Times New Roman" w:eastAsia="仿宋_GB2312" w:cs="Times New Roman"/>
          <w:sz w:val="32"/>
          <w:szCs w:val="32"/>
          <w:rtl w:val="0"/>
          <w:lang w:val="en-US" w:eastAsia="zh-CN"/>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每万人口</w:t>
      </w:r>
      <w:r>
        <w:rPr>
          <w:rFonts w:hint="eastAsia" w:eastAsia="仿宋_GB2312" w:cs="Times New Roman"/>
          <w:color w:val="000000" w:themeColor="text1"/>
          <w:sz w:val="32"/>
          <w:szCs w:val="32"/>
          <w:shd w:val="clear" w:color="auto" w:fill="FFFFFF"/>
          <w:lang w:val="en-US" w:eastAsia="zh-CN"/>
          <w14:textFill>
            <w14:solidFill>
              <w14:schemeClr w14:val="tx1"/>
            </w14:solidFill>
          </w14:textFill>
        </w:rPr>
        <w:t>高价值</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发明专利拥有量达到1.44件。</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建设高能级的科创平台。</w:t>
      </w: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密切衔接合肥市“一室一中心”建设，深化与中科大长三角科技战略前沿研究中心合作，推动长三角前沿科技孵化平台项目落地，</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把东部新中心建成瑶海科技创新的核心区，把“一谷三基地”建成瑶海科技创新的主平台。提档升级科技企业孵化器、众创空间和工程技术研究中心、企业技术中心，加快建设重点实验室，推动建立长三角物联网科技研究院。到2025年，将都市科技工业园打造成国家级科技企业孵化器，新增市级及以上科技孵化器、众创空间超过5个，在孵企业达100家；企业研发技术平台达到30家。</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加快科技成果转化。</w:t>
      </w: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培养发展技术转移机构和技术经理人，构建重大科研成果技术熟化、产业孵化、企业对接、成果落地全链条转化机制。完善科技成果寻找捕捉机制，建立重大科技成果转化项目库。支持创新型企业联合高校院所共同实施一批重大科技成果工程化研发项目。鼓励新产品新技术示范应用，率先在重点领域试点建设应用场景示范工程。帮助企业搭建企-企、校-企、银-企等之间的交流合作桥梁，深度挖掘长三角区域科技创新关键要素，努力争取科技成果在我区转化，打响瑶海“创新”名片。合力建设长三角科技创新共同体，深度参与长三角成果转移转化示范区建设，共同推进</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G60</w:t>
      </w: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科创走廊建设，共建长三角国家技术创新中心和沪宁合产业创新带。</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实施人才强区行动。</w:t>
      </w: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深入推进“江淮英才”计划，加快由重资产投入向人才投入转变，更新人才政策，优化人才发展环境，建设“高端人才引领、创新人才集聚、基础人才支撑”的结构合理、层次多样的创新人才队伍。围绕产业链、创新链，打造人才链，充分发挥大项目、大企业“引才、聚才、养才”的作用，建立健全人才招引机制。实施人才高地建设工程，推行“领军人才＋团队＋平台”的引进模式，建立高层次人才和紧缺急需人才“一站式”引进制度，引进和培养国际、国内“明星级”行业领军人物、高端创新型人才以及掌握产业核心技术的创新团队。进一步优化人才发展和科技创新奖励政策体系，探索股权投资或债权投入等奖励方式，保证人才引得来留得住。依托创新载体建设，建立企业、科研院所、高校之间良性互动机制的纽带，将创新载体优势转化为引才育才的资源优势。加强科普工作，营造崇尚创新的社会氛围。到2025年，高层次人才团队引进达到10个。</w:t>
      </w:r>
    </w:p>
    <w:tbl>
      <w:tblPr>
        <w:tblStyle w:val="20"/>
        <w:tblpPr w:leftFromText="180" w:rightFromText="180" w:vertAnchor="text" w:horzAnchor="page" w:tblpX="1820" w:tblpY="302"/>
        <w:tblOverlap w:val="never"/>
        <w:tblW w:w="8290" w:type="dxa"/>
        <w:tblInd w:w="0" w:type="dxa"/>
        <w:shd w:val="clear" w:color="auto" w:fill="auto"/>
        <w:tblLayout w:type="fixed"/>
        <w:tblCellMar>
          <w:top w:w="0" w:type="dxa"/>
          <w:left w:w="0" w:type="dxa"/>
          <w:bottom w:w="0" w:type="dxa"/>
          <w:right w:w="0" w:type="dxa"/>
        </w:tblCellMar>
      </w:tblPr>
      <w:tblGrid>
        <w:gridCol w:w="8290"/>
      </w:tblGrid>
      <w:tr>
        <w:tblPrEx>
          <w:shd w:val="clear" w:color="auto" w:fill="auto"/>
          <w:tblCellMar>
            <w:top w:w="0" w:type="dxa"/>
            <w:left w:w="0" w:type="dxa"/>
            <w:bottom w:w="0" w:type="dxa"/>
            <w:right w:w="0" w:type="dxa"/>
          </w:tblCellMar>
        </w:tblPrEx>
        <w:trPr>
          <w:trHeight w:val="624" w:hRule="atLeast"/>
        </w:trPr>
        <w:tc>
          <w:tcPr>
            <w:tcW w:w="829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55" w:name="_Toc17818"/>
            <w:r>
              <w:rPr>
                <w:rFonts w:hint="default" w:ascii="Times New Roman" w:hAnsi="Times New Roman" w:eastAsia="黑体" w:cs="Times New Roman"/>
                <w:b w:val="0"/>
                <w:bCs w:val="0"/>
                <w:i w:val="0"/>
                <w:color w:val="000000"/>
                <w:sz w:val="30"/>
                <w:szCs w:val="30"/>
                <w:highlight w:val="none"/>
                <w:u w:val="none"/>
                <w:lang w:val="en-US" w:eastAsia="zh-CN"/>
              </w:rPr>
              <w:t>科技创新重大工程项目</w:t>
            </w:r>
            <w:bookmarkEnd w:id="55"/>
          </w:p>
        </w:tc>
      </w:tr>
      <w:tr>
        <w:tblPrEx>
          <w:shd w:val="clear" w:color="auto" w:fill="auto"/>
          <w:tblCellMar>
            <w:top w:w="0" w:type="dxa"/>
            <w:left w:w="0" w:type="dxa"/>
            <w:bottom w:w="0" w:type="dxa"/>
            <w:right w:w="0" w:type="dxa"/>
          </w:tblCellMar>
        </w:tblPrEx>
        <w:trPr>
          <w:trHeight w:val="90" w:hRule="atLeast"/>
        </w:trPr>
        <w:tc>
          <w:tcPr>
            <w:tcW w:w="829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7"/>
              <w:keepNext w:val="0"/>
              <w:keepLines w:val="0"/>
              <w:pageBreakBefore w:val="0"/>
              <w:widowControl w:val="0"/>
              <w:kinsoku/>
              <w:wordWrap w:val="0"/>
              <w:overflowPunct/>
              <w:topLinePunct/>
              <w:autoSpaceDE/>
              <w:autoSpaceDN/>
              <w:bidi w:val="0"/>
              <w:adjustRightInd/>
              <w:snapToGrid/>
              <w:spacing w:before="157" w:beforeLines="50" w:line="440" w:lineRule="exact"/>
              <w:textAlignment w:val="auto"/>
              <w:rPr>
                <w:rFonts w:hint="default" w:ascii="Times New Roman" w:hAnsi="Times New Roman" w:eastAsia="仿宋_GB2312" w:cs="Times New Roman"/>
                <w:b w:val="0"/>
                <w:bCs/>
                <w:kern w:val="2"/>
                <w:sz w:val="28"/>
                <w:szCs w:val="28"/>
                <w:lang w:val="en-US" w:eastAsia="zh-CN" w:bidi="ar-SA"/>
              </w:rPr>
            </w:pPr>
            <w:r>
              <w:rPr>
                <w:rFonts w:hint="default" w:ascii="Times New Roman" w:hAnsi="Times New Roman" w:eastAsia="楷体_GB2312" w:cs="Times New Roman"/>
                <w:b/>
                <w:bCs w:val="0"/>
                <w:kern w:val="2"/>
                <w:sz w:val="28"/>
                <w:szCs w:val="28"/>
                <w:lang w:val="en-US" w:eastAsia="zh-CN" w:bidi="ar-SA"/>
              </w:rPr>
              <w:t>科技创新平台项目。</w:t>
            </w:r>
            <w:r>
              <w:rPr>
                <w:rFonts w:hint="default" w:ascii="Times New Roman" w:hAnsi="Times New Roman" w:eastAsia="仿宋_GB2312" w:cs="Times New Roman"/>
                <w:b w:val="0"/>
                <w:bCs/>
                <w:kern w:val="2"/>
                <w:sz w:val="28"/>
                <w:szCs w:val="28"/>
                <w:lang w:val="en-US" w:eastAsia="zh-CN" w:bidi="ar-SA"/>
              </w:rPr>
              <w:t>建设中国系统安徽数字城市研究院，打造都市科技工业园国家级科技企业孵化器、合肥物联网科技产业园国家级众创空间、尚荣大健康产业高新技术企业集聚区，建成长江180文化科技融合发展示范园区；</w:t>
            </w:r>
            <w:r>
              <w:rPr>
                <w:rFonts w:hint="default" w:ascii="Times New Roman" w:hAnsi="Times New Roman" w:eastAsia="仿宋_GB2312" w:cs="Times New Roman"/>
                <w:b w:val="0"/>
                <w:bCs/>
                <w:kern w:val="2"/>
                <w:sz w:val="28"/>
                <w:szCs w:val="28"/>
                <w:highlight w:val="none"/>
                <w:lang w:val="en-US" w:eastAsia="zh-CN" w:bidi="ar-SA"/>
              </w:rPr>
              <w:t>设立长三角科技战略前沿研究院，建成长三角前沿科技成果转化平台。</w:t>
            </w:r>
          </w:p>
          <w:p>
            <w:pPr>
              <w:pStyle w:val="7"/>
              <w:keepNext w:val="0"/>
              <w:keepLines w:val="0"/>
              <w:pageBreakBefore w:val="0"/>
              <w:widowControl w:val="0"/>
              <w:kinsoku/>
              <w:wordWrap w:val="0"/>
              <w:overflowPunct/>
              <w:topLinePunct/>
              <w:autoSpaceDE/>
              <w:autoSpaceDN/>
              <w:bidi w:val="0"/>
              <w:adjustRightInd/>
              <w:snapToGrid/>
              <w:spacing w:line="440" w:lineRule="exact"/>
              <w:textAlignment w:val="auto"/>
              <w:rPr>
                <w:rFonts w:hint="default" w:ascii="Times New Roman" w:hAnsi="Times New Roman" w:eastAsia="仿宋_GB2312" w:cs="Times New Roman"/>
                <w:b w:val="0"/>
                <w:bCs/>
                <w:kern w:val="2"/>
                <w:sz w:val="28"/>
                <w:szCs w:val="28"/>
                <w:lang w:val="en-US" w:eastAsia="zh-CN" w:bidi="ar-SA"/>
              </w:rPr>
            </w:pPr>
            <w:r>
              <w:rPr>
                <w:rFonts w:hint="default" w:ascii="Times New Roman" w:hAnsi="Times New Roman" w:eastAsia="楷体_GB2312" w:cs="Times New Roman"/>
                <w:b/>
                <w:bCs w:val="0"/>
                <w:kern w:val="2"/>
                <w:sz w:val="28"/>
                <w:szCs w:val="28"/>
                <w:lang w:val="en-US" w:eastAsia="zh-CN" w:bidi="ar-SA"/>
              </w:rPr>
              <w:t>产业研发项目。</w:t>
            </w:r>
            <w:r>
              <w:rPr>
                <w:rFonts w:hint="default" w:ascii="Times New Roman" w:hAnsi="Times New Roman" w:eastAsia="仿宋_GB2312" w:cs="Times New Roman"/>
                <w:b w:val="0"/>
                <w:bCs/>
                <w:kern w:val="2"/>
                <w:sz w:val="28"/>
                <w:szCs w:val="28"/>
                <w:lang w:val="en-US" w:eastAsia="zh-CN" w:bidi="ar-SA"/>
              </w:rPr>
              <w:t>实施量子技术工程化开发与应用推广、金融级非接触式融合闪付终端、991B超低频振动等传感器、整车驱动和电机一体化和智能散热排污系统等研发项目。</w:t>
            </w:r>
          </w:p>
          <w:p>
            <w:pPr>
              <w:pStyle w:val="7"/>
              <w:keepNext w:val="0"/>
              <w:keepLines w:val="0"/>
              <w:pageBreakBefore w:val="0"/>
              <w:widowControl w:val="0"/>
              <w:kinsoku/>
              <w:wordWrap w:val="0"/>
              <w:overflowPunct/>
              <w:topLinePunct/>
              <w:autoSpaceDE/>
              <w:autoSpaceDN/>
              <w:bidi w:val="0"/>
              <w:adjustRightInd/>
              <w:snapToGrid/>
              <w:spacing w:after="157" w:afterLines="50" w:line="440" w:lineRule="exact"/>
              <w:ind w:left="0" w:leftChars="0" w:firstLine="562"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b/>
                <w:bCs w:val="0"/>
                <w:kern w:val="2"/>
                <w:sz w:val="28"/>
                <w:szCs w:val="28"/>
                <w:lang w:val="en-US" w:eastAsia="zh-CN" w:bidi="ar-SA"/>
              </w:rPr>
              <w:t>信息化升级项目。</w:t>
            </w:r>
            <w:r>
              <w:rPr>
                <w:rFonts w:hint="default" w:ascii="Times New Roman" w:hAnsi="Times New Roman" w:eastAsia="仿宋_GB2312" w:cs="Times New Roman"/>
                <w:b w:val="0"/>
                <w:bCs/>
                <w:kern w:val="2"/>
                <w:sz w:val="28"/>
                <w:szCs w:val="28"/>
                <w:lang w:val="en-US" w:eastAsia="zh-CN" w:bidi="ar-SA"/>
              </w:rPr>
              <w:t>实施喵客企业销售信息化解决方案、建筑施工企业信息管理系统、“专业级营销+科技服务”平台、智慧园区信息管理平台、智慧校园系统等研发项目。</w:t>
            </w:r>
          </w:p>
        </w:tc>
      </w:tr>
    </w:tbl>
    <w:p>
      <w:pPr>
        <w:pStyle w:val="2"/>
        <w:keepNext/>
        <w:keepLines/>
        <w:pageBreakBefore w:val="0"/>
        <w:widowControl w:val="0"/>
        <w:numPr>
          <w:ilvl w:val="0"/>
          <w:numId w:val="2"/>
        </w:numPr>
        <w:kinsoku/>
        <w:wordWrap/>
        <w:overflowPunct/>
        <w:topLinePunct w:val="0"/>
        <w:autoSpaceDE/>
        <w:autoSpaceDN/>
        <w:bidi w:val="0"/>
        <w:adjustRightInd/>
        <w:snapToGrid/>
        <w:spacing w:before="469" w:beforeLines="150" w:after="50" w:afterLines="50" w:line="560" w:lineRule="exact"/>
        <w:ind w:left="0" w:leftChars="0" w:firstLine="640" w:firstLineChars="200"/>
        <w:jc w:val="left"/>
        <w:textAlignment w:val="auto"/>
        <w:rPr>
          <w:rFonts w:hint="default" w:ascii="Times New Roman" w:hAnsi="Times New Roman" w:eastAsia="黑体" w:cs="Times New Roman"/>
          <w:b w:val="0"/>
          <w:sz w:val="32"/>
          <w:rtl w:val="0"/>
          <w:lang w:val="en-US" w:eastAsia="zh-CN"/>
        </w:rPr>
      </w:pPr>
      <w:bookmarkStart w:id="56" w:name="_Toc4207"/>
      <w:r>
        <w:rPr>
          <w:rFonts w:hint="default" w:ascii="Times New Roman" w:hAnsi="Times New Roman" w:eastAsia="黑体" w:cs="Times New Roman"/>
          <w:b w:val="0"/>
          <w:sz w:val="32"/>
          <w:rtl w:val="0"/>
          <w:lang w:val="en-US" w:eastAsia="zh-CN"/>
        </w:rPr>
        <w:t xml:space="preserve">  </w:t>
      </w:r>
      <w:bookmarkStart w:id="57" w:name="_Toc24404"/>
      <w:bookmarkStart w:id="58" w:name="_Toc20355"/>
      <w:r>
        <w:rPr>
          <w:rFonts w:hint="default" w:ascii="Times New Roman" w:hAnsi="Times New Roman" w:eastAsia="黑体" w:cs="Times New Roman"/>
          <w:b w:val="0"/>
          <w:sz w:val="32"/>
          <w:rtl w:val="0"/>
          <w:lang w:val="en-US" w:eastAsia="zh-CN"/>
        </w:rPr>
        <w:t>以产业链高级化推进产业转型升级  构建区域现代产业体系</w:t>
      </w:r>
      <w:bookmarkEnd w:id="57"/>
      <w:bookmarkEnd w:id="58"/>
    </w:p>
    <w:bookmarkEnd w:id="43"/>
    <w:bookmarkEnd w:id="56"/>
    <w:p>
      <w:pPr>
        <w:pStyle w:val="25"/>
        <w:pageBreakBefore w:val="0"/>
        <w:kinsoku/>
        <w:overflowPunct/>
        <w:autoSpaceDE/>
        <w:autoSpaceDN/>
        <w:bidi w:val="0"/>
        <w:adjustRightInd/>
        <w:spacing w:line="560" w:lineRule="exact"/>
        <w:ind w:firstLine="640"/>
        <w:textAlignment w:val="auto"/>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抢抓合肥市深入实施“2833”地标性产业集群培育工程机遇，坚持产业立区，</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依托</w:t>
      </w:r>
      <w:r>
        <w:rPr>
          <w:rFonts w:hint="default" w:ascii="Times New Roman" w:hAnsi="Times New Roman" w:eastAsia="仿宋_GB2312" w:cs="Times New Roman"/>
          <w:color w:val="000000" w:themeColor="text1"/>
          <w:sz w:val="32"/>
          <w:szCs w:val="32"/>
          <w:shd w:val="clear" w:color="auto" w:fill="FFFFFF"/>
          <w:lang w:val="zh-CN"/>
          <w14:textFill>
            <w14:solidFill>
              <w14:schemeClr w14:val="tx1"/>
            </w14:solidFill>
          </w14:textFill>
        </w:rPr>
        <w:t>“一</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谷三基地</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等产业</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平台载体，</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打好</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产业</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链</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高级化</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攻坚战</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加快推进</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数字产业化</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产业数字化</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打造数字科技创新先行区和数字经济产业集聚区</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持续提升</w:t>
      </w:r>
      <w:r>
        <w:rPr>
          <w:rFonts w:hint="default" w:ascii="Times New Roman" w:hAnsi="Times New Roman" w:eastAsia="仿宋_GB2312" w:cs="Times New Roman"/>
          <w:color w:val="000000" w:themeColor="text1"/>
          <w:sz w:val="32"/>
          <w:szCs w:val="32"/>
          <w:shd w:val="clear" w:color="auto" w:fill="FFFFFF"/>
          <w:lang w:val="zh-CN"/>
          <w14:textFill>
            <w14:solidFill>
              <w14:schemeClr w14:val="tx1"/>
            </w14:solidFill>
          </w14:textFill>
        </w:rPr>
        <w:t>“中国</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网谷</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影响力</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。到2025年，</w:t>
      </w:r>
      <w:r>
        <w:rPr>
          <w:rFonts w:hint="eastAsia" w:eastAsia="仿宋_GB2312" w:cs="Times New Roman"/>
          <w:color w:val="000000" w:themeColor="text1"/>
          <w:sz w:val="32"/>
          <w:szCs w:val="32"/>
          <w:shd w:val="clear" w:color="auto" w:fill="FFFFFF"/>
          <w:lang w:val="en-US" w:eastAsia="zh-CN"/>
          <w14:textFill>
            <w14:solidFill>
              <w14:schemeClr w14:val="tx1"/>
            </w14:solidFill>
          </w14:textFill>
        </w:rPr>
        <w:t>五大主导产业</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产值（营业收入）达到2800亿元</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59" w:name="_Toc16072"/>
      <w:bookmarkStart w:id="60" w:name="_Toc16225"/>
      <w:r>
        <w:rPr>
          <w:rFonts w:hint="default" w:ascii="Times New Roman" w:hAnsi="Times New Roman" w:eastAsia="宋体" w:cs="Times New Roman"/>
          <w:sz w:val="32"/>
          <w:rtl w:val="0"/>
          <w:lang w:val="en-US" w:eastAsia="zh-CN"/>
        </w:rPr>
        <w:t>开展产业链补链固链强链行动</w:t>
      </w:r>
      <w:bookmarkEnd w:id="59"/>
      <w:bookmarkEnd w:id="60"/>
    </w:p>
    <w:p>
      <w:pPr>
        <w:pStyle w:val="25"/>
        <w:pageBreakBefore w:val="0"/>
        <w:kinsoku/>
        <w:overflowPunct/>
        <w:autoSpaceDE/>
        <w:autoSpaceDN/>
        <w:bidi w:val="0"/>
        <w:adjustRightInd/>
        <w:spacing w:line="560" w:lineRule="exact"/>
        <w:ind w:firstLine="640"/>
        <w:textAlignment w:val="auto"/>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开展产业链补链固链强链行动，实施产业链现代化升级行动，推行产业集</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群群</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长制、产业链供应链链长制、产业联盟盟长制，分行业开展供应链战略设计和精准施策，锻造产业链供应链长板</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加强组织联动。</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探索推广区领导担任产业链</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链长</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、龙头企业担任产业链</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链主</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的</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双链</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制度，注重协同配套延链，打好</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补链强链延链</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组合拳，形成上下游产品有机连接、大中小企业分工协作高质量全链条产业发展模式。</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加强规划联动。</w:t>
      </w:r>
      <w:r>
        <w:rPr>
          <w:rFonts w:hint="default" w:ascii="Times New Roman" w:hAnsi="Times New Roman" w:eastAsia="仿宋_GB2312" w:cs="Times New Roman"/>
          <w:bCs/>
          <w:color w:val="000000" w:themeColor="text1"/>
          <w:sz w:val="32"/>
          <w:szCs w:val="32"/>
          <w14:textFill>
            <w14:solidFill>
              <w14:schemeClr w14:val="tx1"/>
            </w14:solidFill>
          </w14:textFill>
        </w:rPr>
        <w:t>高质量编制瑶海产业</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十四五</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发展规划体系，分行业建立</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两</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库三</w:t>
      </w:r>
      <w:r>
        <w:rPr>
          <w:rFonts w:hint="default" w:ascii="Times New Roman" w:hAnsi="Times New Roman" w:eastAsia="仿宋_GB2312" w:cs="Times New Roman"/>
          <w:bCs/>
          <w:color w:val="000000" w:themeColor="text1"/>
          <w:sz w:val="32"/>
          <w:szCs w:val="32"/>
          <w14:textFill>
            <w14:solidFill>
              <w14:schemeClr w14:val="tx1"/>
            </w14:solidFill>
          </w14:textFill>
        </w:rPr>
        <w:t>图</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，即企业库、项目库，产业链</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鱼骨图</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技术路线图</w:t>
      </w:r>
      <w:r>
        <w:rPr>
          <w:rFonts w:hint="default" w:ascii="Times New Roman" w:hAnsi="Times New Roman" w:eastAsia="仿宋_GB2312" w:cs="Times New Roman"/>
          <w:bCs/>
          <w:color w:val="000000" w:themeColor="text1"/>
          <w:sz w:val="32"/>
          <w:szCs w:val="32"/>
          <w14:textFill>
            <w14:solidFill>
              <w14:schemeClr w14:val="tx1"/>
            </w14:solidFill>
          </w14:textFill>
        </w:rPr>
        <w:t>、招商路线图，明确发展目标、方向、路径。</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加强技术联动。</w:t>
      </w:r>
      <w:r>
        <w:rPr>
          <w:rFonts w:hint="default" w:ascii="Times New Roman" w:hAnsi="Times New Roman" w:eastAsia="仿宋_GB2312" w:cs="Times New Roman"/>
          <w:bCs/>
          <w:color w:val="000000" w:themeColor="text1"/>
          <w:sz w:val="32"/>
          <w:szCs w:val="32"/>
          <w14:textFill>
            <w14:solidFill>
              <w14:schemeClr w14:val="tx1"/>
            </w14:solidFill>
          </w14:textFill>
        </w:rPr>
        <w:t>聚焦产业链关键环节，鼓励和支持企业组建联盟进行关键共性技术攻关，合作发起、共同投入、市场导向、自主运作、成果共享、风险分担，着力解决影响产品性能、质量和稳定性的关键共性技术。</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加强信息联动。</w:t>
      </w:r>
      <w:r>
        <w:rPr>
          <w:rFonts w:hint="default" w:ascii="Times New Roman" w:hAnsi="Times New Roman" w:eastAsia="仿宋_GB2312" w:cs="Times New Roman"/>
          <w:bCs/>
          <w:color w:val="000000" w:themeColor="text1"/>
          <w:sz w:val="32"/>
          <w:szCs w:val="32"/>
          <w14:textFill>
            <w14:solidFill>
              <w14:schemeClr w14:val="tx1"/>
            </w14:solidFill>
          </w14:textFill>
        </w:rPr>
        <w:t>推动</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上云用数赋智</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，引导企业加快数字化网络化智能化转型，推进头部企业及核心配套企业通过工业互联网等方式实现数据共享互联互通，上下游企业及时共享计划、经营、库存等信息，降低协作成本、提高协作效率。</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加强政策联动。</w:t>
      </w:r>
      <w:r>
        <w:rPr>
          <w:rFonts w:hint="default" w:ascii="Times New Roman" w:hAnsi="Times New Roman" w:eastAsia="仿宋_GB2312" w:cs="Times New Roman"/>
          <w:bCs/>
          <w:color w:val="000000" w:themeColor="text1"/>
          <w:sz w:val="32"/>
          <w:szCs w:val="32"/>
          <w14:textFill>
            <w14:solidFill>
              <w14:schemeClr w14:val="tx1"/>
            </w14:solidFill>
          </w14:textFill>
        </w:rPr>
        <w:t>强化要素保障，充分发挥资金、人才、技术等资源支撑作用，切实帮助企业解决产业链供应链方面的困难，加快培育新动能。</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bookmarkStart w:id="61" w:name="_Toc25727"/>
      <w:bookmarkStart w:id="62" w:name="_Toc17248"/>
      <w:r>
        <w:rPr>
          <w:rFonts w:hint="default" w:ascii="Times New Roman" w:hAnsi="Times New Roman" w:eastAsia="宋体" w:cs="Times New Roman"/>
          <w:sz w:val="32"/>
          <w:rtl w:val="0"/>
          <w:lang w:val="en-US" w:eastAsia="zh-CN"/>
        </w:rPr>
        <w:t xml:space="preserve"> </w:t>
      </w:r>
      <w:bookmarkStart w:id="63" w:name="_Toc11746"/>
      <w:bookmarkStart w:id="64" w:name="_Toc19513"/>
      <w:r>
        <w:rPr>
          <w:rFonts w:hint="default" w:ascii="Times New Roman" w:hAnsi="Times New Roman" w:eastAsia="宋体" w:cs="Times New Roman"/>
          <w:sz w:val="32"/>
          <w:rtl w:val="0"/>
          <w:lang w:val="en-US" w:eastAsia="zh-CN"/>
        </w:rPr>
        <w:t>大力发展新一代信息技术产业</w:t>
      </w:r>
      <w:bookmarkEnd w:id="63"/>
      <w:bookmarkEnd w:id="64"/>
    </w:p>
    <w:p>
      <w:pPr>
        <w:pStyle w:val="7"/>
        <w:keepNext w:val="0"/>
        <w:keepLines w:val="0"/>
        <w:pageBreakBefore w:val="0"/>
        <w:widowControl w:val="0"/>
        <w:kinsoku/>
        <w:wordWrap w:val="0"/>
        <w:overflowPunct/>
        <w:topLinePunct/>
        <w:autoSpaceDE/>
        <w:autoSpaceDN/>
        <w:bidi w:val="0"/>
        <w:adjustRightInd/>
        <w:snapToGrid/>
        <w:spacing w:line="560" w:lineRule="exact"/>
        <w:textAlignment w:val="auto"/>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以</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G60</w:t>
      </w:r>
      <w:r>
        <w:rPr>
          <w:rFonts w:hint="default" w:ascii="Times New Roman" w:hAnsi="Times New Roman" w:eastAsia="仿宋_GB2312" w:cs="Times New Roman"/>
          <w:bCs/>
          <w:color w:val="000000" w:themeColor="text1"/>
          <w:sz w:val="32"/>
          <w:szCs w:val="32"/>
          <w14:textFill>
            <w14:solidFill>
              <w14:schemeClr w14:val="tx1"/>
            </w14:solidFill>
          </w14:textFill>
        </w:rPr>
        <w:t>科创走廊产业合作示范园（物联网）为主要载体，充分发挥</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中国网谷</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品牌影响力，强化物联网公共服务平台建设。</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到2025年，以物联网为主体的新一代信息技术产业产值达到300亿元，</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争创</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数字经济创新</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发展</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试验区</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p>
    <w:p>
      <w:pPr>
        <w:pStyle w:val="7"/>
        <w:keepNext w:val="0"/>
        <w:keepLines w:val="0"/>
        <w:pageBreakBefore w:val="0"/>
        <w:widowControl w:val="0"/>
        <w:kinsoku/>
        <w:wordWrap w:val="0"/>
        <w:overflowPunct/>
        <w:topLinePunct/>
        <w:autoSpaceDE/>
        <w:autoSpaceDN/>
        <w:bidi w:val="0"/>
        <w:adjustRightInd/>
        <w:snapToGrid/>
        <w:spacing w:line="560" w:lineRule="exact"/>
        <w:textAlignment w:val="auto"/>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物联网产业。</w:t>
      </w:r>
      <w:r>
        <w:rPr>
          <w:rFonts w:hint="default" w:ascii="Times New Roman" w:hAnsi="Times New Roman" w:eastAsia="仿宋_GB2312" w:cs="Times New Roman"/>
          <w:bCs/>
          <w:color w:val="000000" w:themeColor="text1"/>
          <w:sz w:val="32"/>
          <w:szCs w:val="32"/>
          <w:rtl w:val="0"/>
          <w:lang w:val="en-US" w:eastAsia="zh-CN"/>
          <w14:textFill>
            <w14:solidFill>
              <w14:schemeClr w14:val="tx1"/>
            </w14:solidFill>
          </w14:textFill>
        </w:rPr>
        <w:t>瞄准建成</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全省领先的物联网技术创新区、物联网应用示范区和物联网产业集聚区，积极发展传感器和5G通信核心器件、5G通信芯片、5G智能终端等产品，大力发展芯片设计、模块研发、系统集成、运营服务等高科技服务业，引进终端生产商、软件制造商、系统集成商、应用服务商等行业头部企业，打造物联网产业生态圈。开展超高频射频识别、有源射频识别技术的研究，开发多功能、多接口、多制式射频识别模块。支持骨干企业发展微机电系统技术，研制通信、医疗、消费电子产品等领域的微传感器、微执行器、微结构等移动、嵌入设备。</w:t>
      </w:r>
    </w:p>
    <w:p>
      <w:pPr>
        <w:pStyle w:val="7"/>
        <w:keepNext w:val="0"/>
        <w:keepLines w:val="0"/>
        <w:pageBreakBefore w:val="0"/>
        <w:widowControl w:val="0"/>
        <w:kinsoku/>
        <w:wordWrap w:val="0"/>
        <w:overflowPunct/>
        <w:topLinePunct/>
        <w:autoSpaceDE/>
        <w:autoSpaceDN/>
        <w:bidi w:val="0"/>
        <w:adjustRightInd/>
        <w:snapToGrid/>
        <w:spacing w:line="560" w:lineRule="exact"/>
        <w:textAlignment w:val="auto"/>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大数据产业。</w:t>
      </w:r>
      <w:r>
        <w:rPr>
          <w:rFonts w:hint="default" w:ascii="Times New Roman" w:hAnsi="Times New Roman" w:eastAsia="仿宋_GB2312" w:cs="Times New Roman"/>
          <w:sz w:val="32"/>
          <w:szCs w:val="32"/>
        </w:rPr>
        <w:t>依托</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数字瑶海，智慧新城</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建设，</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对接国内外优势骨干企业战略布局，</w:t>
      </w:r>
      <w:r>
        <w:rPr>
          <w:rFonts w:hint="default" w:ascii="Times New Roman" w:hAnsi="Times New Roman" w:eastAsia="仿宋_GB2312" w:cs="Times New Roman"/>
          <w:sz w:val="32"/>
          <w:szCs w:val="32"/>
        </w:rPr>
        <w:t>面向城市治理、民生服务、产业发展等需求，</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围绕数据存储、分析、应用和终端产品制造等大数据产业链环节，吸引数据分析、咨询、应用等企业入驻，发展数据库建设、数据处理、数据交换、数据安全等产业。</w:t>
      </w:r>
    </w:p>
    <w:p>
      <w:pPr>
        <w:pStyle w:val="7"/>
        <w:keepNext w:val="0"/>
        <w:keepLines w:val="0"/>
        <w:pageBreakBefore w:val="0"/>
        <w:widowControl w:val="0"/>
        <w:kinsoku/>
        <w:wordWrap w:val="0"/>
        <w:overflowPunct/>
        <w:topLinePunct/>
        <w:autoSpaceDE/>
        <w:autoSpaceDN/>
        <w:bidi w:val="0"/>
        <w:adjustRightInd/>
        <w:snapToGrid/>
        <w:spacing w:line="560" w:lineRule="exact"/>
        <w:textAlignment w:val="auto"/>
        <w:rPr>
          <w:rFonts w:hint="default" w:ascii="Times New Roman" w:hAnsi="Times New Roman" w:cs="Times New Roman"/>
          <w:lang w:eastAsia="zh-CN"/>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云计算产业。</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加快建设东部新中心政务云计算中心，提升“基础云”；建设一批高质量的行业公共云服务平台和中小企业云平台，拓展“平台云”；丰富动漫渲染、新制造、电子商务、呼叫服务、手机游戏、网红经济、电子竞技、VR、AR等业态，做大“应用云”。</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深</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入推进“皖企登云”和企业“上</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云用</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数赋智</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行动，</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赋能企业发展。</w:t>
      </w:r>
    </w:p>
    <w:tbl>
      <w:tblPr>
        <w:tblStyle w:val="20"/>
        <w:tblpPr w:leftFromText="180" w:rightFromText="180" w:vertAnchor="text" w:horzAnchor="page" w:tblpX="1809" w:tblpY="302"/>
        <w:tblOverlap w:val="never"/>
        <w:tblW w:w="8301" w:type="dxa"/>
        <w:tblInd w:w="0" w:type="dxa"/>
        <w:shd w:val="clear" w:color="auto" w:fill="auto"/>
        <w:tblLayout w:type="fixed"/>
        <w:tblCellMar>
          <w:top w:w="0" w:type="dxa"/>
          <w:left w:w="0" w:type="dxa"/>
          <w:bottom w:w="0" w:type="dxa"/>
          <w:right w:w="0" w:type="dxa"/>
        </w:tblCellMar>
      </w:tblPr>
      <w:tblGrid>
        <w:gridCol w:w="8301"/>
      </w:tblGrid>
      <w:tr>
        <w:tblPrEx>
          <w:shd w:val="clear" w:color="auto" w:fill="auto"/>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65" w:name="_Toc19307"/>
            <w:r>
              <w:rPr>
                <w:rFonts w:hint="default" w:ascii="Times New Roman" w:hAnsi="Times New Roman" w:eastAsia="黑体" w:cs="Times New Roman"/>
                <w:b w:val="0"/>
                <w:bCs w:val="0"/>
                <w:i w:val="0"/>
                <w:color w:val="000000"/>
                <w:sz w:val="30"/>
                <w:szCs w:val="30"/>
                <w:u w:val="none"/>
                <w:lang w:val="en-US" w:eastAsia="zh-CN"/>
              </w:rPr>
              <w:t>皖企登云行动计划</w:t>
            </w:r>
            <w:bookmarkEnd w:id="65"/>
          </w:p>
        </w:tc>
      </w:tr>
      <w:tr>
        <w:tblPrEx>
          <w:tblCellMar>
            <w:top w:w="0" w:type="dxa"/>
            <w:left w:w="0" w:type="dxa"/>
            <w:bottom w:w="0" w:type="dxa"/>
            <w:right w:w="0" w:type="dxa"/>
          </w:tblCellMar>
        </w:tblPrEx>
        <w:trPr>
          <w:trHeight w:val="624"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0" w:firstLineChars="200"/>
              <w:textAlignment w:val="auto"/>
              <w:rPr>
                <w:rFonts w:hint="default" w:ascii="Times New Roman" w:hAnsi="Times New Roman" w:eastAsia="宋体" w:cs="Times New Roman"/>
                <w:lang w:eastAsia="zh-CN"/>
              </w:rPr>
            </w:pPr>
            <w:r>
              <w:rPr>
                <w:rFonts w:hint="default" w:ascii="Times New Roman" w:hAnsi="Times New Roman" w:eastAsia="仿宋_GB2312" w:cs="Times New Roman"/>
                <w:i w:val="0"/>
                <w:caps w:val="0"/>
                <w:color w:val="auto"/>
                <w:spacing w:val="0"/>
                <w:sz w:val="28"/>
                <w:szCs w:val="28"/>
                <w:lang w:val="en-US" w:eastAsia="zh-CN"/>
              </w:rPr>
              <w:t>利用</w:t>
            </w:r>
            <w:r>
              <w:rPr>
                <w:rFonts w:hint="default" w:ascii="Times New Roman" w:hAnsi="Times New Roman" w:eastAsia="仿宋_GB2312" w:cs="Times New Roman"/>
                <w:i w:val="0"/>
                <w:caps w:val="0"/>
                <w:color w:val="auto"/>
                <w:spacing w:val="0"/>
                <w:sz w:val="28"/>
                <w:szCs w:val="28"/>
              </w:rPr>
              <w:t>我省支持重点行业骨干企业与互联网企业、电信运营商合作建设工业云平台</w:t>
            </w:r>
            <w:r>
              <w:rPr>
                <w:rFonts w:hint="default" w:ascii="Times New Roman" w:hAnsi="Times New Roman" w:eastAsia="仿宋_GB2312" w:cs="Times New Roman"/>
                <w:i w:val="0"/>
                <w:caps w:val="0"/>
                <w:color w:val="auto"/>
                <w:spacing w:val="0"/>
                <w:sz w:val="28"/>
                <w:szCs w:val="28"/>
                <w:lang w:val="en-US" w:eastAsia="zh-CN"/>
              </w:rPr>
              <w:t>政策机遇</w:t>
            </w:r>
            <w:r>
              <w:rPr>
                <w:rFonts w:hint="default" w:ascii="Times New Roman" w:hAnsi="Times New Roman" w:eastAsia="仿宋_GB2312" w:cs="Times New Roman"/>
                <w:i w:val="0"/>
                <w:caps w:val="0"/>
                <w:color w:val="auto"/>
                <w:spacing w:val="0"/>
                <w:sz w:val="28"/>
                <w:szCs w:val="28"/>
              </w:rPr>
              <w:t>，</w:t>
            </w:r>
            <w:r>
              <w:rPr>
                <w:rFonts w:hint="default" w:ascii="Times New Roman" w:hAnsi="Times New Roman" w:eastAsia="仿宋_GB2312" w:cs="Times New Roman"/>
                <w:i w:val="0"/>
                <w:caps w:val="0"/>
                <w:color w:val="auto"/>
                <w:spacing w:val="0"/>
                <w:sz w:val="28"/>
                <w:szCs w:val="28"/>
                <w:lang w:val="en-US" w:eastAsia="zh-CN"/>
              </w:rPr>
              <w:t>出台配套政策，</w:t>
            </w:r>
            <w:r>
              <w:rPr>
                <w:rFonts w:hint="default" w:ascii="Times New Roman" w:hAnsi="Times New Roman" w:eastAsia="仿宋_GB2312" w:cs="Times New Roman"/>
                <w:i w:val="0"/>
                <w:caps w:val="0"/>
                <w:color w:val="auto"/>
                <w:spacing w:val="0"/>
                <w:sz w:val="28"/>
                <w:szCs w:val="28"/>
              </w:rPr>
              <w:t>支持企业、科研院所等开展合作，研发工业</w:t>
            </w:r>
            <w:r>
              <w:rPr>
                <w:rFonts w:hint="default" w:ascii="Times New Roman" w:hAnsi="Times New Roman" w:eastAsia="仿宋_GB2312" w:cs="Times New Roman"/>
                <w:i w:val="0"/>
                <w:caps w:val="0"/>
                <w:color w:val="auto"/>
                <w:spacing w:val="0"/>
                <w:sz w:val="28"/>
                <w:szCs w:val="28"/>
                <w:highlight w:val="none"/>
                <w:lang w:eastAsia="zh-CN"/>
              </w:rPr>
              <w:t>App</w:t>
            </w:r>
            <w:r>
              <w:rPr>
                <w:rFonts w:hint="default" w:ascii="Times New Roman" w:hAnsi="Times New Roman" w:eastAsia="仿宋_GB2312" w:cs="Times New Roman"/>
                <w:i w:val="0"/>
                <w:caps w:val="0"/>
                <w:color w:val="auto"/>
                <w:spacing w:val="0"/>
                <w:sz w:val="28"/>
                <w:szCs w:val="28"/>
                <w:lang w:eastAsia="zh-CN"/>
              </w:rPr>
              <w:t>，</w:t>
            </w:r>
            <w:r>
              <w:rPr>
                <w:rFonts w:hint="default" w:ascii="Times New Roman" w:hAnsi="Times New Roman" w:eastAsia="仿宋_GB2312" w:cs="Times New Roman"/>
                <w:i w:val="0"/>
                <w:caps w:val="0"/>
                <w:color w:val="auto"/>
                <w:spacing w:val="0"/>
                <w:sz w:val="28"/>
                <w:szCs w:val="28"/>
              </w:rPr>
              <w:t>促进云服务机构发展</w:t>
            </w:r>
            <w:r>
              <w:rPr>
                <w:rFonts w:hint="default" w:ascii="Times New Roman" w:hAnsi="Times New Roman" w:eastAsia="仿宋_GB2312" w:cs="Times New Roman"/>
                <w:i w:val="0"/>
                <w:caps w:val="0"/>
                <w:color w:val="auto"/>
                <w:spacing w:val="0"/>
                <w:sz w:val="28"/>
                <w:szCs w:val="28"/>
                <w:lang w:eastAsia="zh-CN"/>
              </w:rPr>
              <w:t>，</w:t>
            </w:r>
            <w:r>
              <w:rPr>
                <w:rFonts w:hint="default" w:ascii="Times New Roman" w:hAnsi="Times New Roman" w:eastAsia="仿宋_GB2312" w:cs="Times New Roman"/>
                <w:i w:val="0"/>
                <w:caps w:val="0"/>
                <w:color w:val="auto"/>
                <w:spacing w:val="0"/>
                <w:sz w:val="28"/>
                <w:szCs w:val="28"/>
              </w:rPr>
              <w:t>支持云服务创新创业</w:t>
            </w:r>
            <w:r>
              <w:rPr>
                <w:rFonts w:hint="default" w:ascii="Times New Roman" w:hAnsi="Times New Roman" w:eastAsia="仿宋_GB2312" w:cs="Times New Roman"/>
                <w:i w:val="0"/>
                <w:caps w:val="0"/>
                <w:color w:val="auto"/>
                <w:spacing w:val="0"/>
                <w:sz w:val="28"/>
                <w:szCs w:val="28"/>
                <w:lang w:val="en-US" w:eastAsia="zh-CN"/>
              </w:rPr>
              <w:t>等</w:t>
            </w:r>
            <w:r>
              <w:rPr>
                <w:rFonts w:hint="default" w:ascii="Times New Roman" w:hAnsi="Times New Roman" w:eastAsia="仿宋_GB2312" w:cs="Times New Roman"/>
                <w:b w:val="0"/>
                <w:bCs/>
                <w:color w:val="auto"/>
                <w:sz w:val="28"/>
                <w:szCs w:val="28"/>
                <w:highlight w:val="none"/>
                <w:rtl w:val="0"/>
                <w:lang w:val="en-US" w:eastAsia="zh-CN"/>
              </w:rPr>
              <w:t>。</w:t>
            </w:r>
          </w:p>
        </w:tc>
      </w:tr>
    </w:tbl>
    <w:p>
      <w:pPr>
        <w:pStyle w:val="7"/>
        <w:keepNext w:val="0"/>
        <w:keepLines w:val="0"/>
        <w:pageBreakBefore w:val="0"/>
        <w:widowControl w:val="0"/>
        <w:kinsoku/>
        <w:wordWrap w:val="0"/>
        <w:overflowPunct/>
        <w:topLinePunct/>
        <w:autoSpaceDE/>
        <w:autoSpaceDN/>
        <w:bidi w:val="0"/>
        <w:adjustRightInd/>
        <w:snapToGrid/>
        <w:spacing w:before="157" w:beforeLines="50" w:line="560" w:lineRule="exact"/>
        <w:textAlignment w:val="auto"/>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量子信息产业。</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加强与中科大、量子信息与量子科技创新研究院、中科院量子信息重点实验室等高校院所合作，重点发展量子通信、量子计算和量子精密测量等产业，探索“量子+”新模式。</w:t>
      </w:r>
    </w:p>
    <w:p>
      <w:pPr>
        <w:pStyle w:val="7"/>
        <w:keepNext w:val="0"/>
        <w:keepLines w:val="0"/>
        <w:pageBreakBefore w:val="0"/>
        <w:widowControl w:val="0"/>
        <w:kinsoku/>
        <w:wordWrap w:val="0"/>
        <w:overflowPunct/>
        <w:topLinePunct/>
        <w:autoSpaceDE/>
        <w:autoSpaceDN/>
        <w:bidi w:val="0"/>
        <w:adjustRightInd/>
        <w:snapToGrid/>
        <w:spacing w:after="157" w:afterLines="50" w:line="560" w:lineRule="exact"/>
        <w:textAlignment w:val="auto"/>
        <w:rPr>
          <w:rFonts w:hint="default" w:ascii="Times New Roman" w:hAnsi="Times New Roman" w:cs="Times New Roman"/>
          <w:lang w:val="en-US" w:eastAsia="zh-CN"/>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人工智能产业。</w:t>
      </w:r>
      <w:r>
        <w:rPr>
          <w:rFonts w:hint="default" w:ascii="Times New Roman" w:hAnsi="Times New Roman" w:eastAsia="仿宋_GB2312" w:cs="Times New Roman"/>
          <w:sz w:val="32"/>
          <w:szCs w:val="32"/>
        </w:rPr>
        <w:t>抢抓合肥建设国家新一代人工智能创新发展试验区重要机遇，</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结合物联网、大数据、云计算、量子信息等产业生态圈培育，</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实施人工智能产业创新工程、“人工智能+”应用示范工程，</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提前布局类脑科学等前沿领域，加快吸引自主无人系统、智能计算芯片与系统等关键技术落户瑶海，</w:t>
      </w:r>
      <w:r>
        <w:rPr>
          <w:rFonts w:hint="default" w:ascii="Times New Roman" w:hAnsi="Times New Roman" w:eastAsia="仿宋_GB2312" w:cs="Times New Roman"/>
          <w:sz w:val="32"/>
          <w:szCs w:val="32"/>
        </w:rPr>
        <w:t>加速聚集人工智能龙头企业，</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推动人工智能技术产业化。</w:t>
      </w:r>
    </w:p>
    <w:p>
      <w:pPr>
        <w:pStyle w:val="3"/>
        <w:keepNext w:val="0"/>
        <w:keepLines w:val="0"/>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66" w:name="_Toc5746"/>
      <w:bookmarkStart w:id="67" w:name="_Toc14146"/>
      <w:r>
        <w:rPr>
          <w:rFonts w:hint="default" w:ascii="Times New Roman" w:hAnsi="Times New Roman" w:eastAsia="宋体" w:cs="Times New Roman"/>
          <w:sz w:val="32"/>
          <w:rtl w:val="0"/>
          <w:lang w:val="en-US" w:eastAsia="zh-CN"/>
        </w:rPr>
        <w:t>推动金融商贸转型</w:t>
      </w:r>
      <w:bookmarkEnd w:id="61"/>
      <w:bookmarkEnd w:id="62"/>
      <w:r>
        <w:rPr>
          <w:rFonts w:hint="default" w:ascii="Times New Roman" w:hAnsi="Times New Roman" w:eastAsia="宋体" w:cs="Times New Roman"/>
          <w:sz w:val="32"/>
          <w:rtl w:val="0"/>
          <w:lang w:val="en-US" w:eastAsia="zh-CN"/>
        </w:rPr>
        <w:t>升级</w:t>
      </w:r>
      <w:bookmarkEnd w:id="66"/>
      <w:bookmarkEnd w:id="67"/>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抢抓合肥市建设长三角现代服务业中心机遇，以金融创新、商贸转型为主题，推动金融与科技融合、商贸与文化集成，培育和建成一批具有鲜明地方特色的优势服务业集群（集聚区）。到2025年，金融商贸服务业营业收入超过1000亿元。</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加快金融与科技融合步伐。</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实施瑶海科技金融企业培育计划，加大金融创新力度，大力发展消费金融和大健康金融，增强金融服务实体经济的能力与效率，支持实体经济转型升级。</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对</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坝上街环球金融中心等楼</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宇进行分类指导，着力提升</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东方大厦</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、海汇大厦</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等楼</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宇承载力</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，吸引各类金融机构加速集聚</w:t>
      </w:r>
      <w:r>
        <w:rPr>
          <w:rFonts w:hint="eastAsia"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服务于科技兴区战略，推动金融与科技融合发展，加大金融业态创新和服务模式创新，着力解决科技创新要素瓶颈约束，在</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东部新中心打造特色鲜明、配套完善的科技金融集聚区。到2025年，金融业增加值突破1</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0亿元，年均增长达8%以上，占服务业</w:t>
      </w:r>
      <w:r>
        <w:rPr>
          <w:rFonts w:hint="eastAsia" w:eastAsia="仿宋_GB2312" w:cs="Times New Roman"/>
          <w:color w:val="000000" w:themeColor="text1"/>
          <w:sz w:val="32"/>
          <w:szCs w:val="32"/>
          <w:shd w:val="clear" w:color="auto" w:fill="FFFFFF"/>
          <w:lang w:val="en-US" w:eastAsia="zh-CN"/>
          <w14:textFill>
            <w14:solidFill>
              <w14:schemeClr w14:val="tx1"/>
            </w14:solidFill>
          </w14:textFill>
        </w:rPr>
        <w:t>增加</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值比重达2</w:t>
      </w:r>
      <w:r>
        <w:rPr>
          <w:rFonts w:hint="eastAsia" w:eastAsia="仿宋_GB2312" w:cs="Times New Roman"/>
          <w:color w:val="000000" w:themeColor="text1"/>
          <w:sz w:val="32"/>
          <w:szCs w:val="32"/>
          <w:shd w:val="clear" w:color="auto" w:fill="FFFFFF"/>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%以上，占地区生产总值的比重达15%以上</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税收占比</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达</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8%</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以上</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w:t>
      </w:r>
    </w:p>
    <w:tbl>
      <w:tblPr>
        <w:tblStyle w:val="20"/>
        <w:tblpPr w:leftFromText="180" w:rightFromText="180" w:vertAnchor="text" w:horzAnchor="page" w:tblpX="1820" w:tblpY="302"/>
        <w:tblOverlap w:val="never"/>
        <w:tblW w:w="8295" w:type="dxa"/>
        <w:tblInd w:w="0" w:type="dxa"/>
        <w:shd w:val="clear" w:color="auto" w:fill="auto"/>
        <w:tblLayout w:type="fixed"/>
        <w:tblCellMar>
          <w:top w:w="0" w:type="dxa"/>
          <w:left w:w="0" w:type="dxa"/>
          <w:bottom w:w="0" w:type="dxa"/>
          <w:right w:w="0" w:type="dxa"/>
        </w:tblCellMar>
      </w:tblPr>
      <w:tblGrid>
        <w:gridCol w:w="8295"/>
      </w:tblGrid>
      <w:tr>
        <w:trPr>
          <w:trHeight w:val="567" w:hRule="atLeast"/>
        </w:trPr>
        <w:tc>
          <w:tcPr>
            <w:tcW w:w="829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68" w:name="_Toc24053"/>
            <w:r>
              <w:rPr>
                <w:rFonts w:hint="default" w:ascii="Times New Roman" w:hAnsi="Times New Roman" w:eastAsia="黑体" w:cs="Times New Roman"/>
                <w:b w:val="0"/>
                <w:bCs w:val="0"/>
                <w:sz w:val="28"/>
                <w:szCs w:val="36"/>
                <w:vertAlign w:val="baseline"/>
                <w:lang w:val="en-US" w:eastAsia="zh-CN"/>
              </w:rPr>
              <w:t>科技金融企业培育计划</w:t>
            </w:r>
            <w:bookmarkEnd w:id="68"/>
          </w:p>
        </w:tc>
      </w:tr>
      <w:tr>
        <w:tblPrEx>
          <w:shd w:val="clear" w:color="auto" w:fill="auto"/>
        </w:tblPrEx>
        <w:trPr>
          <w:trHeight w:val="90" w:hRule="atLeast"/>
        </w:trPr>
        <w:tc>
          <w:tcPr>
            <w:tcW w:w="829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0" w:firstLineChars="200"/>
              <w:textAlignment w:val="auto"/>
              <w:rPr>
                <w:rFonts w:hint="default" w:ascii="Times New Roman" w:hAnsi="Times New Roman" w:eastAsia="宋体" w:cs="Times New Roman"/>
                <w:i w:val="0"/>
                <w:color w:val="000000"/>
                <w:sz w:val="22"/>
                <w:szCs w:val="22"/>
                <w:u w:val="none"/>
                <w:lang w:val="en-US"/>
              </w:rPr>
            </w:pPr>
            <w:r>
              <w:rPr>
                <w:rFonts w:hint="default" w:ascii="Times New Roman" w:hAnsi="Times New Roman" w:eastAsia="仿宋_GB2312" w:cs="Times New Roman"/>
                <w:color w:val="000000" w:themeColor="text1"/>
                <w:kern w:val="0"/>
                <w:sz w:val="28"/>
                <w:szCs w:val="28"/>
                <w:shd w:val="clear" w:color="auto" w:fill="FFFFFF"/>
                <w:lang w:val="en-US" w:eastAsia="zh-CN" w:bidi="ar-SA"/>
                <w14:textFill>
                  <w14:solidFill>
                    <w14:schemeClr w14:val="tx1"/>
                  </w14:solidFill>
                </w14:textFill>
              </w:rPr>
              <w:t>整合保险、投资、资管、金融科技等多种金融资源，依托安徽银通物联等优质互联网企业科技优势，完善金融协作机制，重点跟进金融产业园等项目，加快培育金融科技企业。力争到2025年形成3-5家国内知名的科技金融领军企业，形成监管科技、智能金融等具有影响力的金融科技创新集群，在金融服务、安全监管、生活服务和城市治理等领域开展5-50个金融科技重大示范应用项目。</w:t>
            </w:r>
          </w:p>
        </w:tc>
      </w:tr>
    </w:tbl>
    <w:p>
      <w:pPr>
        <w:pStyle w:val="25"/>
        <w:keepNext w:val="0"/>
        <w:keepLines w:val="0"/>
        <w:pageBreakBefore w:val="0"/>
        <w:widowControl w:val="0"/>
        <w:numPr>
          <w:ilvl w:val="0"/>
          <w:numId w:val="0"/>
        </w:numPr>
        <w:kinsoku/>
        <w:wordWrap/>
        <w:overflowPunct/>
        <w:topLinePunct w:val="0"/>
        <w:autoSpaceDE/>
        <w:autoSpaceDN/>
        <w:bidi w:val="0"/>
        <w:adjustRightInd/>
        <w:snapToGrid/>
        <w:spacing w:before="157" w:beforeLines="50"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加快商贸服务业转型升级步伐。</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按照</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布局合理、重点突出、彰显特色、集聚发展</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的原则，</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突出引入新业态，推动线上线下深度融合，</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加快构建</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一横两纵三条经济发展带、三个市级商业副中心、四大商圈</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的</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1234</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现代商贸流通业发展格局</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打造支撑区域性高效率流通的节点</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。实施</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“商贸服务业</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双千</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培育工程，</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到</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2025年，</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批零住餐四行业销售额（营业额）达到1000亿元以上，全区专业市场交易额达到1000亿元以上。</w:t>
      </w:r>
    </w:p>
    <w:tbl>
      <w:tblPr>
        <w:tblStyle w:val="20"/>
        <w:tblpPr w:leftFromText="180" w:rightFromText="180" w:vertAnchor="text" w:horzAnchor="page" w:tblpX="1805" w:tblpY="302"/>
        <w:tblOverlap w:val="never"/>
        <w:tblW w:w="8305" w:type="dxa"/>
        <w:tblInd w:w="0" w:type="dxa"/>
        <w:shd w:val="clear" w:color="auto" w:fill="auto"/>
        <w:tblLayout w:type="fixed"/>
        <w:tblCellMar>
          <w:top w:w="0" w:type="dxa"/>
          <w:left w:w="0" w:type="dxa"/>
          <w:bottom w:w="0" w:type="dxa"/>
          <w:right w:w="0" w:type="dxa"/>
        </w:tblCellMar>
      </w:tblPr>
      <w:tblGrid>
        <w:gridCol w:w="8305"/>
      </w:tblGrid>
      <w:tr>
        <w:tblPrEx>
          <w:shd w:val="clear" w:color="auto" w:fill="auto"/>
          <w:tblCellMar>
            <w:top w:w="0" w:type="dxa"/>
            <w:left w:w="0" w:type="dxa"/>
            <w:bottom w:w="0" w:type="dxa"/>
            <w:right w:w="0" w:type="dxa"/>
          </w:tblCellMar>
        </w:tblPrEx>
        <w:trPr>
          <w:trHeight w:val="567" w:hRule="atLeast"/>
        </w:trPr>
        <w:tc>
          <w:tcPr>
            <w:tcW w:w="830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69" w:name="_Toc18009"/>
            <w:r>
              <w:rPr>
                <w:rFonts w:hint="default" w:ascii="Times New Roman" w:hAnsi="Times New Roman" w:eastAsia="黑体" w:cs="Times New Roman"/>
                <w:b w:val="0"/>
                <w:bCs w:val="0"/>
                <w:sz w:val="28"/>
                <w:szCs w:val="36"/>
                <w:vertAlign w:val="baseline"/>
                <w:lang w:val="en-US" w:eastAsia="zh-CN"/>
              </w:rPr>
              <w:t>商贸服务业发展布局优化工程</w:t>
            </w:r>
            <w:bookmarkEnd w:id="69"/>
          </w:p>
        </w:tc>
      </w:tr>
      <w:tr>
        <w:tblPrEx>
          <w:shd w:val="clear" w:color="auto" w:fill="auto"/>
          <w:tblCellMar>
            <w:top w:w="0" w:type="dxa"/>
            <w:left w:w="0" w:type="dxa"/>
            <w:bottom w:w="0" w:type="dxa"/>
            <w:right w:w="0" w:type="dxa"/>
          </w:tblCellMar>
        </w:tblPrEx>
        <w:trPr>
          <w:trHeight w:val="90" w:hRule="atLeast"/>
        </w:trPr>
        <w:tc>
          <w:tcPr>
            <w:tcW w:w="830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line="440" w:lineRule="exact"/>
              <w:ind w:firstLine="560" w:firstLineChars="200"/>
              <w:textAlignment w:val="auto"/>
              <w:rPr>
                <w:rFonts w:hint="default" w:ascii="Times New Roman" w:hAnsi="Times New Roman" w:eastAsia="仿宋_GB2312" w:cs="Times New Roman"/>
                <w:i w:val="0"/>
                <w:color w:val="000000"/>
                <w:sz w:val="28"/>
                <w:szCs w:val="28"/>
                <w:u w:val="none"/>
                <w:lang w:val="en-US" w:eastAsia="zh-CN"/>
              </w:rPr>
            </w:pPr>
            <w:r>
              <w:rPr>
                <w:rFonts w:hint="default" w:ascii="Times New Roman" w:hAnsi="Times New Roman" w:eastAsia="仿宋_GB2312" w:cs="Times New Roman"/>
                <w:i w:val="0"/>
                <w:color w:val="000000"/>
                <w:sz w:val="28"/>
                <w:szCs w:val="28"/>
                <w:u w:val="none"/>
                <w:lang w:val="en-US" w:eastAsia="zh-CN"/>
              </w:rPr>
              <w:t>整合全区商贸服务业资源，逐步形成“1234”发展布局：</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i w:val="0"/>
                <w:color w:val="000000"/>
                <w:sz w:val="28"/>
                <w:szCs w:val="28"/>
                <w:u w:val="none"/>
                <w:lang w:eastAsia="zh-CN"/>
              </w:rPr>
            </w:pPr>
            <w:r>
              <w:rPr>
                <w:rFonts w:hint="default" w:ascii="Times New Roman" w:hAnsi="Times New Roman" w:eastAsia="楷体_GB2312" w:cs="Times New Roman"/>
                <w:b/>
                <w:bCs/>
                <w:i w:val="0"/>
                <w:color w:val="000000"/>
                <w:sz w:val="28"/>
                <w:szCs w:val="28"/>
                <w:u w:val="none"/>
                <w:lang w:eastAsia="zh-CN"/>
              </w:rPr>
              <w:t>“</w:t>
            </w:r>
            <w:r>
              <w:rPr>
                <w:rFonts w:hint="default" w:ascii="Times New Roman" w:hAnsi="Times New Roman" w:eastAsia="楷体_GB2312" w:cs="Times New Roman"/>
                <w:b/>
                <w:bCs/>
                <w:i w:val="0"/>
                <w:color w:val="000000"/>
                <w:sz w:val="28"/>
                <w:szCs w:val="28"/>
                <w:u w:val="none"/>
              </w:rPr>
              <w:t>一横</w:t>
            </w:r>
            <w:r>
              <w:rPr>
                <w:rFonts w:hint="default" w:ascii="Times New Roman" w:hAnsi="Times New Roman" w:eastAsia="楷体_GB2312" w:cs="Times New Roman"/>
                <w:b/>
                <w:bCs/>
                <w:i w:val="0"/>
                <w:color w:val="000000"/>
                <w:sz w:val="28"/>
                <w:szCs w:val="28"/>
                <w:u w:val="none"/>
                <w:lang w:eastAsia="zh-CN"/>
              </w:rPr>
              <w:t>”。</w:t>
            </w:r>
            <w:r>
              <w:rPr>
                <w:rFonts w:hint="default" w:ascii="Times New Roman" w:hAnsi="Times New Roman" w:eastAsia="仿宋_GB2312" w:cs="Times New Roman"/>
                <w:i w:val="0"/>
                <w:color w:val="000000"/>
                <w:sz w:val="28"/>
                <w:szCs w:val="28"/>
                <w:u w:val="none"/>
                <w:lang w:val="en-US" w:eastAsia="zh-CN"/>
              </w:rPr>
              <w:t>结合长江东路改造提升，着力引进高端商贸服务业，提升</w:t>
            </w:r>
            <w:r>
              <w:rPr>
                <w:rFonts w:hint="default" w:ascii="Times New Roman" w:hAnsi="Times New Roman" w:eastAsia="仿宋_GB2312" w:cs="Times New Roman"/>
                <w:i w:val="0"/>
                <w:color w:val="000000"/>
                <w:sz w:val="28"/>
                <w:szCs w:val="28"/>
                <w:u w:val="none"/>
              </w:rPr>
              <w:t>大东门、三里街、东七里、漕冲、王岗等</w:t>
            </w:r>
            <w:r>
              <w:rPr>
                <w:rFonts w:hint="default" w:ascii="Times New Roman" w:hAnsi="Times New Roman" w:eastAsia="仿宋_GB2312" w:cs="Times New Roman"/>
                <w:i w:val="0"/>
                <w:color w:val="000000"/>
                <w:sz w:val="28"/>
                <w:szCs w:val="28"/>
                <w:u w:val="none"/>
                <w:lang w:val="en-US" w:eastAsia="zh-CN"/>
              </w:rPr>
              <w:t>长江东路沿线</w:t>
            </w:r>
            <w:r>
              <w:rPr>
                <w:rFonts w:hint="default" w:ascii="Times New Roman" w:hAnsi="Times New Roman" w:eastAsia="仿宋_GB2312" w:cs="Times New Roman"/>
                <w:i w:val="0"/>
                <w:color w:val="000000"/>
                <w:sz w:val="28"/>
                <w:szCs w:val="28"/>
                <w:u w:val="none"/>
              </w:rPr>
              <w:t>商业活力中心</w:t>
            </w:r>
            <w:r>
              <w:rPr>
                <w:rFonts w:hint="default" w:ascii="Times New Roman" w:hAnsi="Times New Roman" w:eastAsia="仿宋_GB2312" w:cs="Times New Roman"/>
                <w:i w:val="0"/>
                <w:color w:val="000000"/>
                <w:sz w:val="28"/>
                <w:szCs w:val="28"/>
                <w:u w:val="none"/>
                <w:lang w:eastAsia="zh-CN"/>
              </w:rPr>
              <w:t>，</w:t>
            </w:r>
            <w:r>
              <w:rPr>
                <w:rFonts w:hint="default" w:ascii="Times New Roman" w:hAnsi="Times New Roman" w:eastAsia="仿宋_GB2312" w:cs="Times New Roman"/>
                <w:i w:val="0"/>
                <w:color w:val="000000"/>
                <w:sz w:val="28"/>
                <w:szCs w:val="28"/>
                <w:u w:val="none"/>
                <w:lang w:val="en-US" w:eastAsia="zh-CN"/>
              </w:rPr>
              <w:t>打造</w:t>
            </w:r>
            <w:r>
              <w:rPr>
                <w:rFonts w:hint="default" w:ascii="Times New Roman" w:hAnsi="Times New Roman" w:eastAsia="仿宋_GB2312" w:cs="Times New Roman"/>
                <w:i w:val="0"/>
                <w:color w:val="000000"/>
                <w:sz w:val="28"/>
                <w:szCs w:val="28"/>
                <w:u w:val="none"/>
              </w:rPr>
              <w:t>长江东路高端商贸服务业经济带</w:t>
            </w:r>
            <w:r>
              <w:rPr>
                <w:rFonts w:hint="default" w:ascii="Times New Roman" w:hAnsi="Times New Roman" w:eastAsia="仿宋_GB2312" w:cs="Times New Roman"/>
                <w:i w:val="0"/>
                <w:color w:val="000000"/>
                <w:sz w:val="28"/>
                <w:szCs w:val="28"/>
                <w:u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i w:val="0"/>
                <w:color w:val="000000"/>
                <w:sz w:val="28"/>
                <w:szCs w:val="28"/>
                <w:u w:val="none"/>
                <w:lang w:eastAsia="zh-CN"/>
              </w:rPr>
            </w:pPr>
            <w:r>
              <w:rPr>
                <w:rFonts w:hint="default" w:ascii="Times New Roman" w:hAnsi="Times New Roman" w:eastAsia="楷体_GB2312" w:cs="Times New Roman"/>
                <w:b/>
                <w:bCs/>
                <w:i w:val="0"/>
                <w:color w:val="000000"/>
                <w:sz w:val="28"/>
                <w:szCs w:val="28"/>
                <w:u w:val="none"/>
                <w:lang w:eastAsia="zh-CN"/>
              </w:rPr>
              <w:t>“两纵”。</w:t>
            </w:r>
            <w:r>
              <w:rPr>
                <w:rFonts w:hint="default" w:ascii="Times New Roman" w:hAnsi="Times New Roman" w:eastAsia="仿宋_GB2312" w:cs="Times New Roman"/>
                <w:i w:val="0"/>
                <w:color w:val="000000"/>
                <w:sz w:val="28"/>
                <w:szCs w:val="28"/>
                <w:u w:val="none"/>
                <w:lang w:val="en-US" w:eastAsia="zh-CN"/>
              </w:rPr>
              <w:t>依托胜利路高端酒店服务、高档餐饮、商务办公等产业基础，打造胜利路生</w:t>
            </w:r>
            <w:r>
              <w:rPr>
                <w:rFonts w:hint="default" w:ascii="Times New Roman" w:hAnsi="Times New Roman" w:eastAsia="仿宋_GB2312" w:cs="Times New Roman"/>
                <w:i w:val="0"/>
                <w:color w:val="000000"/>
                <w:sz w:val="28"/>
                <w:szCs w:val="28"/>
                <w:u w:val="none"/>
              </w:rPr>
              <w:t>活服务业繁荣经济轴</w:t>
            </w:r>
            <w:r>
              <w:rPr>
                <w:rFonts w:hint="default" w:ascii="Times New Roman" w:hAnsi="Times New Roman" w:eastAsia="仿宋_GB2312" w:cs="Times New Roman"/>
                <w:i w:val="0"/>
                <w:color w:val="000000"/>
                <w:sz w:val="28"/>
                <w:szCs w:val="28"/>
                <w:u w:val="none"/>
                <w:lang w:eastAsia="zh-CN"/>
              </w:rPr>
              <w:t>；</w:t>
            </w:r>
            <w:r>
              <w:rPr>
                <w:rFonts w:hint="default" w:ascii="Times New Roman" w:hAnsi="Times New Roman" w:eastAsia="仿宋_GB2312" w:cs="Times New Roman"/>
                <w:i w:val="0"/>
                <w:color w:val="000000"/>
                <w:sz w:val="28"/>
                <w:szCs w:val="28"/>
                <w:u w:val="none"/>
              </w:rPr>
              <w:t>结合采石路建设和沿线旧城</w:t>
            </w:r>
            <w:r>
              <w:rPr>
                <w:rFonts w:hint="default" w:ascii="Times New Roman" w:hAnsi="Times New Roman" w:eastAsia="仿宋_GB2312" w:cs="Times New Roman"/>
                <w:i w:val="0"/>
                <w:color w:val="000000"/>
                <w:sz w:val="28"/>
                <w:szCs w:val="28"/>
                <w:u w:val="none"/>
                <w:lang w:val="en-US" w:eastAsia="zh-CN"/>
              </w:rPr>
              <w:t>改造</w:t>
            </w:r>
            <w:r>
              <w:rPr>
                <w:rFonts w:hint="default" w:ascii="Times New Roman" w:hAnsi="Times New Roman" w:eastAsia="仿宋_GB2312" w:cs="Times New Roman"/>
                <w:i w:val="0"/>
                <w:color w:val="000000"/>
                <w:sz w:val="28"/>
                <w:szCs w:val="28"/>
                <w:u w:val="none"/>
              </w:rPr>
              <w:t>、新住宅区建设，</w:t>
            </w:r>
            <w:r>
              <w:rPr>
                <w:rFonts w:hint="default" w:ascii="Times New Roman" w:hAnsi="Times New Roman" w:eastAsia="仿宋_GB2312" w:cs="Times New Roman"/>
                <w:i w:val="0"/>
                <w:color w:val="000000"/>
                <w:sz w:val="28"/>
                <w:szCs w:val="28"/>
                <w:u w:val="none"/>
                <w:lang w:val="en-US" w:eastAsia="zh-CN"/>
              </w:rPr>
              <w:t>打造</w:t>
            </w:r>
            <w:r>
              <w:rPr>
                <w:rFonts w:hint="default" w:ascii="Times New Roman" w:hAnsi="Times New Roman" w:eastAsia="仿宋_GB2312" w:cs="Times New Roman"/>
                <w:i w:val="0"/>
                <w:color w:val="000000"/>
                <w:sz w:val="28"/>
                <w:szCs w:val="28"/>
                <w:u w:val="none"/>
              </w:rPr>
              <w:t>采石路商贸服务业经济新干线</w:t>
            </w:r>
            <w:r>
              <w:rPr>
                <w:rFonts w:hint="default" w:ascii="Times New Roman" w:hAnsi="Times New Roman" w:eastAsia="仿宋_GB2312" w:cs="Times New Roman"/>
                <w:i w:val="0"/>
                <w:color w:val="000000"/>
                <w:sz w:val="28"/>
                <w:szCs w:val="28"/>
                <w:u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i w:val="0"/>
                <w:color w:val="000000"/>
                <w:sz w:val="28"/>
                <w:szCs w:val="28"/>
                <w:u w:val="none"/>
                <w:lang w:val="en-US" w:eastAsia="zh-CN"/>
              </w:rPr>
            </w:pPr>
            <w:r>
              <w:rPr>
                <w:rFonts w:hint="default" w:ascii="Times New Roman" w:hAnsi="Times New Roman" w:eastAsia="楷体_GB2312" w:cs="Times New Roman"/>
                <w:b/>
                <w:bCs/>
                <w:i w:val="0"/>
                <w:color w:val="000000"/>
                <w:sz w:val="28"/>
                <w:szCs w:val="28"/>
                <w:u w:val="none"/>
                <w:lang w:eastAsia="zh-CN"/>
              </w:rPr>
              <w:t>三个市级商业副中心。</w:t>
            </w:r>
            <w:r>
              <w:rPr>
                <w:rFonts w:hint="default" w:ascii="Times New Roman" w:hAnsi="Times New Roman" w:eastAsia="仿宋_GB2312" w:cs="Times New Roman"/>
                <w:i w:val="0"/>
                <w:color w:val="000000"/>
                <w:sz w:val="28"/>
                <w:szCs w:val="28"/>
                <w:u w:val="none"/>
                <w:lang w:val="en-US" w:eastAsia="zh-CN"/>
              </w:rPr>
              <w:t>抢抓合肥市打造“一区四级”中心体系的契机，建设花冲（电机厂片区）、龙岗（王岗片区）、东部新中心3个商业副中心。</w:t>
            </w:r>
          </w:p>
          <w:p>
            <w:pPr>
              <w:keepNext w:val="0"/>
              <w:keepLines w:val="0"/>
              <w:pageBreakBefore w:val="0"/>
              <w:widowControl w:val="0"/>
              <w:kinsoku/>
              <w:wordWrap/>
              <w:overflowPunct/>
              <w:topLinePunct w:val="0"/>
              <w:autoSpaceDE/>
              <w:autoSpaceDN/>
              <w:bidi w:val="0"/>
              <w:adjustRightInd/>
              <w:snapToGrid/>
              <w:spacing w:after="157" w:afterLines="50" w:line="440" w:lineRule="exact"/>
              <w:ind w:firstLine="562" w:firstLineChars="200"/>
              <w:textAlignment w:val="auto"/>
              <w:rPr>
                <w:rFonts w:hint="default" w:ascii="Times New Roman" w:hAnsi="Times New Roman" w:eastAsia="宋体" w:cs="Times New Roman"/>
                <w:i w:val="0"/>
                <w:color w:val="000000"/>
                <w:sz w:val="22"/>
                <w:szCs w:val="22"/>
                <w:u w:val="none"/>
                <w:lang w:val="en-US"/>
              </w:rPr>
            </w:pPr>
            <w:r>
              <w:rPr>
                <w:rFonts w:hint="default" w:ascii="Times New Roman" w:hAnsi="Times New Roman" w:eastAsia="楷体_GB2312" w:cs="Times New Roman"/>
                <w:b/>
                <w:bCs/>
                <w:i w:val="0"/>
                <w:color w:val="000000"/>
                <w:sz w:val="28"/>
                <w:szCs w:val="28"/>
                <w:u w:val="none"/>
                <w:lang w:eastAsia="zh-CN"/>
              </w:rPr>
              <w:t>四大商圈。</w:t>
            </w:r>
            <w:r>
              <w:rPr>
                <w:rFonts w:hint="default" w:ascii="Times New Roman" w:hAnsi="Times New Roman" w:eastAsia="仿宋_GB2312" w:cs="Times New Roman"/>
                <w:i w:val="0"/>
                <w:color w:val="000000"/>
                <w:sz w:val="28"/>
                <w:szCs w:val="28"/>
                <w:u w:val="none"/>
                <w:lang w:val="en-US" w:eastAsia="zh-CN"/>
              </w:rPr>
              <w:t>完善提升</w:t>
            </w:r>
            <w:r>
              <w:rPr>
                <w:rFonts w:hint="default" w:ascii="Times New Roman" w:hAnsi="Times New Roman" w:eastAsia="仿宋_GB2312" w:cs="Times New Roman"/>
                <w:i w:val="0"/>
                <w:color w:val="000000"/>
                <w:sz w:val="28"/>
                <w:szCs w:val="28"/>
                <w:u w:val="none"/>
              </w:rPr>
              <w:t>包括</w:t>
            </w:r>
            <w:r>
              <w:rPr>
                <w:rFonts w:hint="default" w:ascii="Times New Roman" w:hAnsi="Times New Roman" w:eastAsia="仿宋_GB2312" w:cs="Times New Roman"/>
                <w:i w:val="0"/>
                <w:color w:val="000000"/>
                <w:sz w:val="28"/>
                <w:szCs w:val="28"/>
                <w:u w:val="none"/>
                <w:lang w:eastAsia="zh-CN"/>
              </w:rPr>
              <w:t>“</w:t>
            </w:r>
            <w:r>
              <w:rPr>
                <w:rFonts w:hint="default" w:ascii="Times New Roman" w:hAnsi="Times New Roman" w:eastAsia="仿宋_GB2312" w:cs="Times New Roman"/>
                <w:i w:val="0"/>
                <w:color w:val="000000"/>
                <w:sz w:val="28"/>
                <w:szCs w:val="28"/>
                <w:u w:val="none"/>
              </w:rPr>
              <w:t>安徽时尚街区</w:t>
            </w:r>
            <w:r>
              <w:rPr>
                <w:rFonts w:hint="default" w:ascii="Times New Roman" w:hAnsi="Times New Roman" w:eastAsia="仿宋_GB2312" w:cs="Times New Roman"/>
                <w:i w:val="0"/>
                <w:color w:val="000000"/>
                <w:sz w:val="28"/>
                <w:szCs w:val="28"/>
                <w:u w:val="none"/>
                <w:lang w:eastAsia="zh-CN"/>
              </w:rPr>
              <w:t>”在内的</w:t>
            </w:r>
            <w:r>
              <w:rPr>
                <w:rFonts w:hint="default" w:ascii="Times New Roman" w:hAnsi="Times New Roman" w:eastAsia="仿宋_GB2312" w:cs="Times New Roman"/>
                <w:i w:val="0"/>
                <w:color w:val="000000"/>
                <w:sz w:val="28"/>
                <w:szCs w:val="28"/>
                <w:u w:val="none"/>
              </w:rPr>
              <w:t>火车站商圈</w:t>
            </w:r>
            <w:r>
              <w:rPr>
                <w:rFonts w:hint="default" w:ascii="Times New Roman" w:hAnsi="Times New Roman" w:eastAsia="仿宋_GB2312" w:cs="Times New Roman"/>
                <w:i w:val="0"/>
                <w:color w:val="000000"/>
                <w:sz w:val="28"/>
                <w:szCs w:val="28"/>
                <w:u w:val="none"/>
                <w:lang w:eastAsia="zh-CN"/>
              </w:rPr>
              <w:t>、</w:t>
            </w:r>
            <w:r>
              <w:rPr>
                <w:rFonts w:hint="default" w:ascii="Times New Roman" w:hAnsi="Times New Roman" w:eastAsia="仿宋_GB2312" w:cs="Times New Roman"/>
                <w:i w:val="0"/>
                <w:color w:val="000000"/>
                <w:sz w:val="28"/>
                <w:szCs w:val="28"/>
                <w:u w:val="none"/>
              </w:rPr>
              <w:t>包括古井假日</w:t>
            </w:r>
            <w:r>
              <w:rPr>
                <w:rFonts w:hint="default" w:ascii="Times New Roman" w:hAnsi="Times New Roman" w:eastAsia="仿宋_GB2312" w:cs="Times New Roman"/>
                <w:i w:val="0"/>
                <w:color w:val="000000"/>
                <w:sz w:val="28"/>
                <w:szCs w:val="28"/>
                <w:u w:val="none"/>
                <w:lang w:eastAsia="zh-CN"/>
              </w:rPr>
              <w:t>和</w:t>
            </w:r>
            <w:r>
              <w:rPr>
                <w:rFonts w:hint="default" w:ascii="Times New Roman" w:hAnsi="Times New Roman" w:eastAsia="仿宋_GB2312" w:cs="Times New Roman"/>
                <w:i w:val="0"/>
                <w:color w:val="000000"/>
                <w:sz w:val="28"/>
                <w:szCs w:val="28"/>
                <w:u w:val="none"/>
              </w:rPr>
              <w:t>圣大国际</w:t>
            </w:r>
            <w:r>
              <w:rPr>
                <w:rFonts w:hint="default" w:ascii="Times New Roman" w:hAnsi="Times New Roman" w:eastAsia="仿宋_GB2312" w:cs="Times New Roman"/>
                <w:i w:val="0"/>
                <w:color w:val="000000"/>
                <w:sz w:val="28"/>
                <w:szCs w:val="28"/>
                <w:u w:val="none"/>
                <w:lang w:eastAsia="zh-CN"/>
              </w:rPr>
              <w:t>等商业载体在内的</w:t>
            </w:r>
            <w:r>
              <w:rPr>
                <w:rFonts w:hint="default" w:ascii="Times New Roman" w:hAnsi="Times New Roman" w:eastAsia="仿宋_GB2312" w:cs="Times New Roman"/>
                <w:i w:val="0"/>
                <w:color w:val="000000"/>
                <w:sz w:val="28"/>
                <w:szCs w:val="28"/>
                <w:u w:val="none"/>
              </w:rPr>
              <w:t>坝上街商圈</w:t>
            </w:r>
            <w:r>
              <w:rPr>
                <w:rFonts w:hint="default" w:ascii="Times New Roman" w:hAnsi="Times New Roman" w:eastAsia="仿宋_GB2312" w:cs="Times New Roman"/>
                <w:i w:val="0"/>
                <w:color w:val="000000"/>
                <w:sz w:val="28"/>
                <w:szCs w:val="28"/>
                <w:u w:val="none"/>
                <w:lang w:eastAsia="zh-CN"/>
              </w:rPr>
              <w:t>、</w:t>
            </w:r>
            <w:r>
              <w:rPr>
                <w:rFonts w:hint="default" w:ascii="Times New Roman" w:hAnsi="Times New Roman" w:eastAsia="仿宋_GB2312" w:cs="Times New Roman"/>
                <w:i w:val="0"/>
                <w:color w:val="000000"/>
                <w:sz w:val="28"/>
                <w:szCs w:val="28"/>
                <w:u w:val="none"/>
              </w:rPr>
              <w:t>包括瑶海万达</w:t>
            </w:r>
            <w:r>
              <w:rPr>
                <w:rFonts w:hint="default" w:ascii="Times New Roman" w:hAnsi="Times New Roman" w:eastAsia="仿宋_GB2312" w:cs="Times New Roman"/>
                <w:i w:val="0"/>
                <w:color w:val="000000"/>
                <w:sz w:val="28"/>
                <w:szCs w:val="28"/>
                <w:u w:val="none"/>
                <w:lang w:eastAsia="zh-CN"/>
              </w:rPr>
              <w:t>和</w:t>
            </w:r>
            <w:r>
              <w:rPr>
                <w:rFonts w:hint="default" w:ascii="Times New Roman" w:hAnsi="Times New Roman" w:eastAsia="仿宋_GB2312" w:cs="Times New Roman"/>
                <w:i w:val="0"/>
                <w:color w:val="000000"/>
                <w:sz w:val="28"/>
                <w:szCs w:val="28"/>
                <w:u w:val="none"/>
              </w:rPr>
              <w:t>长江180艺术街区等商业载体</w:t>
            </w:r>
            <w:r>
              <w:rPr>
                <w:rFonts w:hint="default" w:ascii="Times New Roman" w:hAnsi="Times New Roman" w:eastAsia="仿宋_GB2312" w:cs="Times New Roman"/>
                <w:i w:val="0"/>
                <w:color w:val="000000"/>
                <w:sz w:val="28"/>
                <w:szCs w:val="28"/>
                <w:u w:val="none"/>
                <w:lang w:eastAsia="zh-CN"/>
              </w:rPr>
              <w:t>在内的</w:t>
            </w:r>
            <w:r>
              <w:rPr>
                <w:rFonts w:hint="default" w:ascii="Times New Roman" w:hAnsi="Times New Roman" w:eastAsia="仿宋_GB2312" w:cs="Times New Roman"/>
                <w:i w:val="0"/>
                <w:color w:val="000000"/>
                <w:sz w:val="28"/>
                <w:szCs w:val="28"/>
                <w:u w:val="none"/>
              </w:rPr>
              <w:t>站塘商圈</w:t>
            </w:r>
            <w:r>
              <w:rPr>
                <w:rFonts w:hint="default" w:ascii="Times New Roman" w:hAnsi="Times New Roman" w:eastAsia="仿宋_GB2312" w:cs="Times New Roman"/>
                <w:i w:val="0"/>
                <w:color w:val="000000"/>
                <w:sz w:val="28"/>
                <w:szCs w:val="28"/>
                <w:u w:val="none"/>
                <w:lang w:val="en-US" w:eastAsia="zh-CN"/>
              </w:rPr>
              <w:t>和</w:t>
            </w:r>
            <w:r>
              <w:rPr>
                <w:rFonts w:hint="default" w:ascii="Times New Roman" w:hAnsi="Times New Roman" w:eastAsia="仿宋_GB2312" w:cs="Times New Roman"/>
                <w:i w:val="0"/>
                <w:color w:val="000000"/>
                <w:sz w:val="28"/>
                <w:szCs w:val="28"/>
                <w:u w:val="none"/>
              </w:rPr>
              <w:t>包括北京华联等商业载体</w:t>
            </w:r>
            <w:r>
              <w:rPr>
                <w:rFonts w:hint="default" w:ascii="Times New Roman" w:hAnsi="Times New Roman" w:eastAsia="仿宋_GB2312" w:cs="Times New Roman"/>
                <w:i w:val="0"/>
                <w:color w:val="000000"/>
                <w:sz w:val="28"/>
                <w:szCs w:val="28"/>
                <w:u w:val="none"/>
                <w:lang w:eastAsia="zh-CN"/>
              </w:rPr>
              <w:t>在内的</w:t>
            </w:r>
            <w:r>
              <w:rPr>
                <w:rFonts w:hint="default" w:ascii="Times New Roman" w:hAnsi="Times New Roman" w:eastAsia="仿宋_GB2312" w:cs="Times New Roman"/>
                <w:i w:val="0"/>
                <w:color w:val="000000"/>
                <w:sz w:val="28"/>
                <w:szCs w:val="28"/>
                <w:u w:val="none"/>
              </w:rPr>
              <w:t>和平路商圈。</w:t>
            </w:r>
          </w:p>
        </w:tc>
      </w:tr>
    </w:tbl>
    <w:p>
      <w:pPr>
        <w:pStyle w:val="3"/>
        <w:keepNext/>
        <w:keepLines/>
        <w:pageBreakBefore w:val="0"/>
        <w:widowControl w:val="0"/>
        <w:numPr>
          <w:ilvl w:val="0"/>
          <w:numId w:val="3"/>
        </w:numPr>
        <w:kinsoku/>
        <w:wordWrap/>
        <w:overflowPunct/>
        <w:topLinePunct w:val="0"/>
        <w:autoSpaceDE/>
        <w:autoSpaceDN/>
        <w:bidi w:val="0"/>
        <w:adjustRightInd/>
        <w:snapToGrid/>
        <w:spacing w:before="313" w:beforeLines="100" w:after="157"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70" w:name="_Toc26199"/>
      <w:bookmarkStart w:id="71" w:name="_Toc12013"/>
      <w:r>
        <w:rPr>
          <w:rFonts w:hint="default" w:ascii="Times New Roman" w:hAnsi="Times New Roman" w:eastAsia="宋体" w:cs="Times New Roman"/>
          <w:sz w:val="32"/>
          <w:rtl w:val="0"/>
          <w:lang w:val="en-US" w:eastAsia="zh-CN"/>
        </w:rPr>
        <w:t>做强建筑业总部经济</w:t>
      </w:r>
      <w:bookmarkEnd w:id="70"/>
      <w:bookmarkEnd w:id="7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锚定建筑业总产值达千亿元的目标，</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推进建设省内、省外</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两个建筑瑶海</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到2025年，</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省内、省外完成建筑业产值双双突破</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500</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亿元，占全市建筑业总产值比重超过18%</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全区特、一级承包商达到</w:t>
      </w:r>
      <w:r>
        <w:rPr>
          <w:rFonts w:hint="eastAsia"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36</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家，年产值超300亿元的企业</w:t>
      </w:r>
      <w:r>
        <w:rPr>
          <w:rFonts w:hint="eastAsia"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1家、</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200亿元</w:t>
      </w:r>
      <w:r>
        <w:rPr>
          <w:rFonts w:hint="eastAsia"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2家</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、100亿元</w:t>
      </w:r>
      <w:r>
        <w:rPr>
          <w:rFonts w:hint="eastAsia"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家，超50亿元企业5家，超10亿元企业15家。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建设建筑业总部平台。</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谋划选址招商建设建筑业总部集聚区，</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成立瑶海区建筑业企业产业联盟，</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整合提升全区现有建筑业企业，</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引进</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建筑规划、勘查</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设计、</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工程监理、项目管理</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等建筑服务企业，丰富产业链，形成总部集聚效应。</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bookmarkStart w:id="72" w:name="_Toc52529148"/>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培养建筑业人才队伍</w:t>
      </w:r>
      <w:bookmarkEnd w:id="72"/>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充分发挥建筑业企业的主体作用，鼓励企业组织开展从业人员培训工作，加快培养具有创新能力的高级管理人才、技术人才和新型产业工人。到2025年，全区一级建造师将达到2000人，工程技术人员占期末从业人员比例超过12%。</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bookmarkStart w:id="73" w:name="_Toc52529149"/>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率先提升绿色节能</w:t>
      </w:r>
      <w:bookmarkEnd w:id="73"/>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水平。</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十四五”期间，大力发展绿色建筑，城镇新建民用建筑100%按照绿色建筑标准设计建造，100%达到节能设计标准要求；其中，大型公共建筑、公共机构办公建筑和政府投资的其他公共建筑，按照二星级以上绿色建筑标准建设。</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bookmarkStart w:id="74" w:name="_Toc52529150"/>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不断革新建造技术工艺</w:t>
      </w:r>
      <w:bookmarkEnd w:id="74"/>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推进建造方式革新，大力推广装配式建筑，所有保障性住房、人才公寓等住宅建筑和政府投资建筑面积大于10万平方米的公共建筑全部应用装配式建造技术。到2025年，装配式建筑占新建建筑面积的比例达30%。</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bookmarkStart w:id="75" w:name="_Toc52529151"/>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树立质量安全</w:t>
      </w:r>
      <w:bookmarkEnd w:id="75"/>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最严标杆。</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进一步健全安全生产责任体系和质量安全监管机制，全面提升全区工程质量安全水平，严格控制安全生产事故，杜绝发生较大事故。力争全区工程竣工合格率达到100%，建筑施工亿元产值死亡率和安全生产事故率低于全市平均水平。</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76" w:name="_Toc30990"/>
      <w:bookmarkStart w:id="77" w:name="_Toc5436"/>
      <w:r>
        <w:rPr>
          <w:rFonts w:hint="default" w:ascii="Times New Roman" w:hAnsi="Times New Roman" w:eastAsia="宋体" w:cs="Times New Roman"/>
          <w:sz w:val="32"/>
          <w:rtl w:val="0"/>
          <w:lang w:val="en-US" w:eastAsia="zh-CN"/>
        </w:rPr>
        <w:t>彰显文化创意产业魅力</w:t>
      </w:r>
      <w:bookmarkEnd w:id="76"/>
      <w:bookmarkEnd w:id="77"/>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依托老工业基地的“钢”文化和南淝河的“水”文化以及历史沉淀资源，坚持“以文强旅、以旅兴文”，培育工业创意类、生态体验类、文旅休闲类等文化产业，努力打造全国知名的工业文创产业基地。到2025年，以文化创意为核心的文化产业</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产值</w:t>
      </w:r>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（营业收入）达到200亿元。</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优化文化产业布局。</w:t>
      </w:r>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依据瑶海区文化旅游产业资源特点、空间分布特征，以市场为导向，加快形成“一核引领、三带串城、多点支撑”的空间布局结构，推动文化旅游发展空间的有效集聚。以瑶海区政务服务中心为核心，依托瑶海图书馆、文化馆、瑶海大剧院，开展文化展示、培训等项目，打造瑶海区文化产业发展人才输出阵地，建设瑶海区全域文化核心，强化文化旅游第一印象。依托南淝河、二十埠河、小板桥河两岸沿线，优化与重塑滨水生态景观空间，激发两岸休闲旅游活力，建设一批湿地、公园、绿道，打造3条滨水休闲旅游产业带，串联城区各个景点。依次打造以合肥工业文明长廊、长江180艺术街区为主体的工业创意产业集聚区，以安徽时尚街区为主体的时尚文化集聚区，以青年创意田园（瑶海湾公园）、花冲公园、二十埠河湿地公园、滨河公园为主体的生态休闲产业集聚区，以银屏历史文化街区、裕丰花鸟鱼虫市场为主体的文化休闲产业集聚区，以物联网科技产业园、大健康产业园为主体的高科技体验产业集聚区，配套建设购物休闲街、中心商业游憩区、时尚购物中心等，打造一批支撑瑶海文化产业的知名景点游园。</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培育以文化创意为主体的文化产业。</w:t>
      </w:r>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大力发展文化创意产业，依托工业遗址、文化遗产、历史人文等优势资源，运用新技术、新模式，提高文创产业原创能力。高标准建设合肥工业文明长廊，加快建成长江180艺术街区二期，做大做强裕丰花市、御联汇报业文创园等特色载体，引进一批文创产业头部企业，加快发展创意策划、动漫游戏、时尚设计等新业态。推动文化旅游与生态、科技、健康、商业等融合发展，加大特色文旅品牌宣传推广力度，支持长江180艺术街区、青年创意田园创建国家4A级旅游景区和省级特色小镇；加快5G、云计算、人工智能、大数据、区块链等新技术的应用，培育发展高科技体验休闲产业；建设一批主题餐厅、主题酒店、特色民宿等，提高对文化产业的综合配套能力。</w:t>
      </w:r>
    </w:p>
    <w:p>
      <w:pPr>
        <w:pStyle w:val="3"/>
        <w:keepNext/>
        <w:keepLines/>
        <w:pageBreakBefore w:val="0"/>
        <w:widowControl w:val="0"/>
        <w:numPr>
          <w:ilvl w:val="0"/>
          <w:numId w:val="3"/>
        </w:numPr>
        <w:kinsoku/>
        <w:wordWrap/>
        <w:overflowPunct/>
        <w:topLinePunct w:val="0"/>
        <w:autoSpaceDE/>
        <w:autoSpaceDN/>
        <w:bidi w:val="0"/>
        <w:adjustRightInd/>
        <w:snapToGrid/>
        <w:spacing w:before="157" w:beforeLines="5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78" w:name="_Toc8269"/>
      <w:bookmarkStart w:id="79" w:name="_Toc11841"/>
      <w:r>
        <w:rPr>
          <w:rFonts w:hint="default" w:ascii="Times New Roman" w:hAnsi="Times New Roman" w:eastAsia="宋体" w:cs="Times New Roman"/>
          <w:sz w:val="32"/>
          <w:rtl w:val="0"/>
          <w:lang w:val="en-US" w:eastAsia="zh-CN"/>
        </w:rPr>
        <w:t>加快发展大健康产业</w:t>
      </w:r>
      <w:bookmarkEnd w:id="78"/>
      <w:bookmarkEnd w:id="79"/>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立足产业基础和发展前景，大力发展医疗器械、</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生物医药、</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医养结合等产业，培育</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大健康产业集群</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构建全方位、全周期的大健康产业链条。</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到2025年，大健康产业产值（营业收入）达到300亿元。</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医疗器械。</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依托安徽盒子健康科技有限公司N95医用防护口罩超级工厂，深化盒子健康与安徽大学合作共建，进一步提升医用N95个人防护用品研发能力，打造科工贸、产学研一体化的高科技卫生材料产业。推进安徽尚荣移动医疗产业基地二期建设，推动尚荣集团旗下优质关联企业入驻尚荣大健康产业园，加速承接长三角地区大健康产业转移，开发和提升移动医疗装备和高端医疗配套产品。支持安徽比格尼斯医药有限公司加快搬迁改造步伐，推动研发制造腔镜吻合器等外科手术用高端医疗器材。以智能化、网络化、便携化医疗器械和远程医学诊疗为主要发展方向，加快医学健康大数据、云计算、移动医学检诊</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系统的研究</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应用，发展可穿戴智能医疗设备、可携带多功能监测仪、掌上超声设备、即时检验产品、康复矫正设施、远程监测等智慧医疗设备。</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生物医药。</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抢抓罗欣药业入驻契机，以完善生物医药产业链为主线，加大对行业上下游企业的招商引资力度，强化产业补链延链，</w:t>
      </w:r>
      <w:r>
        <w:rPr>
          <w:rFonts w:hint="default"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支持具有新靶点、新机制的生物创新药发展。布局生物改良药和生物类似药的研发，鼓励研发安全性、有效性以及免疫原性与原创药高度相似的生物药。</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积极培育供销、健康服务等生物医药总部，推动生物医药研发、生产、贸易一体化发展。</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养老产业。</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发挥</w:t>
      </w:r>
      <w:r>
        <w:rPr>
          <w:rFonts w:hint="default" w:ascii="Times New Roman" w:hAnsi="Times New Roman" w:eastAsia="仿宋_GB2312" w:cs="Times New Roman"/>
          <w:color w:val="000000" w:themeColor="text1"/>
          <w:sz w:val="32"/>
          <w:szCs w:val="32"/>
          <w:shd w:val="clear" w:color="auto" w:fill="FFFFFF"/>
          <w:lang w:val="zh-CN"/>
          <w14:textFill>
            <w14:solidFill>
              <w14:schemeClr w14:val="tx1"/>
            </w14:solidFill>
          </w14:textFill>
        </w:rPr>
        <w:t>市二院、</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静安中西医结合医院等医疗机构和市二院</w:t>
      </w:r>
      <w:r>
        <w:rPr>
          <w:rFonts w:hint="default" w:ascii="Times New Roman" w:hAnsi="Times New Roman" w:eastAsia="仿宋_GB2312" w:cs="Times New Roman"/>
          <w:color w:val="000000" w:themeColor="text1"/>
          <w:sz w:val="32"/>
          <w:szCs w:val="32"/>
          <w:shd w:val="clear" w:color="auto" w:fill="FFFFFF"/>
          <w:lang w:val="zh-CN"/>
          <w14:textFill>
            <w14:solidFill>
              <w14:schemeClr w14:val="tx1"/>
            </w14:solidFill>
          </w14:textFill>
        </w:rPr>
        <w:t>老年护理院、</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静安养亲苑、九久夕阳红总部基地及医养结合中心等养老机构的引领作用，引进一批知名医养结合机构入驻，加快建设智慧健康养老产业基地。发挥安徽静安养亲苑首批长三角异地养老机构品牌效应，探索新型养老模式，发展“候鸟式养老”“迁居式异地养老”和“旅居式养老”等养老新模式，不断提高医疗诊断、健康管理、体检康复和养老服务水平。</w:t>
      </w:r>
    </w:p>
    <w:tbl>
      <w:tblPr>
        <w:tblStyle w:val="20"/>
        <w:tblpPr w:leftFromText="180" w:rightFromText="180" w:vertAnchor="text" w:horzAnchor="page" w:tblpX="1820" w:tblpY="302"/>
        <w:tblOverlap w:val="never"/>
        <w:tblW w:w="8290" w:type="dxa"/>
        <w:tblInd w:w="0" w:type="dxa"/>
        <w:shd w:val="clear" w:color="auto" w:fill="auto"/>
        <w:tblLayout w:type="fixed"/>
        <w:tblCellMar>
          <w:top w:w="0" w:type="dxa"/>
          <w:left w:w="0" w:type="dxa"/>
          <w:bottom w:w="0" w:type="dxa"/>
          <w:right w:w="0" w:type="dxa"/>
        </w:tblCellMar>
      </w:tblPr>
      <w:tblGrid>
        <w:gridCol w:w="8290"/>
      </w:tblGrid>
      <w:tr>
        <w:tblPrEx>
          <w:shd w:val="clear" w:color="auto" w:fill="auto"/>
          <w:tblCellMar>
            <w:top w:w="0" w:type="dxa"/>
            <w:left w:w="0" w:type="dxa"/>
            <w:bottom w:w="0" w:type="dxa"/>
            <w:right w:w="0" w:type="dxa"/>
          </w:tblCellMar>
        </w:tblPrEx>
        <w:trPr>
          <w:trHeight w:val="567" w:hRule="atLeast"/>
        </w:trPr>
        <w:tc>
          <w:tcPr>
            <w:tcW w:w="829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80" w:name="_Toc13905"/>
            <w:r>
              <w:rPr>
                <w:rFonts w:hint="default" w:ascii="Times New Roman" w:hAnsi="Times New Roman" w:eastAsia="黑体" w:cs="Times New Roman"/>
                <w:b w:val="0"/>
                <w:bCs w:val="0"/>
                <w:i w:val="0"/>
                <w:color w:val="000000"/>
                <w:sz w:val="30"/>
                <w:szCs w:val="30"/>
                <w:highlight w:val="none"/>
                <w:u w:val="none"/>
                <w:lang w:val="en-US" w:eastAsia="zh-CN"/>
              </w:rPr>
              <w:t>五大主导产业重大工程项目</w:t>
            </w:r>
            <w:bookmarkEnd w:id="80"/>
          </w:p>
        </w:tc>
      </w:tr>
      <w:tr>
        <w:tblPrEx>
          <w:shd w:val="clear" w:color="auto" w:fill="auto"/>
          <w:tblCellMar>
            <w:top w:w="0" w:type="dxa"/>
            <w:left w:w="0" w:type="dxa"/>
            <w:bottom w:w="0" w:type="dxa"/>
            <w:right w:w="0" w:type="dxa"/>
          </w:tblCellMar>
        </w:tblPrEx>
        <w:trPr>
          <w:trHeight w:val="567" w:hRule="atLeast"/>
        </w:trPr>
        <w:tc>
          <w:tcPr>
            <w:tcW w:w="829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line="440" w:lineRule="exact"/>
              <w:ind w:firstLine="562" w:firstLineChars="200"/>
              <w:textAlignment w:val="auto"/>
              <w:rPr>
                <w:rFonts w:hint="default" w:ascii="Times New Roman" w:hAnsi="Times New Roman" w:cs="Times New Roman"/>
                <w:i w:val="0"/>
                <w:color w:val="000000"/>
                <w:sz w:val="28"/>
                <w:szCs w:val="28"/>
                <w:u w:val="none"/>
                <w:lang w:val="en-US" w:eastAsia="zh-CN"/>
              </w:rPr>
            </w:pPr>
            <w:r>
              <w:rPr>
                <w:rFonts w:hint="default" w:ascii="Times New Roman" w:hAnsi="Times New Roman" w:eastAsia="楷体_GB2312" w:cs="Times New Roman"/>
                <w:b/>
                <w:bCs/>
                <w:i w:val="0"/>
                <w:color w:val="000000"/>
                <w:sz w:val="28"/>
                <w:szCs w:val="28"/>
                <w:u w:val="none"/>
                <w:lang w:val="en-US" w:eastAsia="zh-CN"/>
              </w:rPr>
              <w:t>新一代信息技术产业。</w:t>
            </w:r>
            <w:r>
              <w:rPr>
                <w:rFonts w:hint="default" w:ascii="Times New Roman" w:hAnsi="Times New Roman" w:eastAsia="楷体_GB2312" w:cs="Times New Roman"/>
                <w:b w:val="0"/>
                <w:bCs w:val="0"/>
                <w:i w:val="0"/>
                <w:color w:val="000000"/>
                <w:sz w:val="28"/>
                <w:szCs w:val="28"/>
                <w:u w:val="none"/>
                <w:lang w:val="en-US" w:eastAsia="zh-CN"/>
              </w:rPr>
              <w:t>重大平台：</w:t>
            </w:r>
            <w:r>
              <w:rPr>
                <w:rFonts w:hint="default" w:ascii="Times New Roman" w:hAnsi="Times New Roman" w:eastAsia="仿宋_GB2312" w:cs="Times New Roman"/>
                <w:i w:val="0"/>
                <w:color w:val="000000"/>
                <w:sz w:val="28"/>
                <w:szCs w:val="28"/>
                <w:u w:val="none"/>
                <w:lang w:val="en-US" w:eastAsia="zh-CN"/>
              </w:rPr>
              <w:t>实施物联网产业园二期、都市科技园三期、数字经济园区、物联网管理中心产业平台智慧园区等载体平台建设工程；</w:t>
            </w:r>
            <w:r>
              <w:rPr>
                <w:rFonts w:hint="default" w:ascii="Times New Roman" w:hAnsi="Times New Roman" w:eastAsia="楷体_GB2312" w:cs="Times New Roman"/>
                <w:b w:val="0"/>
                <w:bCs w:val="0"/>
                <w:i w:val="0"/>
                <w:color w:val="000000"/>
                <w:sz w:val="28"/>
                <w:szCs w:val="28"/>
                <w:u w:val="none"/>
                <w:lang w:val="en-US" w:eastAsia="zh-CN"/>
              </w:rPr>
              <w:t>重大项目：</w:t>
            </w:r>
            <w:r>
              <w:rPr>
                <w:rFonts w:hint="default" w:ascii="Times New Roman" w:hAnsi="Times New Roman" w:eastAsia="仿宋_GB2312" w:cs="Times New Roman"/>
                <w:i w:val="0"/>
                <w:color w:val="000000"/>
                <w:sz w:val="28"/>
                <w:szCs w:val="28"/>
                <w:u w:val="none"/>
                <w:lang w:val="en-US" w:eastAsia="zh-CN"/>
              </w:rPr>
              <w:t>推进中南高科产业园、</w:t>
            </w:r>
            <w:r>
              <w:rPr>
                <w:rFonts w:hint="default" w:ascii="Times New Roman" w:hAnsi="Times New Roman" w:eastAsia="仿宋_GB2312" w:cs="Times New Roman"/>
                <w:i w:val="0"/>
                <w:color w:val="000000"/>
                <w:sz w:val="28"/>
                <w:szCs w:val="28"/>
                <w:highlight w:val="none"/>
                <w:u w:val="none"/>
                <w:lang w:val="en-US" w:eastAsia="zh-CN"/>
              </w:rPr>
              <w:t>钜</w:t>
            </w:r>
            <w:r>
              <w:rPr>
                <w:rFonts w:hint="default" w:ascii="Times New Roman" w:hAnsi="Times New Roman" w:eastAsia="仿宋_GB2312" w:cs="Times New Roman"/>
                <w:i w:val="0"/>
                <w:color w:val="000000"/>
                <w:sz w:val="28"/>
                <w:szCs w:val="28"/>
                <w:u w:val="none"/>
                <w:lang w:val="en-US" w:eastAsia="zh-CN"/>
              </w:rPr>
              <w:t>成产业园、猪八戒网安徽“互联网+”现代服务产业总部、泛普科技华东基地、洲峰电子全国货运结算中心、汉德科技产业园智能化产业基地、朝武通信科技产业园、铁甲帮工程机械软件平台、识微科技数字内容生产平台研发及产业化、客来福智能制造双创中心、中科国泰智能家居合肥总部基地等产业项目建设。</w:t>
            </w:r>
          </w:p>
          <w:p>
            <w:pPr>
              <w:pStyle w:val="14"/>
              <w:keepNext w:val="0"/>
              <w:keepLines w:val="0"/>
              <w:pageBreakBefore w:val="0"/>
              <w:widowControl w:val="0"/>
              <w:kinsoku/>
              <w:wordWrap/>
              <w:overflowPunct/>
              <w:topLinePunct w:val="0"/>
              <w:autoSpaceDE/>
              <w:autoSpaceDN/>
              <w:bidi w:val="0"/>
              <w:adjustRightInd/>
              <w:spacing w:line="440" w:lineRule="exact"/>
              <w:ind w:firstLine="562" w:firstLineChars="200"/>
              <w:textAlignment w:val="auto"/>
              <w:rPr>
                <w:rFonts w:hint="default" w:ascii="Times New Roman" w:hAnsi="Times New Roman" w:cs="Times New Roman"/>
                <w:i w:val="0"/>
                <w:color w:val="000000"/>
                <w:sz w:val="28"/>
                <w:szCs w:val="28"/>
                <w:highlight w:val="yellow"/>
                <w:u w:val="none"/>
                <w:lang w:val="en-US" w:eastAsia="zh-CN"/>
              </w:rPr>
            </w:pPr>
            <w:r>
              <w:rPr>
                <w:rFonts w:hint="default" w:ascii="Times New Roman" w:hAnsi="Times New Roman" w:eastAsia="楷体_GB2312" w:cs="Times New Roman"/>
                <w:b/>
                <w:bCs/>
                <w:i w:val="0"/>
                <w:color w:val="000000"/>
                <w:sz w:val="28"/>
                <w:szCs w:val="28"/>
                <w:u w:val="none"/>
                <w:lang w:val="en-US" w:eastAsia="zh-CN"/>
              </w:rPr>
              <w:t>金融商贸服务业。</w:t>
            </w:r>
            <w:r>
              <w:rPr>
                <w:rFonts w:hint="default" w:ascii="Times New Roman" w:hAnsi="Times New Roman" w:eastAsia="仿宋_GB2312" w:cs="Times New Roman"/>
                <w:i w:val="0"/>
                <w:color w:val="000000"/>
                <w:sz w:val="28"/>
                <w:szCs w:val="28"/>
                <w:u w:val="none"/>
                <w:lang w:val="en-US" w:eastAsia="zh-CN"/>
              </w:rPr>
              <w:t>推进国元网金、安徽短视频直播基地、</w:t>
            </w:r>
            <w:r>
              <w:rPr>
                <w:rFonts w:hint="default" w:ascii="Times New Roman" w:hAnsi="Times New Roman" w:eastAsia="仿宋_GB2312" w:cs="Times New Roman"/>
                <w:i w:val="0"/>
                <w:color w:val="000000"/>
                <w:sz w:val="28"/>
                <w:szCs w:val="28"/>
                <w:u w:val="none"/>
              </w:rPr>
              <w:t>电机厂高端商务综合体</w:t>
            </w:r>
            <w:r>
              <w:rPr>
                <w:rFonts w:hint="default" w:ascii="Times New Roman" w:hAnsi="Times New Roman" w:eastAsia="仿宋_GB2312" w:cs="Times New Roman"/>
                <w:i w:val="0"/>
                <w:color w:val="000000"/>
                <w:sz w:val="28"/>
                <w:szCs w:val="28"/>
                <w:u w:val="none"/>
                <w:lang w:eastAsia="zh-CN"/>
              </w:rPr>
              <w:t>、</w:t>
            </w:r>
            <w:r>
              <w:rPr>
                <w:rFonts w:hint="default" w:ascii="Times New Roman" w:hAnsi="Times New Roman" w:eastAsia="仿宋_GB2312" w:cs="Times New Roman"/>
                <w:i w:val="0"/>
                <w:color w:val="000000"/>
                <w:sz w:val="28"/>
                <w:szCs w:val="28"/>
                <w:u w:val="none"/>
                <w:lang w:val="en-US" w:eastAsia="zh-CN"/>
              </w:rPr>
              <w:t>大东门高端商务综合体、</w:t>
            </w:r>
            <w:r>
              <w:rPr>
                <w:rFonts w:hint="default" w:ascii="Times New Roman" w:hAnsi="Times New Roman" w:eastAsia="仿宋_GB2312" w:cs="Times New Roman"/>
                <w:i w:val="0"/>
                <w:color w:val="000000"/>
                <w:sz w:val="28"/>
                <w:szCs w:val="28"/>
                <w:u w:val="none"/>
              </w:rPr>
              <w:t>中国合肥农产品国际物流园二期</w:t>
            </w:r>
            <w:r>
              <w:rPr>
                <w:rFonts w:hint="default" w:ascii="Times New Roman" w:hAnsi="Times New Roman" w:eastAsia="仿宋_GB2312" w:cs="Times New Roman"/>
                <w:i w:val="0"/>
                <w:color w:val="000000"/>
                <w:sz w:val="28"/>
                <w:szCs w:val="28"/>
                <w:u w:val="none"/>
                <w:lang w:val="en-US" w:eastAsia="zh-CN"/>
              </w:rPr>
              <w:t>、东环中心、联家超市总部配送基地、大世界果品配送中心、玖玺台商业广场、安兴相王城市广场、</w:t>
            </w:r>
            <w:r>
              <w:rPr>
                <w:rFonts w:hint="default" w:ascii="Times New Roman" w:hAnsi="Times New Roman" w:eastAsia="仿宋_GB2312" w:cs="Times New Roman"/>
                <w:i w:val="0"/>
                <w:color w:val="000000"/>
                <w:sz w:val="28"/>
                <w:szCs w:val="28"/>
                <w:highlight w:val="none"/>
                <w:u w:val="none"/>
                <w:lang w:val="en-US" w:eastAsia="zh-CN"/>
              </w:rPr>
              <w:t>北京华联和平路购物中心、</w:t>
            </w:r>
            <w:r>
              <w:rPr>
                <w:rFonts w:hint="default" w:ascii="Times New Roman" w:hAnsi="Times New Roman" w:eastAsia="仿宋_GB2312" w:cs="Times New Roman"/>
                <w:i w:val="0"/>
                <w:color w:val="000000"/>
                <w:sz w:val="28"/>
                <w:szCs w:val="28"/>
                <w:u w:val="none"/>
                <w:lang w:val="en-US" w:eastAsia="zh-CN"/>
              </w:rPr>
              <w:t>信地三期、大众路口双地铁商业综合体、</w:t>
            </w:r>
            <w:r>
              <w:rPr>
                <w:rFonts w:hint="default" w:ascii="Times New Roman" w:hAnsi="Times New Roman" w:eastAsia="仿宋_GB2312" w:cs="Times New Roman"/>
                <w:i w:val="0"/>
                <w:color w:val="000000"/>
                <w:sz w:val="28"/>
                <w:szCs w:val="28"/>
                <w:highlight w:val="none"/>
                <w:u w:val="none"/>
                <w:lang w:val="en-US" w:eastAsia="zh-CN"/>
              </w:rPr>
              <w:t>铁四局机管中心地块星级高端酒店</w:t>
            </w:r>
            <w:r>
              <w:rPr>
                <w:rFonts w:hint="default" w:ascii="Times New Roman" w:hAnsi="Times New Roman" w:eastAsia="仿宋_GB2312" w:cs="Times New Roman"/>
                <w:i w:val="0"/>
                <w:color w:val="000000"/>
                <w:sz w:val="28"/>
                <w:szCs w:val="28"/>
                <w:u w:val="none"/>
                <w:lang w:val="en-US" w:eastAsia="zh-CN"/>
              </w:rPr>
              <w:t>等产业项目建设。</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cs="Times New Roman"/>
                <w:b/>
                <w:bCs/>
                <w:i w:val="0"/>
                <w:color w:val="000000"/>
                <w:sz w:val="28"/>
                <w:szCs w:val="28"/>
                <w:u w:val="none"/>
                <w:lang w:val="en-US" w:eastAsia="zh-CN"/>
              </w:rPr>
            </w:pPr>
            <w:r>
              <w:rPr>
                <w:rFonts w:hint="default" w:ascii="Times New Roman" w:hAnsi="Times New Roman" w:eastAsia="楷体_GB2312" w:cs="Times New Roman"/>
                <w:b/>
                <w:bCs/>
                <w:i w:val="0"/>
                <w:color w:val="000000"/>
                <w:sz w:val="28"/>
                <w:szCs w:val="28"/>
                <w:u w:val="none"/>
                <w:lang w:val="en-US" w:eastAsia="zh-CN"/>
              </w:rPr>
              <w:t>建筑业。</w:t>
            </w:r>
            <w:r>
              <w:rPr>
                <w:rFonts w:hint="default" w:ascii="Times New Roman" w:hAnsi="Times New Roman" w:eastAsia="楷体_GB2312" w:cs="Times New Roman"/>
                <w:b w:val="0"/>
                <w:bCs w:val="0"/>
                <w:i w:val="0"/>
                <w:color w:val="000000"/>
                <w:sz w:val="28"/>
                <w:szCs w:val="28"/>
                <w:u w:val="none"/>
                <w:lang w:val="en-US" w:eastAsia="zh-CN"/>
              </w:rPr>
              <w:t>重大平台：</w:t>
            </w:r>
            <w:r>
              <w:rPr>
                <w:rFonts w:hint="default" w:ascii="Times New Roman" w:hAnsi="Times New Roman" w:eastAsia="仿宋_GB2312" w:cs="Times New Roman"/>
                <w:i w:val="0"/>
                <w:color w:val="000000"/>
                <w:sz w:val="28"/>
                <w:szCs w:val="28"/>
                <w:u w:val="none"/>
                <w:lang w:val="en-US" w:eastAsia="zh-CN"/>
              </w:rPr>
              <w:t>实施建筑业总部园区等载体平台建设工程；</w:t>
            </w:r>
            <w:r>
              <w:rPr>
                <w:rFonts w:hint="default" w:ascii="Times New Roman" w:hAnsi="Times New Roman" w:eastAsia="楷体_GB2312" w:cs="Times New Roman"/>
                <w:b w:val="0"/>
                <w:bCs w:val="0"/>
                <w:i w:val="0"/>
                <w:color w:val="000000"/>
                <w:sz w:val="28"/>
                <w:szCs w:val="28"/>
                <w:u w:val="none"/>
                <w:lang w:val="en-US" w:eastAsia="zh-CN"/>
              </w:rPr>
              <w:t>重大项目：</w:t>
            </w:r>
            <w:r>
              <w:rPr>
                <w:rFonts w:hint="default" w:ascii="Times New Roman" w:hAnsi="Times New Roman" w:eastAsia="仿宋_GB2312" w:cs="Times New Roman"/>
                <w:i w:val="0"/>
                <w:color w:val="000000"/>
                <w:sz w:val="28"/>
                <w:szCs w:val="28"/>
                <w:u w:val="none"/>
                <w:lang w:val="en-US" w:eastAsia="zh-CN"/>
              </w:rPr>
              <w:t>推进华筑建设集团总部、铁四院合肥分公司总部、河南水建安徽总部等产业项目建设。</w:t>
            </w:r>
          </w:p>
          <w:p>
            <w:pPr>
              <w:pStyle w:val="14"/>
              <w:keepNext w:val="0"/>
              <w:keepLines w:val="0"/>
              <w:pageBreakBefore w:val="0"/>
              <w:widowControl w:val="0"/>
              <w:kinsoku/>
              <w:wordWrap/>
              <w:overflowPunct/>
              <w:topLinePunct w:val="0"/>
              <w:autoSpaceDE/>
              <w:autoSpaceDN/>
              <w:bidi w:val="0"/>
              <w:adjustRightInd/>
              <w:spacing w:line="440" w:lineRule="exact"/>
              <w:ind w:firstLine="562" w:firstLineChars="200"/>
              <w:textAlignment w:val="auto"/>
              <w:rPr>
                <w:rFonts w:hint="default" w:ascii="Times New Roman" w:hAnsi="Times New Roman" w:cs="Times New Roman"/>
                <w:sz w:val="28"/>
                <w:szCs w:val="28"/>
                <w:lang w:val="en-US" w:eastAsia="zh-CN"/>
              </w:rPr>
            </w:pPr>
            <w:r>
              <w:rPr>
                <w:rFonts w:hint="default" w:ascii="Times New Roman" w:hAnsi="Times New Roman" w:eastAsia="楷体_GB2312" w:cs="Times New Roman"/>
                <w:b/>
                <w:bCs/>
                <w:i w:val="0"/>
                <w:color w:val="000000"/>
                <w:sz w:val="28"/>
                <w:szCs w:val="28"/>
                <w:u w:val="none"/>
                <w:lang w:val="en-US" w:eastAsia="zh-CN"/>
              </w:rPr>
              <w:t>文化创意产业。</w:t>
            </w:r>
            <w:r>
              <w:rPr>
                <w:rFonts w:hint="default" w:ascii="Times New Roman" w:hAnsi="Times New Roman" w:eastAsia="仿宋_GB2312" w:cs="Times New Roman"/>
                <w:i w:val="0"/>
                <w:color w:val="000000"/>
                <w:kern w:val="2"/>
                <w:sz w:val="28"/>
                <w:szCs w:val="28"/>
                <w:u w:val="none"/>
                <w:lang w:val="en-US" w:eastAsia="zh-CN" w:bidi="ar-SA"/>
              </w:rPr>
              <w:t>推进长江180艺术街</w:t>
            </w:r>
            <w:r>
              <w:rPr>
                <w:rFonts w:hint="default" w:ascii="Times New Roman" w:hAnsi="Times New Roman" w:eastAsia="仿宋_GB2312" w:cs="Times New Roman"/>
                <w:i w:val="0"/>
                <w:color w:val="000000"/>
                <w:sz w:val="28"/>
                <w:szCs w:val="28"/>
                <w:u w:val="none"/>
                <w:lang w:val="en-US" w:eastAsia="zh-CN"/>
              </w:rPr>
              <w:t>区二期、车桥里文化创意街区、长三角（合肥）全球原创名品馆、文一时埠里文化创意街区、</w:t>
            </w:r>
            <w:r>
              <w:rPr>
                <w:rFonts w:hint="default" w:ascii="Times New Roman" w:hAnsi="Times New Roman" w:eastAsia="仿宋_GB2312" w:cs="Times New Roman"/>
                <w:i w:val="0"/>
                <w:color w:val="000000"/>
                <w:sz w:val="28"/>
                <w:szCs w:val="28"/>
                <w:u w:val="none"/>
                <w:lang w:eastAsia="zh-CN"/>
              </w:rPr>
              <w:t>三小文创村、一里三公文化旅游</w:t>
            </w:r>
            <w:r>
              <w:rPr>
                <w:rFonts w:hint="default" w:ascii="Times New Roman" w:hAnsi="Times New Roman" w:eastAsia="仿宋_GB2312" w:cs="Times New Roman"/>
                <w:i w:val="0"/>
                <w:color w:val="000000"/>
                <w:sz w:val="28"/>
                <w:szCs w:val="28"/>
                <w:u w:val="none"/>
                <w:lang w:val="en-US" w:eastAsia="zh-CN"/>
              </w:rPr>
              <w:t>等产业项目建设</w:t>
            </w:r>
            <w:r>
              <w:rPr>
                <w:rFonts w:hint="default" w:ascii="Times New Roman" w:hAnsi="Times New Roman" w:eastAsia="仿宋_GB2312" w:cs="Times New Roman"/>
                <w:i w:val="0"/>
                <w:color w:val="000000"/>
                <w:sz w:val="28"/>
                <w:szCs w:val="28"/>
                <w:u w:val="none"/>
                <w:lang w:eastAsia="zh-CN"/>
              </w:rPr>
              <w:t>。</w:t>
            </w:r>
          </w:p>
          <w:p>
            <w:pPr>
              <w:pStyle w:val="14"/>
              <w:keepNext w:val="0"/>
              <w:keepLines w:val="0"/>
              <w:pageBreakBefore w:val="0"/>
              <w:widowControl w:val="0"/>
              <w:kinsoku/>
              <w:wordWrap/>
              <w:overflowPunct/>
              <w:topLinePunct w:val="0"/>
              <w:autoSpaceDE/>
              <w:autoSpaceDN/>
              <w:bidi w:val="0"/>
              <w:adjustRightInd/>
              <w:snapToGrid w:val="0"/>
              <w:spacing w:after="157" w:afterLines="50" w:line="440" w:lineRule="exact"/>
              <w:ind w:firstLine="562" w:firstLineChars="200"/>
              <w:textAlignment w:val="auto"/>
              <w:rPr>
                <w:rFonts w:hint="default" w:ascii="Times New Roman" w:hAnsi="Times New Roman" w:eastAsia="宋体" w:cs="Times New Roman"/>
                <w:b/>
                <w:bCs/>
                <w:i w:val="0"/>
                <w:color w:val="000000"/>
                <w:sz w:val="28"/>
                <w:szCs w:val="28"/>
                <w:u w:val="none"/>
                <w:lang w:val="en-US" w:eastAsia="zh-CN"/>
              </w:rPr>
            </w:pPr>
            <w:r>
              <w:rPr>
                <w:rFonts w:hint="default" w:ascii="Times New Roman" w:hAnsi="Times New Roman" w:eastAsia="楷体_GB2312" w:cs="Times New Roman"/>
                <w:b/>
                <w:bCs/>
                <w:i w:val="0"/>
                <w:color w:val="000000"/>
                <w:sz w:val="28"/>
                <w:szCs w:val="28"/>
                <w:u w:val="none"/>
                <w:lang w:val="en-US" w:eastAsia="zh-CN"/>
              </w:rPr>
              <w:t>大健康产业。</w:t>
            </w:r>
            <w:r>
              <w:rPr>
                <w:rFonts w:hint="default" w:ascii="Times New Roman" w:hAnsi="Times New Roman" w:eastAsia="仿宋_GB2312" w:cs="Times New Roman"/>
                <w:i w:val="0"/>
                <w:color w:val="000000"/>
                <w:sz w:val="28"/>
                <w:szCs w:val="28"/>
                <w:u w:val="none"/>
                <w:lang w:val="en-US" w:eastAsia="zh-CN"/>
              </w:rPr>
              <w:t>推进尚荣大健康产业园二期、</w:t>
            </w:r>
            <w:r>
              <w:rPr>
                <w:rFonts w:hint="default" w:ascii="Times New Roman" w:hAnsi="Times New Roman" w:eastAsia="仿宋_GB2312" w:cs="Times New Roman"/>
                <w:i w:val="0"/>
                <w:color w:val="000000"/>
                <w:sz w:val="28"/>
                <w:szCs w:val="28"/>
                <w:u w:val="none"/>
              </w:rPr>
              <w:t>罗欣药业科技产业园</w:t>
            </w:r>
            <w:r>
              <w:rPr>
                <w:rFonts w:hint="default" w:ascii="Times New Roman" w:hAnsi="Times New Roman" w:eastAsia="仿宋_GB2312" w:cs="Times New Roman"/>
                <w:i w:val="0"/>
                <w:color w:val="000000"/>
                <w:sz w:val="28"/>
                <w:szCs w:val="28"/>
                <w:u w:val="none"/>
                <w:lang w:eastAsia="zh-CN"/>
              </w:rPr>
              <w:t>、弘帆医药科技产业园</w:t>
            </w:r>
            <w:r>
              <w:rPr>
                <w:rFonts w:hint="default" w:ascii="Times New Roman" w:hAnsi="Times New Roman" w:eastAsia="仿宋_GB2312" w:cs="Times New Roman"/>
                <w:i w:val="0"/>
                <w:color w:val="000000"/>
                <w:sz w:val="28"/>
                <w:szCs w:val="28"/>
                <w:u w:val="none"/>
                <w:lang w:val="en-US" w:eastAsia="zh-CN"/>
              </w:rPr>
              <w:t>、</w:t>
            </w:r>
            <w:r>
              <w:rPr>
                <w:rFonts w:hint="default" w:ascii="Times New Roman" w:hAnsi="Times New Roman" w:eastAsia="仿宋_GB2312" w:cs="Times New Roman"/>
                <w:i w:val="0"/>
                <w:color w:val="000000"/>
                <w:sz w:val="28"/>
                <w:szCs w:val="28"/>
                <w:u w:val="none"/>
                <w:lang w:eastAsia="zh-CN"/>
              </w:rPr>
              <w:t>九久夕阳红全国总部基地及医养结合中心、</w:t>
            </w:r>
            <w:r>
              <w:rPr>
                <w:rFonts w:hint="default" w:ascii="Times New Roman" w:hAnsi="Times New Roman" w:eastAsia="仿宋_GB2312" w:cs="Times New Roman"/>
                <w:i w:val="0"/>
                <w:color w:val="000000"/>
                <w:sz w:val="28"/>
                <w:szCs w:val="28"/>
                <w:u w:val="none"/>
                <w:lang w:val="en-US" w:eastAsia="zh-CN"/>
              </w:rPr>
              <w:t>高速静安健康养老基地、大健康产业总部、中健康养中心等项目、</w:t>
            </w:r>
            <w:r>
              <w:rPr>
                <w:rFonts w:hint="default" w:ascii="Times New Roman" w:hAnsi="Times New Roman" w:eastAsia="仿宋_GB2312" w:cs="Times New Roman"/>
                <w:i w:val="0"/>
                <w:color w:val="000000"/>
                <w:sz w:val="28"/>
                <w:szCs w:val="28"/>
                <w:u w:val="none"/>
                <w:lang w:eastAsia="zh-CN"/>
              </w:rPr>
              <w:t>合肥东骅康复医院</w:t>
            </w:r>
            <w:r>
              <w:rPr>
                <w:rFonts w:hint="default" w:ascii="Times New Roman" w:hAnsi="Times New Roman" w:eastAsia="仿宋_GB2312" w:cs="Times New Roman"/>
                <w:i w:val="0"/>
                <w:color w:val="000000"/>
                <w:sz w:val="28"/>
                <w:szCs w:val="28"/>
                <w:u w:val="none"/>
                <w:lang w:val="en-US" w:eastAsia="zh-CN"/>
              </w:rPr>
              <w:t>等产业项目建设</w:t>
            </w:r>
            <w:r>
              <w:rPr>
                <w:rFonts w:hint="default" w:ascii="Times New Roman" w:hAnsi="Times New Roman" w:eastAsia="仿宋_GB2312" w:cs="Times New Roman"/>
                <w:i w:val="0"/>
                <w:color w:val="000000"/>
                <w:sz w:val="28"/>
                <w:szCs w:val="28"/>
                <w:u w:val="none"/>
                <w:lang w:eastAsia="zh-CN"/>
              </w:rPr>
              <w:t>。</w:t>
            </w:r>
          </w:p>
        </w:tc>
      </w:tr>
    </w:tbl>
    <w:p>
      <w:pPr>
        <w:pStyle w:val="2"/>
        <w:keepNext w:val="0"/>
        <w:keepLines w:val="0"/>
        <w:pageBreakBefore/>
        <w:widowControl w:val="0"/>
        <w:numPr>
          <w:ilvl w:val="0"/>
          <w:numId w:val="2"/>
        </w:numPr>
        <w:kinsoku/>
        <w:wordWrap/>
        <w:overflowPunct/>
        <w:topLinePunct w:val="0"/>
        <w:autoSpaceDE/>
        <w:autoSpaceDN/>
        <w:bidi w:val="0"/>
        <w:adjustRightInd/>
        <w:snapToGrid/>
        <w:spacing w:before="0" w:after="50" w:afterLines="50" w:line="560" w:lineRule="exact"/>
        <w:ind w:left="0" w:leftChars="0" w:firstLine="640" w:firstLineChars="200"/>
        <w:jc w:val="left"/>
        <w:textAlignment w:val="auto"/>
        <w:rPr>
          <w:rFonts w:hint="default" w:ascii="Times New Roman" w:hAnsi="Times New Roman" w:eastAsia="黑体" w:cs="Times New Roman"/>
          <w:b w:val="0"/>
          <w:sz w:val="32"/>
          <w:rtl w:val="0"/>
          <w:lang w:val="en-US" w:eastAsia="zh-CN"/>
        </w:rPr>
      </w:pPr>
      <w:bookmarkStart w:id="81" w:name="_Toc21663"/>
      <w:bookmarkStart w:id="82" w:name="_Toc8815"/>
      <w:r>
        <w:rPr>
          <w:rFonts w:hint="default" w:ascii="Times New Roman" w:hAnsi="Times New Roman" w:eastAsia="黑体" w:cs="Times New Roman"/>
          <w:b w:val="0"/>
          <w:sz w:val="32"/>
          <w:rtl w:val="0"/>
          <w:lang w:val="en-US" w:eastAsia="zh-CN"/>
        </w:rPr>
        <w:t xml:space="preserve">  </w:t>
      </w:r>
      <w:bookmarkStart w:id="83" w:name="_Toc6170"/>
      <w:bookmarkStart w:id="84" w:name="_Toc4944"/>
      <w:r>
        <w:rPr>
          <w:rFonts w:hint="default" w:ascii="Times New Roman" w:hAnsi="Times New Roman" w:eastAsia="黑体" w:cs="Times New Roman"/>
          <w:b w:val="0"/>
          <w:sz w:val="32"/>
          <w:rtl w:val="0"/>
          <w:lang w:val="en-US" w:eastAsia="zh-CN"/>
        </w:rPr>
        <w:t>以扩大内需战略激活消费潜力  打造有影响力的区域消费中心</w:t>
      </w:r>
      <w:bookmarkEnd w:id="83"/>
      <w:bookmarkEnd w:id="84"/>
    </w:p>
    <w:p>
      <w:pPr>
        <w:pStyle w:val="25"/>
        <w:pageBreakBefore w:val="0"/>
        <w:kinsoku/>
        <w:overflowPunct/>
        <w:autoSpaceDE/>
        <w:autoSpaceDN/>
        <w:bidi w:val="0"/>
        <w:adjustRightInd/>
        <w:spacing w:line="560" w:lineRule="exact"/>
        <w:ind w:firstLine="64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抢抓</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国家扩大内需战</w:t>
      </w: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略、构建新发展格局机遇，发挥消费基础性作用和投资关键性作用，完善现代流通体系，</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进一步激发居民消费潜力，全面增强服务供给的适配性</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在合肥市</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积极打造长三角重要的区域性消费中心城市、申建国际消费中心城市</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中贡献瑶海力量</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85" w:name="_Toc21266"/>
      <w:bookmarkStart w:id="86" w:name="_Toc29187"/>
      <w:r>
        <w:rPr>
          <w:rFonts w:hint="default" w:ascii="Times New Roman" w:hAnsi="Times New Roman" w:eastAsia="宋体" w:cs="Times New Roman"/>
          <w:sz w:val="32"/>
          <w:rtl w:val="0"/>
          <w:lang w:val="en-US" w:eastAsia="zh-CN"/>
        </w:rPr>
        <w:t>打通国内国际市场链接</w:t>
      </w:r>
      <w:bookmarkEnd w:id="85"/>
      <w:bookmarkEnd w:id="86"/>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依托强大国内市场，发挥比较优势，借力中国（安徽）自由贸易试验区，协同推进国际和国内贸易，</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推动专业市场转型，</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带动全区商贸升级，</w:t>
      </w: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贯通生产、分配、流通、消费各环节，奠定融入新发展格局的坚实基础。</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开拓国内强大市场。</w:t>
      </w: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坚持政府引导、市场为主的原则，以“商贸+”为主要手段，健全优化现代流通体系，探索商业发展新模式，推动传统商贸业转型升级。实施“商贸+多业态”，发展集购物、文化、娱乐、养生、运动、社交等为一体的产业链集合型商业业态群； 实施“商贸+新零售”，发展店网融合、自助商店、个人定制等体验式消费，推进商业模式改革创新；实施“商贸+新技术”，拓宽社群电商、社区团购、直播电商、微信小程序等新渠道，建设新型商贸平台。到2025年，社会消费品零售总额超过650亿元，年均增速达8%。</w:t>
      </w:r>
    </w:p>
    <w:tbl>
      <w:tblPr>
        <w:tblStyle w:val="20"/>
        <w:tblpPr w:leftFromText="180" w:rightFromText="180" w:vertAnchor="text" w:horzAnchor="page" w:tblpX="1809" w:tblpY="302"/>
        <w:tblOverlap w:val="never"/>
        <w:tblW w:w="8301" w:type="dxa"/>
        <w:tblInd w:w="0" w:type="dxa"/>
        <w:shd w:val="clear" w:color="auto" w:fill="auto"/>
        <w:tblLayout w:type="fixed"/>
        <w:tblCellMar>
          <w:top w:w="0" w:type="dxa"/>
          <w:left w:w="0" w:type="dxa"/>
          <w:bottom w:w="0" w:type="dxa"/>
          <w:right w:w="0" w:type="dxa"/>
        </w:tblCellMar>
      </w:tblPr>
      <w:tblGrid>
        <w:gridCol w:w="8301"/>
      </w:tblGrid>
      <w:tr>
        <w:tblPrEx>
          <w:shd w:val="clear" w:color="auto" w:fill="auto"/>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87" w:name="_Toc24302"/>
            <w:r>
              <w:rPr>
                <w:rFonts w:hint="default" w:ascii="Times New Roman" w:hAnsi="Times New Roman" w:eastAsia="黑体" w:cs="Times New Roman"/>
                <w:b w:val="0"/>
                <w:bCs w:val="0"/>
                <w:i w:val="0"/>
                <w:color w:val="000000"/>
                <w:sz w:val="30"/>
                <w:szCs w:val="30"/>
                <w:u w:val="none"/>
                <w:lang w:val="en-US" w:eastAsia="zh-CN"/>
              </w:rPr>
              <w:t>专业市场转型升级工程</w:t>
            </w:r>
            <w:bookmarkEnd w:id="87"/>
          </w:p>
        </w:tc>
      </w:tr>
      <w:tr>
        <w:tblPrEx>
          <w:shd w:val="clear" w:color="auto" w:fill="auto"/>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0" w:firstLineChars="200"/>
              <w:textAlignment w:val="auto"/>
              <w:rPr>
                <w:rFonts w:hint="default" w:ascii="Times New Roman" w:hAnsi="Times New Roman" w:eastAsia="宋体" w:cs="Times New Roman"/>
                <w:i w:val="0"/>
                <w:color w:val="000000"/>
                <w:sz w:val="22"/>
                <w:szCs w:val="22"/>
                <w:u w:val="none"/>
              </w:rPr>
            </w:pPr>
            <w:r>
              <w:rPr>
                <w:rFonts w:hint="default" w:ascii="Times New Roman" w:hAnsi="Times New Roman" w:eastAsia="仿宋_GB2312" w:cs="Times New Roman"/>
                <w:b w:val="0"/>
                <w:bCs w:val="0"/>
                <w:kern w:val="2"/>
                <w:sz w:val="28"/>
                <w:szCs w:val="36"/>
                <w:vertAlign w:val="baseline"/>
                <w:rtl w:val="0"/>
                <w:lang w:val="en-US" w:eastAsia="zh-CN" w:bidi="ar-SA"/>
              </w:rPr>
              <w:t>坚持政府引导、市场为主，区街联动、以街为主原则，采取业态转型、整合优化、改造提升、关停退出、模式调整等综合整治举措，突破专业市场产权分散化等瓶颈问题，加快市场转型步伐。重点推进安徽时尚街区建设，加快安徽国际汽车城改造提升，鼓励支持周谷堆国际物流园产业升级，引导大型家居卖场打造家居生活商业综合体，支持有条件的专业市场完成电商平台建设，促进线上线下融合，推动实体经济发展。</w:t>
            </w:r>
          </w:p>
        </w:tc>
      </w:tr>
    </w:tbl>
    <w:p>
      <w:pPr>
        <w:pStyle w:val="25"/>
        <w:keepNext w:val="0"/>
        <w:keepLines w:val="0"/>
        <w:pageBreakBefore w:val="0"/>
        <w:widowControl w:val="0"/>
        <w:numPr>
          <w:ilvl w:val="0"/>
          <w:numId w:val="0"/>
        </w:numPr>
        <w:kinsoku/>
        <w:wordWrap/>
        <w:overflowPunct/>
        <w:topLinePunct w:val="0"/>
        <w:autoSpaceDE/>
        <w:autoSpaceDN/>
        <w:bidi w:val="0"/>
        <w:adjustRightInd/>
        <w:snapToGrid/>
        <w:spacing w:before="157" w:beforeLines="50"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提高对外贸易水平。</w:t>
      </w: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遵循国际通行经贸规则，充分利用沪苏浙对外投资贸易平台和通道，促进国内国际两个市场有效链接，大力吸引外商投资，扩大对外贸易。突出服务新注册或转型生产加工型的进出口企业，积极培育新增外贸企业，加强对外贸企业的政策辅导、纳税服务和重点帮扶，支持跨境电子商务平台建设和外贸新业态发展，支持帮助安徽盒子健康公司、安徽国弘工贸等大型进出口企业，进一步做大进出口总量。到2025年，进出口总额达到3.4亿美元，年均增速高于全国平均水平。</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88" w:name="_Toc32489"/>
      <w:bookmarkStart w:id="89" w:name="_Toc2329"/>
      <w:r>
        <w:rPr>
          <w:rFonts w:hint="default" w:ascii="Times New Roman" w:hAnsi="Times New Roman" w:eastAsia="宋体" w:cs="Times New Roman"/>
          <w:sz w:val="32"/>
          <w:rtl w:val="0"/>
          <w:lang w:val="en-US" w:eastAsia="zh-CN"/>
        </w:rPr>
        <w:t>全面激活消费潜力</w:t>
      </w:r>
      <w:bookmarkEnd w:id="88"/>
      <w:bookmarkEnd w:id="89"/>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顺应消费升级趋势，提升传统消费，培育新型消费，适当增加公共消费，</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推进汽车等大件商品由购买管理向使用管理转变，</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鼓励消费新模式新业态发展</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促进消费向绿色、健康、安全发展。</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大力培育新兴消费。</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升级消费结构，创新无接触消费模式，加快发展线上消费、健康消费以及生鲜电商、在线办公、在线教育、数字娱乐、网络诊疗等新业态，培育新消费领域增长点。发展</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线上引流</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实体消费</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新模式，打造</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衣食住行购享游</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体验式</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数字</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消费。不断激发</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夜市经济</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共享经济</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等活力，推动存量消费回补，更好激发潜在增量消费。严格落实带薪休假制度，扩大节假日消费。</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积极创建国家级文化和旅游、体育消费试点（示范）城市，为合肥市申建</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国际消费中心城市</w:t>
      </w:r>
      <w:r>
        <w:rPr>
          <w:rFonts w:hint="eastAsia" w:eastAsia="仿宋_GB2312" w:cs="Times New Roman"/>
          <w:color w:val="000000" w:themeColor="text1"/>
          <w:sz w:val="32"/>
          <w:szCs w:val="32"/>
          <w:shd w:val="clear" w:color="auto" w:fill="FFFFFF"/>
          <w:lang w:eastAsia="zh-CN"/>
          <w14:textFill>
            <w14:solidFill>
              <w14:schemeClr w14:val="tx1"/>
            </w14:solidFill>
          </w14:textFill>
        </w:rPr>
        <w:t>作出</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贡献。</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FF"/>
          <w:sz w:val="32"/>
          <w:szCs w:val="32"/>
          <w:shd w:val="clear" w:color="auto" w:fill="FFFFFF"/>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建设新消费场景。</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布局面向社会、触摸未来、链接应用的新消费场景，聚焦休闲、社交、体验三大消费场景层级，加快释放消费潜力。</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突出建设</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夜间</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消费场景，</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加快整合</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传统商业网点，建设一批</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夜间风情街区、夜间购物潮地、夜间乐动场馆等。</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全力</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打造</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夜瑶海</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品牌，</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建设</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品质夜市</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建设</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1个夜间经济集聚区、2条夜间经济集聚轴、1个市级夜市商业街区</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促进夜间经济发展。坚持</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提升老街区、培育新街区、创建名街区</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的思路，坚持功能建设与文化支撑并行</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到2025年，</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力争打造国家级特色商业街区1条、省市级特色商业街区</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条。</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打造安全放心消费环境。</w:t>
      </w:r>
      <w:r>
        <w:rPr>
          <w:rFonts w:hint="default" w:ascii="Times New Roman" w:hAnsi="Times New Roman" w:eastAsia="仿宋_GB2312" w:cs="Times New Roman"/>
          <w:color w:val="000000" w:themeColor="text1"/>
          <w:sz w:val="32"/>
          <w:szCs w:val="32"/>
          <w14:textFill>
            <w14:solidFill>
              <w14:schemeClr w14:val="tx1"/>
            </w14:solidFill>
          </w14:textFill>
        </w:rPr>
        <w:t>深入开展质量提升行动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完善质量基础设施，加强标准、计量、专利等体系和能力建设</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，指导帮助</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不少于</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10家企业申报市级以上标准化试点。</w:t>
      </w:r>
      <w:r>
        <w:rPr>
          <w:rFonts w:hint="default" w:ascii="Times New Roman" w:hAnsi="Times New Roman" w:eastAsia="仿宋_GB2312" w:cs="Times New Roman"/>
          <w:color w:val="000000" w:themeColor="text1"/>
          <w:sz w:val="32"/>
          <w:szCs w:val="32"/>
          <w14:textFill>
            <w14:solidFill>
              <w14:schemeClr w14:val="tx1"/>
            </w14:solidFill>
          </w14:textFill>
        </w:rPr>
        <w:t>遵循</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四个最严</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要求，</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开展食品安全放心工程攻坚行动</w:t>
      </w:r>
      <w:r>
        <w:rPr>
          <w:rFonts w:hint="default" w:ascii="Times New Roman" w:hAnsi="Times New Roman" w:eastAsia="仿宋_GB2312" w:cs="Times New Roman"/>
          <w:color w:val="000000" w:themeColor="text1"/>
          <w:sz w:val="32"/>
          <w:szCs w:val="32"/>
          <w14:textFill>
            <w14:solidFill>
              <w14:schemeClr w14:val="tx1"/>
            </w14:solidFill>
          </w14:textFill>
        </w:rPr>
        <w:t>，强化药品、药械、保健品、化妆品等的监管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完善食品药品安全追溯体系，</w:t>
      </w:r>
      <w:r>
        <w:rPr>
          <w:rFonts w:hint="default" w:ascii="Times New Roman" w:hAnsi="Times New Roman" w:eastAsia="仿宋_GB2312" w:cs="Times New Roman"/>
          <w:color w:val="000000" w:themeColor="text1"/>
          <w:sz w:val="32"/>
          <w:szCs w:val="32"/>
          <w14:textFill>
            <w14:solidFill>
              <w14:schemeClr w14:val="tx1"/>
            </w14:solidFill>
          </w14:textFill>
        </w:rPr>
        <w:t>深入推进食品安全区建设</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推进依法管网，引导、督促网络交易平台落实相关责任。力争发展在线消费纠纷解决企业5个以上</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新增建设规范化的12315消费维权服务站点</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联络点</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10个以上</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认真开展</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无传销社区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无传销网络平台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创建活动，完善传销综合治理机制。到2025年，全区新增区级放心消费示范单位500家以上，市级放心消费示范单位50家以上。</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90" w:name="_Toc9902"/>
      <w:bookmarkStart w:id="91" w:name="_Toc2066"/>
      <w:r>
        <w:rPr>
          <w:rFonts w:hint="default" w:ascii="Times New Roman" w:hAnsi="Times New Roman" w:eastAsia="宋体" w:cs="Times New Roman"/>
          <w:sz w:val="32"/>
          <w:rtl w:val="0"/>
          <w:lang w:val="en-US" w:eastAsia="zh-CN"/>
        </w:rPr>
        <w:t>精准扩大有效投资</w:t>
      </w:r>
      <w:bookmarkEnd w:id="90"/>
      <w:bookmarkEnd w:id="91"/>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充分发挥投资对优化供给结构的关键作用，</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优化</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政府投资</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结构</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，充分激发社会投资活力，保持投资合理增长，以高质量供给引领和创造新需求</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bookmarkStart w:id="92" w:name="_Toc532172064"/>
      <w:bookmarkStart w:id="93" w:name="_Toc27786"/>
      <w:bookmarkStart w:id="94" w:name="_Toc16610_WPSOffice_Level1"/>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加大财政资金引导力度。</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健全投入保障制度，完善政府投资体制，充分激发社会投资的活力。发挥中央财政资金、我区平台资金的引导作用，鼓励社会资本投资，加大对城市更新、生态文明建设、文化强区建设</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等</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投资力度。着力涵养优质税源，全面落实税收优惠政策，进一步服务好重点税源企业，切实做大财税经济</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蛋糕</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推进财政审计全覆盖</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保障公共资金安全高效使用</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促进</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经济运行提质增效</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强化项目保障。</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深化</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四督</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四保</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三个走</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集中开工</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等项目工作机制，推行</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容缺受理+承诺</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，保持投资合理增长。做好产业平台</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优存量、扩增量，提品质、精服务</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的文章，推动平台建设与运营升级。围绕项目策划、引进、落地、开工、投产等全过程，建立一整套服务保障机制。以提高大建设计划执行率为目标，制定大建设计划执行保障机制，把大建设计划做精、做细、做实。</w:t>
      </w:r>
      <w:bookmarkStart w:id="95" w:name="_Toc532172056"/>
      <w:bookmarkStart w:id="96" w:name="_Toc20460_WPSOffice_Level1"/>
      <w:bookmarkStart w:id="97" w:name="_Toc4164"/>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加强用地保障</w:t>
      </w:r>
      <w:bookmarkEnd w:id="95"/>
      <w:bookmarkEnd w:id="96"/>
      <w:bookmarkEnd w:id="97"/>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加快老工业区搬迁改造进度，推进计划内的工业企业实施就地改造、异地迁建和依法关停。完善升级</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工业用地收储+棚改</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等模式，加快工业</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用地再</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利用进度</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推进迅捷物流、电机厂、省水泥制品厂等地块上市工作</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加强征地力度，</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持续推进居住、商住用地上市工作，为招商引资项目</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提供</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土地供应保障</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拓宽融资渠道</w:t>
      </w:r>
      <w:bookmarkEnd w:id="92"/>
      <w:bookmarkEnd w:id="93"/>
      <w:bookmarkEnd w:id="94"/>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完善金融服务体系，大力发展中小金融机构，形成多样化的金融服务主体。积极争取开发性、政策性金融机构信贷资金，扩大政策性融资担保规模。</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积极争取</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上级专项资金和地方专项债，优先实施能实现融资和收益自求平衡的公益性项目</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加大对老旧小区改造、国有企业发展专项债券的争取力度</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。设立信贷风险补偿资金池，加大对政策性融资担保公司支持力度。争取基础设施领域不动产投资信托基金（</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REITs</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）试点</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盘活基础设施存量资产。支持企业通过挂牌上市等方式实现多元化融资。依托信用和资本平台，拓宽投融资渠道，实现投融资主体多元化，构建以国资公司为主，安保公司、文旅公司为辅的国资体系</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促进投融资平台健康运转</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bookmarkStart w:id="98" w:name="_Toc26971163"/>
      <w:bookmarkStart w:id="99" w:name="_Toc1597"/>
      <w:bookmarkStart w:id="100" w:name="_Toc14568"/>
      <w:bookmarkStart w:id="101" w:name="_Toc18653951"/>
      <w:r>
        <w:rPr>
          <w:rFonts w:hint="default" w:ascii="Times New Roman" w:hAnsi="Times New Roman" w:eastAsia="宋体" w:cs="Times New Roman"/>
          <w:sz w:val="32"/>
          <w:rtl w:val="0"/>
          <w:lang w:val="en-US" w:eastAsia="zh-CN"/>
        </w:rPr>
        <w:t xml:space="preserve"> </w:t>
      </w:r>
      <w:bookmarkStart w:id="102" w:name="_Toc9329"/>
      <w:bookmarkStart w:id="103" w:name="_Toc25903"/>
      <w:r>
        <w:rPr>
          <w:rFonts w:hint="default" w:ascii="Times New Roman" w:hAnsi="Times New Roman" w:eastAsia="宋体" w:cs="Times New Roman"/>
          <w:sz w:val="32"/>
          <w:rtl w:val="0"/>
          <w:lang w:val="en-US" w:eastAsia="zh-CN"/>
        </w:rPr>
        <w:t>优化营商环境</w:t>
      </w:r>
      <w:bookmarkEnd w:id="102"/>
      <w:bookmarkEnd w:id="103"/>
    </w:p>
    <w:bookmarkEnd w:id="98"/>
    <w:bookmarkEnd w:id="99"/>
    <w:bookmarkEnd w:id="100"/>
    <w:bookmarkEnd w:id="101"/>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b w:val="0"/>
          <w:bCs/>
          <w:kern w:val="2"/>
          <w:sz w:val="32"/>
          <w:szCs w:val="32"/>
          <w:rtl w:val="0"/>
          <w:lang w:val="en-US" w:eastAsia="zh-CN" w:bidi="ar-SA"/>
        </w:rPr>
        <w:t>结合“四送一服”双千工程，开展创优营商环境提升行动，</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加大对重点领域关键环节的改革力度，</w:t>
      </w:r>
      <w:r>
        <w:rPr>
          <w:rFonts w:hint="default" w:ascii="Times New Roman" w:hAnsi="Times New Roman" w:eastAsia="仿宋_GB2312" w:cs="Times New Roman"/>
          <w:b w:val="0"/>
          <w:bCs/>
          <w:kern w:val="2"/>
          <w:sz w:val="32"/>
          <w:szCs w:val="32"/>
          <w:rtl w:val="0"/>
          <w:lang w:val="en-US" w:eastAsia="zh-CN" w:bidi="ar-SA"/>
        </w:rPr>
        <w:t>持续优化“四最”营商环境，</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着力推进企业办事便利化、政务服务智慧化、市场秩序法治化。</w:t>
      </w:r>
      <w:bookmarkStart w:id="104" w:name="_Toc2411"/>
      <w:bookmarkStart w:id="105" w:name="_Toc21753"/>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激发各类市场主体活力。</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优化民营经济发展环境，加大对民营经济扶持力度，</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赋能中小企业</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促进非公有制经济健康发展</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实施民营经济上台阶行动计划，培育一批行业领军型和成长创新型民营企业。</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实施</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企业家培育工程</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健全政企沟通长效机制，依法平等保护民营企业产权和企业家权益，督促各级干部重商、亲商、爱商、护商，构建亲清政商关系。深化国有企业改革，剥离企业办社会职能</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推进各领域国有企业建立现代企业制度。深化混合所有制改革和专业化整合，推动国有企业和国有资本做强做优做大。推进国有企业资产证券化、股权多元化，盘活企业存量资产。完善国有资产监管体制，维护国有资本安全。常态化推进</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四送一服</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双千工程，对企业</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招工难、融资难、成本高</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等问题，开展一对一、点对点的定制服务。严格落实减税降费政策</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p>
    <w:tbl>
      <w:tblPr>
        <w:tblStyle w:val="20"/>
        <w:tblpPr w:leftFromText="180" w:rightFromText="180" w:vertAnchor="text" w:horzAnchor="page" w:tblpX="1809" w:tblpY="302"/>
        <w:tblOverlap w:val="never"/>
        <w:tblW w:w="8301" w:type="dxa"/>
        <w:tblInd w:w="0" w:type="dxa"/>
        <w:shd w:val="clear" w:color="auto" w:fill="auto"/>
        <w:tblLayout w:type="fixed"/>
        <w:tblCellMar>
          <w:top w:w="0" w:type="dxa"/>
          <w:left w:w="0" w:type="dxa"/>
          <w:bottom w:w="0" w:type="dxa"/>
          <w:right w:w="0" w:type="dxa"/>
        </w:tblCellMar>
      </w:tblPr>
      <w:tblGrid>
        <w:gridCol w:w="8301"/>
      </w:tblGrid>
      <w:tr>
        <w:tblPrEx>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106" w:name="_Toc26472"/>
            <w:r>
              <w:rPr>
                <w:rFonts w:hint="default" w:ascii="Times New Roman" w:hAnsi="Times New Roman" w:eastAsia="黑体" w:cs="Times New Roman"/>
                <w:b w:val="0"/>
                <w:bCs w:val="0"/>
                <w:i w:val="0"/>
                <w:color w:val="000000"/>
                <w:sz w:val="30"/>
                <w:szCs w:val="30"/>
                <w:u w:val="none"/>
                <w:lang w:val="en-US" w:eastAsia="zh-CN"/>
              </w:rPr>
              <w:t>民营经济上台阶行动计划</w:t>
            </w:r>
            <w:bookmarkEnd w:id="106"/>
          </w:p>
        </w:tc>
      </w:tr>
      <w:tr>
        <w:tblPrEx>
          <w:shd w:val="clear" w:color="auto" w:fill="auto"/>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0" w:firstLineChars="200"/>
              <w:textAlignment w:val="auto"/>
              <w:rPr>
                <w:rFonts w:hint="default" w:ascii="Times New Roman" w:hAnsi="Times New Roman" w:eastAsia="宋体" w:cs="Times New Roman"/>
                <w:i w:val="0"/>
                <w:color w:val="000000"/>
                <w:sz w:val="22"/>
                <w:szCs w:val="22"/>
                <w:u w:val="none"/>
              </w:rPr>
            </w:pPr>
            <w:r>
              <w:rPr>
                <w:rFonts w:hint="default" w:ascii="Times New Roman" w:hAnsi="Times New Roman" w:eastAsia="仿宋_GB2312" w:cs="Times New Roman"/>
                <w:b w:val="0"/>
                <w:bCs w:val="0"/>
                <w:kern w:val="2"/>
                <w:sz w:val="28"/>
                <w:szCs w:val="36"/>
                <w:vertAlign w:val="baseline"/>
                <w:rtl w:val="0"/>
                <w:lang w:val="en-US" w:eastAsia="zh-CN" w:bidi="ar-SA"/>
              </w:rPr>
              <w:t>根据《全省民营经济上台阶行动计划（2019</w:t>
            </w:r>
            <w:r>
              <w:rPr>
                <w:rFonts w:hint="default" w:ascii="Times New Roman" w:hAnsi="Times New Roman" w:eastAsia="仿宋_GB2312" w:cs="Times New Roman"/>
                <w:b w:val="0"/>
                <w:bCs w:val="0"/>
                <w:kern w:val="2"/>
                <w:sz w:val="28"/>
                <w:szCs w:val="36"/>
                <w:highlight w:val="none"/>
                <w:vertAlign w:val="baseline"/>
                <w:rtl w:val="0"/>
                <w:lang w:val="en-US" w:eastAsia="zh-CN" w:bidi="ar-SA"/>
              </w:rPr>
              <w:t>-2021年</w:t>
            </w:r>
            <w:r>
              <w:rPr>
                <w:rFonts w:hint="default" w:ascii="Times New Roman" w:hAnsi="Times New Roman" w:eastAsia="仿宋_GB2312" w:cs="Times New Roman"/>
                <w:b w:val="0"/>
                <w:bCs w:val="0"/>
                <w:kern w:val="2"/>
                <w:sz w:val="28"/>
                <w:szCs w:val="36"/>
                <w:vertAlign w:val="baseline"/>
                <w:rtl w:val="0"/>
                <w:lang w:val="en-US" w:eastAsia="zh-CN" w:bidi="ar-SA"/>
              </w:rPr>
              <w:t>》，着力实施市场主体培育工程、龙头企业壮大工程、民营双增示范工程、创新驱动塑造工程、管理能力提升工程、融通发展促进工程、企业家培育工程、服务体系建设工程“八大工程”，全力支持民营经济发展。</w:t>
            </w:r>
          </w:p>
        </w:tc>
      </w:tr>
    </w:tbl>
    <w:p>
      <w:pPr>
        <w:pStyle w:val="25"/>
        <w:keepNext w:val="0"/>
        <w:keepLines w:val="0"/>
        <w:pageBreakBefore w:val="0"/>
        <w:widowControl w:val="0"/>
        <w:numPr>
          <w:ilvl w:val="0"/>
          <w:numId w:val="0"/>
        </w:numPr>
        <w:kinsoku/>
        <w:wordWrap/>
        <w:overflowPunct/>
        <w:topLinePunct w:val="0"/>
        <w:autoSpaceDE/>
        <w:autoSpaceDN/>
        <w:bidi w:val="0"/>
        <w:adjustRightInd/>
        <w:snapToGrid/>
        <w:spacing w:before="157" w:beforeLines="50" w:line="560" w:lineRule="exact"/>
        <w:ind w:firstLine="643" w:firstLineChars="200"/>
        <w:textAlignment w:val="auto"/>
        <w:outlineLvl w:val="9"/>
        <w:rPr>
          <w:rFonts w:hint="default" w:ascii="Times New Roman" w:hAnsi="Times New Roman" w:eastAsia="仿宋_GB2312" w:cs="Times New Roman"/>
          <w:bCs/>
          <w:color w:val="000000" w:themeColor="text1"/>
          <w:kern w:val="2"/>
          <w:sz w:val="32"/>
          <w:szCs w:val="32"/>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加快转变政府职能。</w:t>
      </w:r>
      <w:r>
        <w:rPr>
          <w:rFonts w:hint="default" w:ascii="Times New Roman" w:hAnsi="Times New Roman" w:eastAsia="仿宋_GB2312" w:cs="Times New Roman"/>
          <w:bCs/>
          <w:color w:val="000000" w:themeColor="text1"/>
          <w:kern w:val="2"/>
          <w:sz w:val="32"/>
          <w:szCs w:val="32"/>
          <w14:textFill>
            <w14:solidFill>
              <w14:schemeClr w14:val="tx1"/>
            </w14:solidFill>
          </w14:textFill>
        </w:rPr>
        <w:t>深化简政放权、放管结合、优化服务改革，全面实行政府权责清单制度，建设职责明确、依法行政的政府治理体系</w:t>
      </w:r>
      <w:r>
        <w:rPr>
          <w:rFonts w:hint="default" w:ascii="Times New Roman" w:hAnsi="Times New Roman" w:eastAsia="仿宋_GB2312" w:cs="Times New Roman"/>
          <w:bCs/>
          <w:color w:val="000000" w:themeColor="text1"/>
          <w:kern w:val="2"/>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kern w:val="2"/>
          <w:sz w:val="32"/>
          <w:szCs w:val="32"/>
          <w14:textFill>
            <w14:solidFill>
              <w14:schemeClr w14:val="tx1"/>
            </w14:solidFill>
          </w14:textFill>
        </w:rPr>
        <w:t>推动有效市场和有为政府更好结合。实施涉企经营许可事项清单管理，加强事中事后监管，对新产业新业态实行包容审慎监管。健全重大政策事前评估和事后评价制度，畅通参与政策制定渠道。推进政务服务标准化、规范化、便利化，深化政务公开，开展示范法治政府创建工作，力争创建省级示范法治政府，努力创建国家级示范法治政府。深化行业协会、商会和中介机构改革。</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提高行政运行效能</w:t>
      </w:r>
      <w:bookmarkEnd w:id="104"/>
      <w:bookmarkEnd w:id="105"/>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w:t>
      </w:r>
      <w:r>
        <w:rPr>
          <w:rFonts w:hint="default" w:ascii="Times New Roman" w:hAnsi="Times New Roman" w:eastAsia="仿宋_GB2312" w:cs="Times New Roman"/>
          <w:sz w:val="32"/>
          <w:szCs w:val="32"/>
        </w:rPr>
        <w:t>进一步创新工作举措，优化审批流程、精简申报材料、缩短审批时间、降低办事成本，提高政府行政效能。</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建设</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完善</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7×24</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小时政务服务地图，推深做实</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7×24</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小时不打烊</w:t>
      </w:r>
      <w:r>
        <w:rPr>
          <w:rFonts w:hint="default" w:ascii="Times New Roman" w:hAnsi="Times New Roman" w:eastAsia="仿宋_GB2312" w:cs="Times New Roman"/>
          <w:color w:val="000000" w:themeColor="text1"/>
          <w:sz w:val="32"/>
          <w:szCs w:val="32"/>
          <w:shd w:val="clear" w:color="auto" w:fill="FFFFFF"/>
          <w:lang w:val="zh-CN"/>
          <w14:textFill>
            <w14:solidFill>
              <w14:schemeClr w14:val="tx1"/>
            </w14:solidFill>
          </w14:textFill>
        </w:rPr>
        <w:t>“随</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时办</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服务</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夯实基层</w:t>
      </w:r>
      <w:r>
        <w:rPr>
          <w:rFonts w:hint="default" w:ascii="Times New Roman" w:hAnsi="Times New Roman" w:eastAsia="仿宋_GB2312" w:cs="Times New Roman"/>
          <w:color w:val="000000" w:themeColor="text1"/>
          <w:sz w:val="32"/>
          <w:szCs w:val="32"/>
          <w:shd w:val="clear" w:color="auto" w:fill="FFFFFF"/>
          <w:lang w:val="zh-CN"/>
          <w14:textFill>
            <w14:solidFill>
              <w14:schemeClr w14:val="tx1"/>
            </w14:solidFill>
          </w14:textFill>
        </w:rPr>
        <w:t>“一</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窗通办+主题服务</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，通过收受分离，</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推进</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政务服务事项</w:t>
      </w:r>
      <w:r>
        <w:rPr>
          <w:rFonts w:hint="default" w:ascii="Times New Roman" w:hAnsi="Times New Roman" w:eastAsia="仿宋_GB2312" w:cs="Times New Roman"/>
          <w:color w:val="000000" w:themeColor="text1"/>
          <w:sz w:val="32"/>
          <w:szCs w:val="32"/>
          <w:shd w:val="clear" w:color="auto" w:fill="FFFFFF"/>
          <w:lang w:val="zh-CN"/>
          <w14:textFill>
            <w14:solidFill>
              <w14:schemeClr w14:val="tx1"/>
            </w14:solidFill>
          </w14:textFill>
        </w:rPr>
        <w:t>“全</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区通办</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w:t>
      </w:r>
      <w:r>
        <w:rPr>
          <w:rFonts w:hint="default" w:ascii="Times New Roman" w:hAnsi="Times New Roman" w:eastAsia="仿宋_GB2312" w:cs="Times New Roman"/>
          <w:sz w:val="32"/>
          <w:szCs w:val="32"/>
        </w:rPr>
        <w:t>全面深化</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办好一件事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改革</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逐步</w:t>
      </w:r>
      <w:r>
        <w:rPr>
          <w:rFonts w:hint="default" w:ascii="Times New Roman" w:hAnsi="Times New Roman" w:eastAsia="仿宋_GB2312" w:cs="Times New Roman"/>
          <w:sz w:val="32"/>
          <w:szCs w:val="32"/>
        </w:rPr>
        <w:t>实现任何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一件事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一次办</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，真正将</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最多跑一次</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落到实处。设置区12345热线服务专席</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建立完善</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接诉即办</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政务服务总客服。</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做好</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合肥通</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皖事通</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推广工作</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全面推进“信用瑶海”建设。</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推进运用</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信用合肥</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信息共享服务平台，拓展信息应用渠道，将信用管理嵌入各级各部门办事流程和业务系统。加强部门、属地之间的联合奖惩，健全信用约束和失信联合惩戒机制，扩大信用联合奖惩机制应用范围。发挥社会共治力量，让失信主体</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一处违法、处处受限</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。创新建立瑶海</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信易</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体系，把信用工作纳入瑶海社会全行业。</w:t>
      </w:r>
    </w:p>
    <w:p>
      <w:pPr>
        <w:pStyle w:val="2"/>
        <w:keepNext/>
        <w:keepLines/>
        <w:pageBreakBefore w:val="0"/>
        <w:widowControl w:val="0"/>
        <w:numPr>
          <w:ilvl w:val="0"/>
          <w:numId w:val="2"/>
        </w:numPr>
        <w:kinsoku/>
        <w:wordWrap/>
        <w:overflowPunct/>
        <w:topLinePunct w:val="0"/>
        <w:autoSpaceDE/>
        <w:autoSpaceDN/>
        <w:bidi w:val="0"/>
        <w:adjustRightInd/>
        <w:snapToGrid/>
        <w:spacing w:before="313" w:beforeLines="100" w:after="50" w:afterLines="50" w:line="560" w:lineRule="exact"/>
        <w:ind w:left="0" w:leftChars="0" w:firstLine="640" w:firstLineChars="200"/>
        <w:jc w:val="left"/>
        <w:textAlignment w:val="auto"/>
        <w:rPr>
          <w:rFonts w:hint="default" w:ascii="Times New Roman" w:hAnsi="Times New Roman" w:eastAsia="黑体" w:cs="Times New Roman"/>
          <w:b w:val="0"/>
          <w:sz w:val="32"/>
          <w:rtl w:val="0"/>
          <w:lang w:val="en-US" w:eastAsia="zh-CN"/>
        </w:rPr>
      </w:pPr>
      <w:r>
        <w:rPr>
          <w:rFonts w:hint="default" w:ascii="Times New Roman" w:hAnsi="Times New Roman" w:eastAsia="黑体" w:cs="Times New Roman"/>
          <w:b w:val="0"/>
          <w:sz w:val="32"/>
          <w:rtl w:val="0"/>
          <w:lang w:val="en-US" w:eastAsia="zh-CN"/>
        </w:rPr>
        <w:t xml:space="preserve">  </w:t>
      </w:r>
      <w:bookmarkStart w:id="107" w:name="_Toc18481"/>
      <w:bookmarkStart w:id="108" w:name="_Toc22387"/>
      <w:r>
        <w:rPr>
          <w:rFonts w:hint="default" w:ascii="Times New Roman" w:hAnsi="Times New Roman" w:eastAsia="黑体" w:cs="Times New Roman"/>
          <w:b w:val="0"/>
          <w:sz w:val="32"/>
          <w:rtl w:val="0"/>
          <w:lang w:val="en-US" w:eastAsia="zh-CN"/>
        </w:rPr>
        <w:t>以城市更新提升城市品质  塑造城区环境新面貌</w:t>
      </w:r>
      <w:bookmarkEnd w:id="107"/>
      <w:bookmarkEnd w:id="108"/>
    </w:p>
    <w:bookmarkEnd w:id="81"/>
    <w:bookmarkEnd w:id="82"/>
    <w:p>
      <w:pPr>
        <w:pStyle w:val="25"/>
        <w:pageBreakBefore w:val="0"/>
        <w:kinsoku/>
        <w:overflowPunct/>
        <w:autoSpaceDE/>
        <w:autoSpaceDN/>
        <w:bidi w:val="0"/>
        <w:adjustRightInd/>
        <w:spacing w:line="560" w:lineRule="exact"/>
        <w:ind w:firstLine="640"/>
        <w:textAlignment w:val="auto"/>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抢抓国家全面推进城镇老旧小区改造、实施城市更新行动等机遇，</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加大旧城改造力度，</w:t>
      </w: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统筹推进城区基础设施、公共服务设施和新型基础设施建设</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打造具有特色风貌的品质城区。</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109" w:name="_Toc21358"/>
      <w:bookmarkStart w:id="110" w:name="_Toc22220"/>
      <w:r>
        <w:rPr>
          <w:rFonts w:hint="default" w:ascii="Times New Roman" w:hAnsi="Times New Roman" w:eastAsia="宋体" w:cs="Times New Roman"/>
          <w:sz w:val="32"/>
          <w:rtl w:val="0"/>
          <w:lang w:val="en-US" w:eastAsia="zh-CN"/>
        </w:rPr>
        <w:t>统筹推进基础设施建设</w:t>
      </w:r>
      <w:bookmarkEnd w:id="109"/>
      <w:bookmarkEnd w:id="110"/>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bookmarkStart w:id="111" w:name="_Toc11873"/>
      <w:bookmarkStart w:id="112" w:name="_Toc26249"/>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不断完善交通和水利设施，持续推进能源革命，构建系统完备、高效实用、智能绿色、安全可靠的现代化基础设施体系。</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加强交通设施建设</w:t>
      </w:r>
      <w:bookmarkEnd w:id="111"/>
      <w:bookmarkEnd w:id="112"/>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加快实施包公大道、郎溪路高架（明皇路</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裕溪路）等快速化改造工程，继续完善</w:t>
      </w:r>
      <w:r>
        <w:rPr>
          <w:rFonts w:hint="default" w:ascii="Times New Roman" w:hAnsi="Times New Roman" w:eastAsia="仿宋_GB2312" w:cs="Times New Roman"/>
          <w:color w:val="000000" w:themeColor="text1"/>
          <w:sz w:val="32"/>
          <w:szCs w:val="32"/>
          <w:shd w:val="clear" w:color="auto" w:fill="FFFFFF"/>
          <w:lang w:val="zh-CN"/>
          <w14:textFill>
            <w14:solidFill>
              <w14:schemeClr w14:val="tx1"/>
            </w14:solidFill>
          </w14:textFill>
        </w:rPr>
        <w:t>“一</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环两横两纵</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的快速路网架构</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加快推进采石路、长江东路等工程建设，尽快实施淮南路、广德路、龙岗路等重点路桥项目，着力构建完善的</w:t>
      </w:r>
      <w:r>
        <w:rPr>
          <w:rFonts w:hint="default" w:ascii="Times New Roman" w:hAnsi="Times New Roman" w:eastAsia="仿宋_GB2312" w:cs="Times New Roman"/>
          <w:color w:val="000000" w:themeColor="text1"/>
          <w:sz w:val="32"/>
          <w:szCs w:val="32"/>
          <w:shd w:val="clear" w:color="auto" w:fill="FFFFFF"/>
          <w:lang w:val="zh-CN"/>
          <w14:textFill>
            <w14:solidFill>
              <w14:schemeClr w14:val="tx1"/>
            </w14:solidFill>
          </w14:textFill>
        </w:rPr>
        <w:t>“五横</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八纵</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主干路网</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加强道路微循环改造</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打通一批</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断头路</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，扩建一批</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循环路</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”，持续提升区域交通承载力和通行效率，</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区内道路密度每平方公里达到7.4公里</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。推动</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明光路</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汽车站、危化品码头等交通场站</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搬迁</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、整合，优化运力布局</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有力保障</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轨道交通、</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合安铁路等</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重大</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项目</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建设。</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推进现代能源体系建设。</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坚持因地制宜、分类引导、绿色发展、综合利用，完善全区电网、气网等基础设施建设，优化能源供给结构，提升能源供应保障能力。重点新建、改建</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一批</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110kV</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及以上变电站，优化建设供电廊道。结合道路建设，同步推进燃气、热力等管网建设，提高城区燃气、热力管网覆盖率。</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highlight w:val="none"/>
          <w:rtl w:val="0"/>
          <w:lang w:val="en-US" w:eastAsia="zh-CN" w:bidi="ar-SA"/>
          <w14:textFill>
            <w14:solidFill>
              <w14:schemeClr w14:val="tx1"/>
            </w14:solidFill>
          </w14:textFill>
        </w:rPr>
        <w:t>提高给排水保障能力。</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与市政道路同步</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开展</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供水管网建设工程，提高自来水覆盖率。新建龙岗路、淮南路</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等</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互联互通供水管道。结合合肥市雨、污水专项规划，</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实施</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排水系统雨污分流改造项目</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加快全区范围内雨、污水改造，</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健全</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雨、污水管网体系。扩建凤凰桥、陆小郢泵站</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等一批泵站</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，新建明光路等泵站</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p>
    <w:tbl>
      <w:tblPr>
        <w:tblStyle w:val="20"/>
        <w:tblpPr w:leftFromText="180" w:rightFromText="180" w:vertAnchor="text" w:horzAnchor="page" w:tblpX="1809" w:tblpY="302"/>
        <w:tblOverlap w:val="never"/>
        <w:tblW w:w="8301" w:type="dxa"/>
        <w:tblInd w:w="0" w:type="dxa"/>
        <w:shd w:val="clear" w:color="auto" w:fill="auto"/>
        <w:tblLayout w:type="fixed"/>
        <w:tblCellMar>
          <w:top w:w="0" w:type="dxa"/>
          <w:left w:w="0" w:type="dxa"/>
          <w:bottom w:w="0" w:type="dxa"/>
          <w:right w:w="0" w:type="dxa"/>
        </w:tblCellMar>
      </w:tblPr>
      <w:tblGrid>
        <w:gridCol w:w="8301"/>
      </w:tblGrid>
      <w:tr>
        <w:tblPrEx>
          <w:shd w:val="clear" w:color="auto" w:fill="auto"/>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113" w:name="_Toc22102"/>
            <w:r>
              <w:rPr>
                <w:rFonts w:hint="default" w:ascii="Times New Roman" w:hAnsi="Times New Roman" w:eastAsia="黑体" w:cs="Times New Roman"/>
                <w:b w:val="0"/>
                <w:bCs w:val="0"/>
                <w:i w:val="0"/>
                <w:color w:val="000000"/>
                <w:sz w:val="30"/>
                <w:szCs w:val="30"/>
                <w:u w:val="none"/>
              </w:rPr>
              <w:t>基础设施建设</w:t>
            </w:r>
            <w:r>
              <w:rPr>
                <w:rFonts w:hint="default" w:ascii="Times New Roman" w:hAnsi="Times New Roman" w:eastAsia="黑体" w:cs="Times New Roman"/>
                <w:b w:val="0"/>
                <w:bCs w:val="0"/>
                <w:i w:val="0"/>
                <w:color w:val="000000"/>
                <w:sz w:val="30"/>
                <w:szCs w:val="30"/>
                <w:u w:val="none"/>
                <w:lang w:val="en-US" w:eastAsia="zh-CN"/>
              </w:rPr>
              <w:t>重大工程</w:t>
            </w:r>
            <w:r>
              <w:rPr>
                <w:rFonts w:hint="default" w:ascii="Times New Roman" w:hAnsi="Times New Roman" w:eastAsia="黑体" w:cs="Times New Roman"/>
                <w:b w:val="0"/>
                <w:bCs w:val="0"/>
                <w:i w:val="0"/>
                <w:color w:val="000000"/>
                <w:sz w:val="30"/>
                <w:szCs w:val="30"/>
                <w:u w:val="none"/>
              </w:rPr>
              <w:t>项目</w:t>
            </w:r>
            <w:bookmarkEnd w:id="113"/>
          </w:p>
        </w:tc>
      </w:tr>
      <w:tr>
        <w:tblPrEx>
          <w:shd w:val="clear" w:color="auto" w:fill="auto"/>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7"/>
              <w:keepNext w:val="0"/>
              <w:keepLines w:val="0"/>
              <w:pageBreakBefore w:val="0"/>
              <w:widowControl w:val="0"/>
              <w:kinsoku/>
              <w:wordWrap w:val="0"/>
              <w:overflowPunct/>
              <w:topLinePunct/>
              <w:autoSpaceDE/>
              <w:autoSpaceDN/>
              <w:bidi w:val="0"/>
              <w:adjustRightInd/>
              <w:snapToGrid/>
              <w:spacing w:before="157" w:beforeLines="50" w:line="440" w:lineRule="exact"/>
              <w:ind w:left="0" w:leftChars="0" w:firstLine="562" w:firstLineChars="200"/>
              <w:textAlignment w:val="auto"/>
              <w:rPr>
                <w:rFonts w:hint="default" w:ascii="Times New Roman" w:hAnsi="Times New Roman" w:eastAsia="仿宋_GB2312" w:cs="Times New Roman"/>
                <w:b w:val="0"/>
                <w:bCs w:val="0"/>
                <w:kern w:val="2"/>
                <w:sz w:val="28"/>
                <w:szCs w:val="36"/>
                <w:vertAlign w:val="baseline"/>
                <w:lang w:val="en-US" w:eastAsia="zh-CN" w:bidi="ar-SA"/>
              </w:rPr>
            </w:pPr>
            <w:r>
              <w:rPr>
                <w:rFonts w:hint="default" w:ascii="Times New Roman" w:hAnsi="Times New Roman" w:eastAsia="楷体_GB2312" w:cs="Times New Roman"/>
                <w:b/>
                <w:bCs/>
                <w:kern w:val="2"/>
                <w:sz w:val="28"/>
                <w:szCs w:val="36"/>
                <w:vertAlign w:val="baseline"/>
                <w:lang w:val="en-US" w:eastAsia="zh-CN" w:bidi="ar-SA"/>
              </w:rPr>
              <w:t>交通设施建设项目。</w:t>
            </w:r>
            <w:r>
              <w:rPr>
                <w:rFonts w:hint="default" w:ascii="Times New Roman" w:hAnsi="Times New Roman" w:eastAsia="仿宋_GB2312" w:cs="Times New Roman"/>
                <w:b w:val="0"/>
                <w:bCs w:val="0"/>
                <w:kern w:val="2"/>
                <w:sz w:val="28"/>
                <w:szCs w:val="36"/>
                <w:vertAlign w:val="baseline"/>
                <w:lang w:val="en-US" w:eastAsia="zh-CN" w:bidi="ar-SA"/>
              </w:rPr>
              <w:t>保障畅通二环、长江东路、包公大道高架、郎溪路快速化改造、大众路、采石路、戚继光路、广德路等重点路桥项目建设；推进花冲路、姑山路、片塘路、大彭路等区级支路网建设；</w:t>
            </w:r>
            <w:r>
              <w:rPr>
                <w:rFonts w:hint="default" w:ascii="Times New Roman" w:hAnsi="Times New Roman" w:eastAsia="仿宋_GB2312" w:cs="Times New Roman"/>
                <w:b w:val="0"/>
                <w:bCs w:val="0"/>
                <w:kern w:val="2"/>
                <w:sz w:val="28"/>
                <w:szCs w:val="36"/>
                <w:highlight w:val="none"/>
                <w:vertAlign w:val="baseline"/>
                <w:lang w:val="en-US" w:eastAsia="zh-CN" w:bidi="ar-SA"/>
              </w:rPr>
              <w:t>保障</w:t>
            </w:r>
            <w:r>
              <w:rPr>
                <w:rFonts w:hint="default" w:ascii="Times New Roman" w:hAnsi="Times New Roman" w:eastAsia="仿宋_GB2312" w:cs="Times New Roman"/>
                <w:b w:val="0"/>
                <w:bCs w:val="0"/>
                <w:kern w:val="2"/>
                <w:sz w:val="28"/>
                <w:szCs w:val="36"/>
                <w:vertAlign w:val="baseline"/>
                <w:lang w:val="en-US" w:eastAsia="zh-CN" w:bidi="ar-SA"/>
              </w:rPr>
              <w:t>轨道1号线三期、2号线东延、4号线、6号线、合安高铁等一批轨道铁路项目建设。</w:t>
            </w:r>
          </w:p>
          <w:p>
            <w:pPr>
              <w:pStyle w:val="5"/>
              <w:keepNext w:val="0"/>
              <w:keepLines w:val="0"/>
              <w:pageBreakBefore w:val="0"/>
              <w:kinsoku/>
              <w:overflowPunct/>
              <w:autoSpaceDE/>
              <w:autoSpaceDN/>
              <w:bidi w:val="0"/>
              <w:adjustRightInd/>
              <w:snapToGrid/>
              <w:spacing w:line="440" w:lineRule="exact"/>
              <w:ind w:left="0" w:leftChars="0" w:firstLine="562" w:firstLineChars="200"/>
              <w:textAlignment w:val="auto"/>
              <w:rPr>
                <w:rFonts w:hint="default" w:ascii="Times New Roman" w:hAnsi="Times New Roman" w:eastAsia="仿宋_GB2312" w:cs="Times New Roman"/>
                <w:b w:val="0"/>
                <w:bCs w:val="0"/>
                <w:kern w:val="2"/>
                <w:sz w:val="28"/>
                <w:szCs w:val="36"/>
                <w:vertAlign w:val="baseline"/>
                <w:rtl w:val="0"/>
                <w:lang w:val="en-US" w:eastAsia="zh-CN" w:bidi="ar-SA"/>
              </w:rPr>
            </w:pPr>
            <w:r>
              <w:rPr>
                <w:rFonts w:hint="default" w:ascii="Times New Roman" w:hAnsi="Times New Roman" w:eastAsia="楷体_GB2312" w:cs="Times New Roman"/>
                <w:b/>
                <w:bCs/>
                <w:kern w:val="2"/>
                <w:sz w:val="28"/>
                <w:szCs w:val="36"/>
                <w:vertAlign w:val="baseline"/>
                <w:rtl w:val="0"/>
                <w:lang w:val="en-US" w:eastAsia="zh-CN" w:bidi="ar-SA"/>
              </w:rPr>
              <w:t>能源体系建设项目。</w:t>
            </w:r>
            <w:r>
              <w:rPr>
                <w:rFonts w:hint="default" w:ascii="Times New Roman" w:hAnsi="Times New Roman" w:eastAsia="仿宋_GB2312" w:cs="Times New Roman"/>
                <w:b w:val="0"/>
                <w:bCs w:val="0"/>
                <w:kern w:val="2"/>
                <w:sz w:val="28"/>
                <w:szCs w:val="36"/>
                <w:vertAlign w:val="baseline"/>
                <w:rtl w:val="0"/>
                <w:lang w:val="en-US" w:eastAsia="zh-CN" w:bidi="ar-SA"/>
              </w:rPr>
              <w:t>新增彭东线廊道和襄水路以南高压廊道；新建石塘路220kV变电站和兴南路变、凤台路变、临泉东路变、高亮路变、襄水路变、障山路变、云岭路变等110kV变电站，改建钢南路110kV变电站；新建凤台路</w:t>
            </w:r>
            <w:r>
              <w:rPr>
                <w:rFonts w:hint="default" w:ascii="Times New Roman" w:hAnsi="Times New Roman" w:eastAsia="仿宋_GB2312" w:cs="Times New Roman"/>
                <w:b w:val="0"/>
                <w:bCs w:val="0"/>
                <w:kern w:val="2"/>
                <w:sz w:val="28"/>
                <w:szCs w:val="36"/>
                <w:highlight w:val="none"/>
                <w:vertAlign w:val="baseline"/>
                <w:rtl w:val="0"/>
                <w:lang w:val="en-US" w:eastAsia="zh-CN" w:bidi="ar-SA"/>
              </w:rPr>
              <w:t>(</w:t>
            </w:r>
            <w:r>
              <w:rPr>
                <w:rFonts w:hint="default" w:ascii="Times New Roman" w:hAnsi="Times New Roman" w:eastAsia="仿宋_GB2312" w:cs="Times New Roman"/>
                <w:b w:val="0"/>
                <w:bCs w:val="0"/>
                <w:kern w:val="2"/>
                <w:sz w:val="28"/>
                <w:szCs w:val="36"/>
                <w:vertAlign w:val="baseline"/>
                <w:rtl w:val="0"/>
                <w:lang w:val="en-US" w:eastAsia="zh-CN" w:bidi="ar-SA"/>
              </w:rPr>
              <w:t>淮南路</w:t>
            </w:r>
            <w:r>
              <w:rPr>
                <w:rFonts w:hint="default" w:ascii="Times New Roman" w:hAnsi="Times New Roman" w:eastAsia="仿宋_GB2312" w:cs="Times New Roman"/>
                <w:b w:val="0"/>
                <w:bCs w:val="0"/>
                <w:kern w:val="2"/>
                <w:sz w:val="28"/>
                <w:szCs w:val="36"/>
                <w:highlight w:val="none"/>
                <w:vertAlign w:val="baseline"/>
                <w:rtl w:val="0"/>
                <w:lang w:val="en-US" w:eastAsia="zh-CN" w:bidi="ar-SA"/>
              </w:rPr>
              <w:t>-</w:t>
            </w:r>
            <w:r>
              <w:rPr>
                <w:rFonts w:hint="default" w:ascii="Times New Roman" w:hAnsi="Times New Roman" w:eastAsia="仿宋_GB2312" w:cs="Times New Roman"/>
                <w:b w:val="0"/>
                <w:bCs w:val="0"/>
                <w:kern w:val="2"/>
                <w:sz w:val="28"/>
                <w:szCs w:val="36"/>
                <w:vertAlign w:val="baseline"/>
                <w:rtl w:val="0"/>
                <w:lang w:val="en-US" w:eastAsia="zh-CN" w:bidi="ar-SA"/>
              </w:rPr>
              <w:t>新蚌埠路</w:t>
            </w:r>
            <w:r>
              <w:rPr>
                <w:rFonts w:hint="default" w:ascii="Times New Roman" w:hAnsi="Times New Roman" w:eastAsia="仿宋_GB2312" w:cs="Times New Roman"/>
                <w:b w:val="0"/>
                <w:bCs w:val="0"/>
                <w:kern w:val="2"/>
                <w:sz w:val="28"/>
                <w:szCs w:val="36"/>
                <w:highlight w:val="none"/>
                <w:vertAlign w:val="baseline"/>
                <w:rtl w:val="0"/>
                <w:lang w:val="en-US" w:eastAsia="zh-CN" w:bidi="ar-SA"/>
              </w:rPr>
              <w:t>)</w:t>
            </w:r>
            <w:r>
              <w:rPr>
                <w:rFonts w:hint="default" w:ascii="Times New Roman" w:hAnsi="Times New Roman" w:eastAsia="仿宋_GB2312" w:cs="Times New Roman"/>
                <w:b w:val="0"/>
                <w:bCs w:val="0"/>
                <w:kern w:val="2"/>
                <w:sz w:val="28"/>
                <w:szCs w:val="36"/>
                <w:vertAlign w:val="baseline"/>
                <w:rtl w:val="0"/>
                <w:lang w:val="en-US" w:eastAsia="zh-CN" w:bidi="ar-SA"/>
              </w:rPr>
              <w:t>、淮南路（炉桥路</w:t>
            </w:r>
            <w:r>
              <w:rPr>
                <w:rFonts w:hint="default" w:ascii="Times New Roman" w:hAnsi="Times New Roman" w:eastAsia="仿宋_GB2312" w:cs="Times New Roman"/>
                <w:b w:val="0"/>
                <w:bCs w:val="0"/>
                <w:kern w:val="2"/>
                <w:sz w:val="28"/>
                <w:szCs w:val="36"/>
                <w:highlight w:val="none"/>
                <w:vertAlign w:val="baseline"/>
                <w:rtl w:val="0"/>
                <w:lang w:val="en-US" w:eastAsia="zh-CN" w:bidi="ar-SA"/>
              </w:rPr>
              <w:t>-</w:t>
            </w:r>
            <w:r>
              <w:rPr>
                <w:rFonts w:hint="default" w:ascii="Times New Roman" w:hAnsi="Times New Roman" w:eastAsia="仿宋_GB2312" w:cs="Times New Roman"/>
                <w:b w:val="0"/>
                <w:bCs w:val="0"/>
                <w:kern w:val="2"/>
                <w:sz w:val="28"/>
                <w:szCs w:val="36"/>
                <w:vertAlign w:val="baseline"/>
                <w:rtl w:val="0"/>
                <w:lang w:val="en-US" w:eastAsia="zh-CN" w:bidi="ar-SA"/>
              </w:rPr>
              <w:t>胜利路）等天然气中压主干管和姑山路（淮南路</w:t>
            </w:r>
            <w:r>
              <w:rPr>
                <w:rFonts w:hint="default" w:ascii="Times New Roman" w:hAnsi="Times New Roman" w:eastAsia="仿宋_GB2312" w:cs="Times New Roman"/>
                <w:b w:val="0"/>
                <w:bCs w:val="0"/>
                <w:kern w:val="2"/>
                <w:sz w:val="28"/>
                <w:szCs w:val="36"/>
                <w:highlight w:val="none"/>
                <w:vertAlign w:val="baseline"/>
                <w:rtl w:val="0"/>
                <w:lang w:val="en-US" w:eastAsia="zh-CN" w:bidi="ar-SA"/>
              </w:rPr>
              <w:t>-</w:t>
            </w:r>
            <w:r>
              <w:rPr>
                <w:rFonts w:hint="default" w:ascii="Times New Roman" w:hAnsi="Times New Roman" w:eastAsia="仿宋_GB2312" w:cs="Times New Roman"/>
                <w:b w:val="0"/>
                <w:bCs w:val="0"/>
                <w:kern w:val="2"/>
                <w:sz w:val="28"/>
                <w:szCs w:val="36"/>
                <w:vertAlign w:val="baseline"/>
                <w:rtl w:val="0"/>
                <w:lang w:val="en-US" w:eastAsia="zh-CN" w:bidi="ar-SA"/>
              </w:rPr>
              <w:t>长临路）、繁昌路（大通路</w:t>
            </w:r>
            <w:r>
              <w:rPr>
                <w:rFonts w:hint="default" w:ascii="Times New Roman" w:hAnsi="Times New Roman" w:eastAsia="仿宋_GB2312" w:cs="Times New Roman"/>
                <w:b w:val="0"/>
                <w:bCs w:val="0"/>
                <w:kern w:val="2"/>
                <w:sz w:val="28"/>
                <w:szCs w:val="36"/>
                <w:highlight w:val="none"/>
                <w:vertAlign w:val="baseline"/>
                <w:rtl w:val="0"/>
                <w:lang w:val="en-US" w:eastAsia="zh-CN" w:bidi="ar-SA"/>
              </w:rPr>
              <w:t>-</w:t>
            </w:r>
            <w:r>
              <w:rPr>
                <w:rFonts w:hint="default" w:ascii="Times New Roman" w:hAnsi="Times New Roman" w:eastAsia="仿宋_GB2312" w:cs="Times New Roman"/>
                <w:b w:val="0"/>
                <w:bCs w:val="0"/>
                <w:kern w:val="2"/>
                <w:sz w:val="28"/>
                <w:szCs w:val="36"/>
                <w:vertAlign w:val="baseline"/>
                <w:rtl w:val="0"/>
                <w:lang w:val="en-US" w:eastAsia="zh-CN" w:bidi="ar-SA"/>
              </w:rPr>
              <w:t>裕溪路）等天然气中压次干管；改建和平路供热主干管，新建长江东路、淮南东路、高亮路供热主干管。</w:t>
            </w:r>
          </w:p>
          <w:p>
            <w:pPr>
              <w:keepNext w:val="0"/>
              <w:keepLines w:val="0"/>
              <w:pageBreakBefore w:val="0"/>
              <w:widowControl/>
              <w:suppressLineNumbers w:val="0"/>
              <w:kinsoku/>
              <w:overflowPunct/>
              <w:autoSpaceDE/>
              <w:autoSpaceDN/>
              <w:bidi w:val="0"/>
              <w:adjustRightInd/>
              <w:snapToGrid/>
              <w:spacing w:line="440" w:lineRule="exact"/>
              <w:ind w:firstLine="562" w:firstLineChars="200"/>
              <w:jc w:val="left"/>
              <w:textAlignment w:val="auto"/>
              <w:rPr>
                <w:rFonts w:hint="default" w:ascii="Times New Roman" w:hAnsi="Times New Roman" w:eastAsia="仿宋_GB2312" w:cs="Times New Roman"/>
                <w:b w:val="0"/>
                <w:bCs w:val="0"/>
                <w:kern w:val="2"/>
                <w:sz w:val="28"/>
                <w:szCs w:val="36"/>
                <w:vertAlign w:val="baseline"/>
                <w:lang w:val="en-US" w:eastAsia="zh-CN" w:bidi="ar-SA"/>
              </w:rPr>
            </w:pPr>
            <w:r>
              <w:rPr>
                <w:rFonts w:hint="default" w:ascii="Times New Roman" w:hAnsi="Times New Roman" w:eastAsia="楷体_GB2312" w:cs="Times New Roman"/>
                <w:b/>
                <w:bCs/>
                <w:kern w:val="2"/>
                <w:sz w:val="28"/>
                <w:szCs w:val="36"/>
                <w:vertAlign w:val="baseline"/>
                <w:rtl w:val="0"/>
                <w:lang w:val="en-US" w:eastAsia="zh-CN" w:bidi="ar-SA"/>
              </w:rPr>
              <w:t>给排水建设项目。</w:t>
            </w:r>
            <w:r>
              <w:rPr>
                <w:rFonts w:hint="default" w:ascii="Times New Roman" w:hAnsi="Times New Roman" w:eastAsia="仿宋_GB2312" w:cs="Times New Roman"/>
                <w:b w:val="0"/>
                <w:bCs w:val="0"/>
                <w:kern w:val="2"/>
                <w:sz w:val="28"/>
                <w:szCs w:val="36"/>
                <w:vertAlign w:val="baseline"/>
                <w:rtl w:val="0"/>
                <w:lang w:val="en-US" w:eastAsia="zh-CN" w:bidi="ar-SA"/>
              </w:rPr>
              <w:t>新建龙岗路</w:t>
            </w:r>
            <w:r>
              <w:rPr>
                <w:rFonts w:hint="default" w:ascii="Times New Roman" w:hAnsi="Times New Roman" w:eastAsia="仿宋_GB2312" w:cs="Times New Roman"/>
                <w:b w:val="0"/>
                <w:bCs w:val="0"/>
                <w:kern w:val="2"/>
                <w:sz w:val="28"/>
                <w:szCs w:val="36"/>
                <w:highlight w:val="none"/>
                <w:vertAlign w:val="baseline"/>
                <w:rtl w:val="0"/>
                <w:lang w:val="en-US" w:eastAsia="zh-CN" w:bidi="ar-SA"/>
              </w:rPr>
              <w:t>(</w:t>
            </w:r>
            <w:r>
              <w:rPr>
                <w:rFonts w:hint="default" w:ascii="Times New Roman" w:hAnsi="Times New Roman" w:eastAsia="仿宋_GB2312" w:cs="Times New Roman"/>
                <w:b w:val="0"/>
                <w:bCs w:val="0"/>
                <w:kern w:val="2"/>
                <w:sz w:val="28"/>
                <w:szCs w:val="36"/>
                <w:vertAlign w:val="baseline"/>
                <w:rtl w:val="0"/>
                <w:lang w:val="en-US" w:eastAsia="zh-CN" w:bidi="ar-SA"/>
              </w:rPr>
              <w:t>裕溪路</w:t>
            </w:r>
            <w:r>
              <w:rPr>
                <w:rFonts w:hint="default" w:ascii="Times New Roman" w:hAnsi="Times New Roman" w:eastAsia="仿宋_GB2312" w:cs="Times New Roman"/>
                <w:b w:val="0"/>
                <w:bCs w:val="0"/>
                <w:kern w:val="2"/>
                <w:sz w:val="28"/>
                <w:szCs w:val="36"/>
                <w:highlight w:val="none"/>
                <w:vertAlign w:val="baseline"/>
                <w:rtl w:val="0"/>
                <w:lang w:val="en-US" w:eastAsia="zh-CN" w:bidi="ar-SA"/>
              </w:rPr>
              <w:t>-</w:t>
            </w:r>
            <w:r>
              <w:rPr>
                <w:rFonts w:hint="default" w:ascii="Times New Roman" w:hAnsi="Times New Roman" w:eastAsia="仿宋_GB2312" w:cs="Times New Roman"/>
                <w:b w:val="0"/>
                <w:bCs w:val="0"/>
                <w:kern w:val="2"/>
                <w:sz w:val="28"/>
                <w:szCs w:val="36"/>
                <w:vertAlign w:val="baseline"/>
                <w:rtl w:val="0"/>
                <w:lang w:val="en-US" w:eastAsia="zh-CN" w:bidi="ar-SA"/>
              </w:rPr>
              <w:t>巢湖南路</w:t>
            </w:r>
            <w:r>
              <w:rPr>
                <w:rFonts w:hint="default" w:ascii="Times New Roman" w:hAnsi="Times New Roman" w:eastAsia="仿宋_GB2312" w:cs="Times New Roman"/>
                <w:b w:val="0"/>
                <w:bCs w:val="0"/>
                <w:kern w:val="2"/>
                <w:sz w:val="28"/>
                <w:szCs w:val="36"/>
                <w:highlight w:val="none"/>
                <w:vertAlign w:val="baseline"/>
                <w:rtl w:val="0"/>
                <w:lang w:val="en-US" w:eastAsia="zh-CN" w:bidi="ar-SA"/>
              </w:rPr>
              <w:t>)</w:t>
            </w:r>
            <w:r>
              <w:rPr>
                <w:rFonts w:hint="default" w:ascii="Times New Roman" w:hAnsi="Times New Roman" w:eastAsia="仿宋_GB2312" w:cs="Times New Roman"/>
                <w:b w:val="0"/>
                <w:bCs w:val="0"/>
                <w:kern w:val="2"/>
                <w:sz w:val="28"/>
                <w:szCs w:val="36"/>
                <w:vertAlign w:val="baseline"/>
                <w:rtl w:val="0"/>
                <w:lang w:val="en-US" w:eastAsia="zh-CN" w:bidi="ar-SA"/>
              </w:rPr>
              <w:t>、淮南路</w:t>
            </w:r>
            <w:r>
              <w:rPr>
                <w:rFonts w:hint="default" w:ascii="Times New Roman" w:hAnsi="Times New Roman" w:eastAsia="仿宋_GB2312" w:cs="Times New Roman"/>
                <w:b w:val="0"/>
                <w:bCs w:val="0"/>
                <w:kern w:val="2"/>
                <w:sz w:val="28"/>
                <w:szCs w:val="36"/>
                <w:highlight w:val="none"/>
                <w:vertAlign w:val="baseline"/>
                <w:rtl w:val="0"/>
                <w:lang w:val="en-US" w:eastAsia="zh-CN" w:bidi="ar-SA"/>
              </w:rPr>
              <w:t>(</w:t>
            </w:r>
            <w:r>
              <w:rPr>
                <w:rFonts w:hint="default" w:ascii="Times New Roman" w:hAnsi="Times New Roman" w:eastAsia="仿宋_GB2312" w:cs="Times New Roman"/>
                <w:b w:val="0"/>
                <w:bCs w:val="0"/>
                <w:kern w:val="2"/>
                <w:sz w:val="28"/>
                <w:szCs w:val="36"/>
                <w:vertAlign w:val="baseline"/>
                <w:rtl w:val="0"/>
                <w:lang w:val="en-US" w:eastAsia="zh-CN" w:bidi="ar-SA"/>
              </w:rPr>
              <w:t>北二环路</w:t>
            </w:r>
            <w:r>
              <w:rPr>
                <w:rFonts w:hint="default" w:ascii="Times New Roman" w:hAnsi="Times New Roman" w:eastAsia="仿宋_GB2312" w:cs="Times New Roman"/>
                <w:b w:val="0"/>
                <w:bCs w:val="0"/>
                <w:kern w:val="2"/>
                <w:sz w:val="28"/>
                <w:szCs w:val="36"/>
                <w:highlight w:val="none"/>
                <w:vertAlign w:val="baseline"/>
                <w:rtl w:val="0"/>
                <w:lang w:val="en-US" w:eastAsia="zh-CN" w:bidi="ar-SA"/>
              </w:rPr>
              <w:t>-</w:t>
            </w:r>
            <w:r>
              <w:rPr>
                <w:rFonts w:hint="default" w:ascii="Times New Roman" w:hAnsi="Times New Roman" w:eastAsia="仿宋_GB2312" w:cs="Times New Roman"/>
                <w:b w:val="0"/>
                <w:bCs w:val="0"/>
                <w:kern w:val="2"/>
                <w:sz w:val="28"/>
                <w:szCs w:val="36"/>
                <w:vertAlign w:val="baseline"/>
                <w:rtl w:val="0"/>
                <w:lang w:val="en-US" w:eastAsia="zh-CN" w:bidi="ar-SA"/>
              </w:rPr>
              <w:t>龙岗路</w:t>
            </w:r>
            <w:r>
              <w:rPr>
                <w:rFonts w:hint="default" w:ascii="Times New Roman" w:hAnsi="Times New Roman" w:eastAsia="仿宋_GB2312" w:cs="Times New Roman"/>
                <w:b w:val="0"/>
                <w:bCs w:val="0"/>
                <w:kern w:val="2"/>
                <w:sz w:val="28"/>
                <w:szCs w:val="36"/>
                <w:highlight w:val="none"/>
                <w:vertAlign w:val="baseline"/>
                <w:rtl w:val="0"/>
                <w:lang w:val="en-US" w:eastAsia="zh-CN" w:bidi="ar-SA"/>
              </w:rPr>
              <w:t>)</w:t>
            </w:r>
            <w:r>
              <w:rPr>
                <w:rFonts w:hint="default" w:ascii="Times New Roman" w:hAnsi="Times New Roman" w:eastAsia="仿宋_GB2312" w:cs="Times New Roman"/>
                <w:b w:val="0"/>
                <w:bCs w:val="0"/>
                <w:kern w:val="2"/>
                <w:sz w:val="28"/>
                <w:szCs w:val="36"/>
                <w:vertAlign w:val="baseline"/>
                <w:rtl w:val="0"/>
                <w:lang w:val="en-US" w:eastAsia="zh-CN" w:bidi="ar-SA"/>
              </w:rPr>
              <w:t>互联互通供水管道，建设郎溪路、襄水路等81条供水次干管；</w:t>
            </w:r>
            <w:r>
              <w:rPr>
                <w:rFonts w:hint="default" w:ascii="Times New Roman" w:hAnsi="Times New Roman" w:eastAsia="仿宋_GB2312" w:cs="Times New Roman"/>
                <w:b w:val="0"/>
                <w:bCs w:val="0"/>
                <w:kern w:val="2"/>
                <w:sz w:val="28"/>
                <w:szCs w:val="36"/>
                <w:vertAlign w:val="baseline"/>
                <w:lang w:val="en-US" w:eastAsia="zh-CN" w:bidi="ar-SA"/>
              </w:rPr>
              <w:t>扩建双河、矿机、凤凰桥、池郢、陆小郢泵站，新建明光路等泵站；实施排水系统雨污混接改造工程、雨污分流及积涝点整治工程，新建凤台路、淮南路、北环西段、长江东路等排水主干管。</w:t>
            </w:r>
          </w:p>
          <w:p>
            <w:pPr>
              <w:keepNext w:val="0"/>
              <w:keepLines w:val="0"/>
              <w:pageBreakBefore w:val="0"/>
              <w:widowControl w:val="0"/>
              <w:kinsoku/>
              <w:wordWrap/>
              <w:overflowPunct/>
              <w:topLinePunct w:val="0"/>
              <w:autoSpaceDE/>
              <w:autoSpaceDN/>
              <w:bidi w:val="0"/>
              <w:adjustRightInd/>
              <w:snapToGrid/>
              <w:spacing w:after="157" w:afterLines="50" w:line="440" w:lineRule="exact"/>
              <w:ind w:firstLine="562" w:firstLineChars="200"/>
              <w:textAlignment w:val="auto"/>
              <w:rPr>
                <w:rFonts w:hint="default" w:ascii="Times New Roman" w:hAnsi="Times New Roman" w:cs="Times New Roman"/>
                <w:lang w:val="en-US"/>
              </w:rPr>
            </w:pPr>
            <w:r>
              <w:rPr>
                <w:rFonts w:hint="default" w:ascii="Times New Roman" w:hAnsi="Times New Roman" w:eastAsia="楷体_GB2312" w:cs="Times New Roman"/>
                <w:b/>
                <w:bCs/>
                <w:kern w:val="2"/>
                <w:sz w:val="28"/>
                <w:szCs w:val="36"/>
                <w:vertAlign w:val="baseline"/>
                <w:rtl w:val="0"/>
                <w:lang w:val="en-US" w:eastAsia="zh-CN" w:bidi="ar-SA"/>
              </w:rPr>
              <w:t>水利设施建设项目。</w:t>
            </w:r>
            <w:r>
              <w:rPr>
                <w:rFonts w:hint="default" w:ascii="Times New Roman" w:hAnsi="Times New Roman" w:eastAsia="仿宋_GB2312" w:cs="Times New Roman"/>
                <w:b w:val="0"/>
                <w:bCs w:val="0"/>
                <w:kern w:val="2"/>
                <w:sz w:val="28"/>
                <w:szCs w:val="36"/>
                <w:vertAlign w:val="baseline"/>
                <w:rtl w:val="0"/>
                <w:lang w:val="en-US" w:eastAsia="zh-CN" w:bidi="ar-SA"/>
              </w:rPr>
              <w:t>实施二十埠河引水工程、南淝河下游和板桥河堤防加固工程</w:t>
            </w:r>
            <w:r>
              <w:rPr>
                <w:rFonts w:hint="eastAsia" w:ascii="Times New Roman" w:hAnsi="Times New Roman" w:eastAsia="仿宋_GB2312" w:cs="Times New Roman"/>
                <w:b w:val="0"/>
                <w:bCs w:val="0"/>
                <w:kern w:val="2"/>
                <w:sz w:val="28"/>
                <w:szCs w:val="36"/>
                <w:vertAlign w:val="baseline"/>
                <w:rtl w:val="0"/>
                <w:lang w:val="en-US" w:eastAsia="zh-CN" w:bidi="ar-SA"/>
              </w:rPr>
              <w:t>等</w:t>
            </w:r>
            <w:r>
              <w:rPr>
                <w:rFonts w:hint="default" w:ascii="Times New Roman" w:hAnsi="Times New Roman" w:eastAsia="仿宋_GB2312" w:cs="Times New Roman"/>
                <w:b w:val="0"/>
                <w:bCs w:val="0"/>
                <w:kern w:val="2"/>
                <w:sz w:val="28"/>
                <w:szCs w:val="36"/>
                <w:vertAlign w:val="baseline"/>
                <w:rtl w:val="0"/>
                <w:lang w:val="en-US" w:eastAsia="zh-CN" w:bidi="ar-SA"/>
              </w:rPr>
              <w:t>项目。</w:t>
            </w:r>
          </w:p>
        </w:tc>
      </w:tr>
    </w:tbl>
    <w:p>
      <w:pPr>
        <w:pStyle w:val="3"/>
        <w:keepNext/>
        <w:keepLines/>
        <w:pageBreakBefore w:val="0"/>
        <w:widowControl w:val="0"/>
        <w:numPr>
          <w:ilvl w:val="0"/>
          <w:numId w:val="3"/>
        </w:numPr>
        <w:kinsoku/>
        <w:wordWrap/>
        <w:overflowPunct/>
        <w:topLinePunct w:val="0"/>
        <w:autoSpaceDE/>
        <w:autoSpaceDN/>
        <w:bidi w:val="0"/>
        <w:adjustRightInd/>
        <w:snapToGrid/>
        <w:spacing w:before="313" w:beforeLines="10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114" w:name="_Toc20486"/>
      <w:bookmarkStart w:id="115" w:name="_Toc6018"/>
      <w:r>
        <w:rPr>
          <w:rFonts w:hint="default" w:ascii="Times New Roman" w:hAnsi="Times New Roman" w:eastAsia="宋体" w:cs="Times New Roman"/>
          <w:sz w:val="32"/>
          <w:rtl w:val="0"/>
          <w:lang w:val="en-US" w:eastAsia="zh-CN"/>
        </w:rPr>
        <w:t>不断提速城市更新改造</w:t>
      </w:r>
      <w:bookmarkEnd w:id="114"/>
      <w:bookmarkEnd w:id="115"/>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实施高品质城市更新策略，突出建设电机厂片区、王岗片区和郎溪路</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片区</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全面加强城区市容市貌、公共设施等精细化管理，着力推动城区面貌转</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变</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eastAsia" w:eastAsia="仿宋_GB2312" w:cs="Times New Roman"/>
          <w:color w:val="000000" w:themeColor="text1"/>
          <w:sz w:val="32"/>
          <w:szCs w:val="32"/>
          <w:shd w:val="clear" w:color="auto" w:fill="FFFFFF"/>
          <w:lang w:val="en-US" w:eastAsia="zh-CN"/>
          <w14:textFill>
            <w14:solidFill>
              <w14:schemeClr w14:val="tx1"/>
            </w14:solidFill>
          </w14:textFill>
        </w:rPr>
        <w:t>协同创建国家生态园林城市，</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努力建设精致瑶海</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加大征迁复建攻坚力度。</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扎实做好土</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地收储</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和</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上市</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工作，</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加快棚户区与城中村拆迁改造</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步伐，</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优先保障市级重点路桥和区级大建设项目地块征迁</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全力推进复建点建设和交付工作，推动安置房开发代建项目实施。拓宽</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多元化、市场化投资渠道，</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积极争取市级改造资金支持，</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破解旧城改造资金难</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题。</w:t>
      </w:r>
      <w:bookmarkStart w:id="116" w:name="_Toc15991"/>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到2025年，争取完成征迁面积超过400万平方米。</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加强老旧小区改造</w:t>
      </w:r>
      <w:bookmarkEnd w:id="116"/>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和管理。</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大力</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推进老旧小区整治工作，综合改造提升老旧小区硬件配套设施，实现</w:t>
      </w:r>
      <w:r>
        <w:rPr>
          <w:rFonts w:hint="default" w:ascii="Times New Roman" w:hAnsi="Times New Roman" w:eastAsia="仿宋_GB2312" w:cs="Times New Roman"/>
          <w:color w:val="000000" w:themeColor="text1"/>
          <w:kern w:val="0"/>
          <w:sz w:val="32"/>
          <w:szCs w:val="32"/>
          <w:shd w:val="clear" w:color="auto" w:fill="FFFFFF"/>
          <w:lang w:val="en-US" w:eastAsia="zh-CN" w:bidi="ar-SA"/>
          <w14:textFill>
            <w14:solidFill>
              <w14:schemeClr w14:val="tx1"/>
            </w14:solidFill>
          </w14:textFill>
        </w:rPr>
        <w:t>有物管用房、有公共保洁、有秩序维护、有停车管理、有设施维保、有绿化养护、有道路保养、有维修管理</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八个有</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目标</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结合老旧小区综合改造提升</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因地制宜增加适老化</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等配套设施</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。按照</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一楼宇一品牌</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的工作原则，全面营造精致</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小区</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景观。加快推进全区老旧小区物业管理</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高品质</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全覆盖，进一步推深做实党建引领住宅小区综合治理以及红色物业联盟等工作。</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到2025年，争取完成全区所有老旧小区整治。</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打造一批精品小街巷。</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结合</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15</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分钟生活圈目标，本着“应改造尽改造”的原则，充分挖掘历史、文化、民俗等元素，对老城区范围内的小街巷实施全面改造提升，增加便民服务设施，提高街巷美化、绿化、净化、亮化水平，从“路畅、灯明、水通”向“传承历史文脉、提升街巷品质”转变，打造各具特色、富有文化内涵的精品小街巷。</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加快市政设施完善和提升。</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加强市政设施建设，提高</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市政设施完好</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率</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，完善城市</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功能</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。加</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强</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精品道路建设，重点抓好长江东路立面景观提升改造，加快龙岗路、裕溪路、和平路</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等道路</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沿线绿化和景观提升项目实施。深挖</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小微</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地块及闲置空地的空间潜力，</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重点加强老旧小区周边停车设施建设，建造一批</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群众家门口的便民停车场，</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建成公共停车位4000个以上</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完善</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窨井、路灯、桥梁等</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其他</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市政</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附属</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设施。</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到2025年，全区市政设施完好率达到95%以上。</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实施城区绿化提升行动。</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统筹绿化、花化、彩化，推进憩园修绿、空地植绿、河道护绿、见缝插绿和拆违补绿，提高城区绿化水平。按照景观大道路建设标准，对长江东路沿线建筑立面、夜景亮化等实施提升改造，打造长江东路成为瑶海靓丽道路风景线。围绕美丽河流、高压走廊绿化两项景观脉络核心，重点对二十埠河、南淝河等河道实施景观绿化提升改造，通过优化植物种植、新建亲水步道、滨水游憩空间等，着力构建体现自然生态风貌的河道岸线绿化景观，打造生态滨水绿廊。推进现有公园主题化、特色化改造提升，完善公园的配套设施，不断提升辖区公园整体环境面貌。采取见缝插绿、拆违建绿的方式，新建一批街头绿地、“口袋公园”，启动建设书香公园、钟离游园等一批公园游园项目，稳步提高公园绿地服务半径覆盖率，实现“300 米见绿，500 米见园”。到2025年，建成区绿化覆盖率达到</w:t>
      </w:r>
      <w:r>
        <w:rPr>
          <w:rFonts w:hint="eastAsia"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24.2</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%，人均公园绿地面积达到5.5平方米。</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提升城市管理水平。</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深化</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城市管理体制机制</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改革</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创新管理和作业模式</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开展城市环境品质提升行动，</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塑造整洁、美丽、精致的城市空间环境。坚持规范、减量、提档的原则，全面推进城市立面整治和市容景观建设</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推进</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全区生活垃圾分类全覆盖，建立健全生活垃圾源头减量、分类投放、分类收运、分类处理运行机制。</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加强执法队伍建设，改革行政执法体制机制，加快智慧城管建设，提升城市精细化管理水平。</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p>
    <w:tbl>
      <w:tblPr>
        <w:tblStyle w:val="20"/>
        <w:tblpPr w:leftFromText="180" w:rightFromText="180" w:vertAnchor="text" w:horzAnchor="page" w:tblpX="1812" w:tblpY="302"/>
        <w:tblOverlap w:val="never"/>
        <w:tblW w:w="8312" w:type="dxa"/>
        <w:tblInd w:w="0" w:type="dxa"/>
        <w:shd w:val="clear" w:color="auto" w:fill="auto"/>
        <w:tblLayout w:type="fixed"/>
        <w:tblCellMar>
          <w:top w:w="0" w:type="dxa"/>
          <w:left w:w="0" w:type="dxa"/>
          <w:bottom w:w="0" w:type="dxa"/>
          <w:right w:w="0" w:type="dxa"/>
        </w:tblCellMar>
      </w:tblPr>
      <w:tblGrid>
        <w:gridCol w:w="8312"/>
      </w:tblGrid>
      <w:tr>
        <w:tblPrEx>
          <w:shd w:val="clear" w:color="auto" w:fill="auto"/>
          <w:tblCellMar>
            <w:top w:w="0" w:type="dxa"/>
            <w:left w:w="0" w:type="dxa"/>
            <w:bottom w:w="0" w:type="dxa"/>
            <w:right w:w="0" w:type="dxa"/>
          </w:tblCellMar>
        </w:tblPrEx>
        <w:trPr>
          <w:trHeight w:val="567" w:hRule="atLeast"/>
        </w:trPr>
        <w:tc>
          <w:tcPr>
            <w:tcW w:w="831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117" w:name="_Toc11006"/>
            <w:r>
              <w:rPr>
                <w:rFonts w:hint="default" w:ascii="Times New Roman" w:hAnsi="Times New Roman" w:eastAsia="黑体" w:cs="Times New Roman"/>
                <w:b w:val="0"/>
                <w:bCs w:val="0"/>
                <w:i w:val="0"/>
                <w:color w:val="000000"/>
                <w:sz w:val="30"/>
                <w:szCs w:val="30"/>
                <w:highlight w:val="none"/>
                <w:u w:val="none"/>
              </w:rPr>
              <w:t>城市更新重大工程项目</w:t>
            </w:r>
            <w:bookmarkEnd w:id="117"/>
          </w:p>
        </w:tc>
      </w:tr>
      <w:tr>
        <w:tblPrEx>
          <w:shd w:val="clear" w:color="auto" w:fill="auto"/>
          <w:tblCellMar>
            <w:top w:w="0" w:type="dxa"/>
            <w:left w:w="0" w:type="dxa"/>
            <w:bottom w:w="0" w:type="dxa"/>
            <w:right w:w="0" w:type="dxa"/>
          </w:tblCellMar>
        </w:tblPrEx>
        <w:trPr>
          <w:trHeight w:val="536" w:hRule="atLeast"/>
        </w:trPr>
        <w:tc>
          <w:tcPr>
            <w:tcW w:w="831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line="440" w:lineRule="exact"/>
              <w:ind w:firstLine="562" w:firstLineChars="200"/>
              <w:textAlignment w:val="auto"/>
              <w:rPr>
                <w:rFonts w:hint="default" w:ascii="Times New Roman" w:hAnsi="Times New Roman" w:eastAsia="仿宋_GB2312" w:cs="Times New Roman"/>
                <w:b w:val="0"/>
                <w:bCs w:val="0"/>
                <w:sz w:val="28"/>
                <w:szCs w:val="36"/>
                <w:vertAlign w:val="baseline"/>
                <w:lang w:val="en-US" w:eastAsia="zh-CN"/>
              </w:rPr>
            </w:pPr>
            <w:r>
              <w:rPr>
                <w:rFonts w:hint="default" w:ascii="Times New Roman" w:hAnsi="Times New Roman" w:eastAsia="楷体_GB2312" w:cs="Times New Roman"/>
                <w:b/>
                <w:bCs/>
                <w:sz w:val="28"/>
                <w:szCs w:val="36"/>
                <w:vertAlign w:val="baseline"/>
                <w:lang w:val="en-US" w:eastAsia="zh-CN"/>
              </w:rPr>
              <w:t>旧城改造项目。</w:t>
            </w:r>
            <w:r>
              <w:rPr>
                <w:rFonts w:hint="default" w:ascii="Times New Roman" w:hAnsi="Times New Roman" w:eastAsia="仿宋_GB2312" w:cs="Times New Roman"/>
                <w:b w:val="0"/>
                <w:bCs w:val="0"/>
                <w:sz w:val="28"/>
                <w:szCs w:val="36"/>
                <w:vertAlign w:val="baseline"/>
                <w:lang w:val="en-US" w:eastAsia="zh-CN"/>
              </w:rPr>
              <w:t>推动裕溪路、临泉路、郎溪路、新安江路、长江东路、当涂路等</w:t>
            </w:r>
            <w:r>
              <w:rPr>
                <w:rFonts w:hint="default" w:ascii="Times New Roman" w:hAnsi="Times New Roman" w:eastAsia="仿宋_GB2312" w:cs="Times New Roman"/>
                <w:b w:val="0"/>
                <w:bCs w:val="0"/>
                <w:sz w:val="28"/>
                <w:szCs w:val="36"/>
                <w:vertAlign w:val="baseline"/>
                <w:lang w:eastAsia="zh-CN"/>
              </w:rPr>
              <w:t>主干</w:t>
            </w:r>
            <w:r>
              <w:rPr>
                <w:rFonts w:hint="default" w:ascii="Times New Roman" w:hAnsi="Times New Roman" w:eastAsia="仿宋_GB2312" w:cs="Times New Roman"/>
                <w:b w:val="0"/>
                <w:bCs w:val="0"/>
                <w:sz w:val="28"/>
                <w:szCs w:val="36"/>
                <w:vertAlign w:val="baseline"/>
                <w:lang w:val="en-US" w:eastAsia="zh-CN"/>
              </w:rPr>
              <w:t>路网</w:t>
            </w:r>
            <w:r>
              <w:rPr>
                <w:rFonts w:hint="default" w:ascii="Times New Roman" w:hAnsi="Times New Roman" w:eastAsia="仿宋_GB2312" w:cs="Times New Roman"/>
                <w:b w:val="0"/>
                <w:bCs w:val="0"/>
                <w:sz w:val="28"/>
                <w:szCs w:val="36"/>
                <w:vertAlign w:val="baseline"/>
                <w:lang w:eastAsia="zh-CN"/>
              </w:rPr>
              <w:t>沿线和南淝河、二十埠河沿线城中村及老（危）旧住房征迁改造</w:t>
            </w:r>
            <w:r>
              <w:rPr>
                <w:rFonts w:hint="default" w:ascii="Times New Roman" w:hAnsi="Times New Roman" w:eastAsia="仿宋_GB2312" w:cs="Times New Roman"/>
                <w:b w:val="0"/>
                <w:bCs w:val="0"/>
                <w:sz w:val="28"/>
                <w:szCs w:val="36"/>
                <w:vertAlign w:val="baseline"/>
                <w:lang w:val="en-US" w:eastAsia="zh-CN"/>
              </w:rPr>
              <w:t>工作</w:t>
            </w:r>
            <w:r>
              <w:rPr>
                <w:rFonts w:hint="default" w:ascii="Times New Roman" w:hAnsi="Times New Roman" w:eastAsia="仿宋_GB2312" w:cs="Times New Roman"/>
                <w:b w:val="0"/>
                <w:bCs w:val="0"/>
                <w:sz w:val="28"/>
                <w:szCs w:val="36"/>
                <w:vertAlign w:val="baseline"/>
                <w:lang w:eastAsia="zh-CN"/>
              </w:rPr>
              <w:t>，</w:t>
            </w:r>
            <w:r>
              <w:rPr>
                <w:rFonts w:hint="default" w:ascii="Times New Roman" w:hAnsi="Times New Roman" w:eastAsia="仿宋_GB2312" w:cs="Times New Roman"/>
                <w:b w:val="0"/>
                <w:bCs w:val="0"/>
                <w:sz w:val="28"/>
                <w:szCs w:val="36"/>
                <w:vertAlign w:val="baseline"/>
                <w:lang w:val="en-US" w:eastAsia="zh-CN"/>
              </w:rPr>
              <w:t>完成124处约437万平方米棚户区和城中村改造。</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b w:val="0"/>
                <w:bCs w:val="0"/>
                <w:sz w:val="28"/>
                <w:szCs w:val="36"/>
                <w:vertAlign w:val="baseline"/>
                <w:lang w:val="en-US" w:eastAsia="zh-CN"/>
              </w:rPr>
            </w:pPr>
            <w:r>
              <w:rPr>
                <w:rFonts w:hint="default" w:ascii="Times New Roman" w:hAnsi="Times New Roman" w:eastAsia="楷体_GB2312" w:cs="Times New Roman"/>
                <w:b/>
                <w:bCs/>
                <w:sz w:val="28"/>
                <w:szCs w:val="36"/>
                <w:vertAlign w:val="baseline"/>
                <w:lang w:val="en-US" w:eastAsia="zh-CN"/>
              </w:rPr>
              <w:t>复建点建设项目。</w:t>
            </w:r>
            <w:r>
              <w:rPr>
                <w:rFonts w:hint="default" w:ascii="Times New Roman" w:hAnsi="Times New Roman" w:eastAsia="仿宋_GB2312" w:cs="Times New Roman"/>
                <w:b w:val="0"/>
                <w:bCs w:val="0"/>
                <w:sz w:val="28"/>
                <w:szCs w:val="36"/>
                <w:vertAlign w:val="baseline"/>
                <w:lang w:val="en-US" w:eastAsia="zh-CN"/>
              </w:rPr>
              <w:t>实施裕兴家园、广德家园南区等21个续建复建点建设和龚大塘、</w:t>
            </w:r>
            <w:r>
              <w:rPr>
                <w:rFonts w:hint="default" w:ascii="Times New Roman" w:hAnsi="Times New Roman" w:eastAsia="仿宋_GB2312" w:cs="Times New Roman"/>
                <w:b w:val="0"/>
                <w:bCs w:val="0"/>
                <w:sz w:val="28"/>
                <w:szCs w:val="36"/>
                <w:highlight w:val="none"/>
                <w:vertAlign w:val="baseline"/>
                <w:lang w:val="en-US" w:eastAsia="zh-CN"/>
              </w:rPr>
              <w:t>漕坊</w:t>
            </w:r>
            <w:r>
              <w:rPr>
                <w:rFonts w:hint="default" w:ascii="Times New Roman" w:hAnsi="Times New Roman" w:eastAsia="仿宋_GB2312" w:cs="Times New Roman"/>
                <w:b w:val="0"/>
                <w:bCs w:val="0"/>
                <w:sz w:val="28"/>
                <w:szCs w:val="36"/>
                <w:vertAlign w:val="baseline"/>
                <w:lang w:val="en-US" w:eastAsia="zh-CN"/>
              </w:rPr>
              <w:t>、费子冲等新建复建点建设项目。</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b w:val="0"/>
                <w:bCs w:val="0"/>
                <w:sz w:val="28"/>
                <w:szCs w:val="36"/>
                <w:vertAlign w:val="baseline"/>
                <w:lang w:val="en-US" w:eastAsia="zh-CN"/>
              </w:rPr>
            </w:pPr>
            <w:r>
              <w:rPr>
                <w:rFonts w:hint="default" w:ascii="Times New Roman" w:hAnsi="Times New Roman" w:eastAsia="楷体_GB2312" w:cs="Times New Roman"/>
                <w:b/>
                <w:bCs/>
                <w:sz w:val="28"/>
                <w:szCs w:val="36"/>
                <w:vertAlign w:val="baseline"/>
                <w:lang w:val="en-US" w:eastAsia="zh-CN"/>
              </w:rPr>
              <w:t>老旧小区整治项目。</w:t>
            </w:r>
            <w:r>
              <w:rPr>
                <w:rFonts w:hint="default" w:ascii="Times New Roman" w:hAnsi="Times New Roman" w:eastAsia="仿宋_GB2312" w:cs="Times New Roman"/>
                <w:b w:val="0"/>
                <w:bCs w:val="0"/>
                <w:sz w:val="28"/>
                <w:szCs w:val="36"/>
                <w:vertAlign w:val="baseline"/>
                <w:lang w:val="en-US" w:eastAsia="zh-CN"/>
              </w:rPr>
              <w:t>推进和平家园等老旧小区整治全国试点项目，完成公交公司宿舍、怡馨苑等151个老旧小区整治。</w:t>
            </w:r>
          </w:p>
          <w:p>
            <w:pPr>
              <w:pStyle w:val="7"/>
              <w:keepNext w:val="0"/>
              <w:keepLines w:val="0"/>
              <w:pageBreakBefore w:val="0"/>
              <w:widowControl w:val="0"/>
              <w:kinsoku/>
              <w:overflowPunct/>
              <w:autoSpaceDE/>
              <w:autoSpaceDN/>
              <w:bidi w:val="0"/>
              <w:adjustRightInd/>
              <w:snapToGrid/>
              <w:spacing w:line="440" w:lineRule="exact"/>
              <w:ind w:left="0" w:leftChars="0" w:firstLine="562" w:firstLineChars="200"/>
              <w:textAlignment w:val="auto"/>
              <w:rPr>
                <w:rFonts w:hint="default" w:ascii="Times New Roman" w:hAnsi="Times New Roman" w:eastAsia="仿宋_GB2312" w:cs="Times New Roman"/>
                <w:b w:val="0"/>
                <w:bCs w:val="0"/>
                <w:kern w:val="2"/>
                <w:sz w:val="28"/>
                <w:szCs w:val="36"/>
                <w:vertAlign w:val="baseline"/>
                <w:lang w:val="en-US" w:eastAsia="zh-CN" w:bidi="ar-SA"/>
              </w:rPr>
            </w:pPr>
            <w:r>
              <w:rPr>
                <w:rFonts w:hint="default" w:ascii="Times New Roman" w:hAnsi="Times New Roman" w:eastAsia="楷体_GB2312" w:cs="Times New Roman"/>
                <w:b/>
                <w:bCs/>
                <w:kern w:val="2"/>
                <w:sz w:val="28"/>
                <w:szCs w:val="36"/>
                <w:vertAlign w:val="baseline"/>
                <w:lang w:val="en-US" w:eastAsia="zh-CN" w:bidi="ar-SA"/>
              </w:rPr>
              <w:t>道路及街巷立面改造及提升项目。</w:t>
            </w:r>
            <w:r>
              <w:rPr>
                <w:rFonts w:hint="default" w:ascii="Times New Roman" w:hAnsi="Times New Roman" w:eastAsia="仿宋_GB2312" w:cs="Times New Roman"/>
                <w:b w:val="0"/>
                <w:bCs w:val="0"/>
                <w:kern w:val="2"/>
                <w:sz w:val="28"/>
                <w:szCs w:val="36"/>
                <w:highlight w:val="none"/>
                <w:vertAlign w:val="baseline"/>
                <w:lang w:val="en-US" w:eastAsia="zh-CN" w:bidi="ar-SA"/>
              </w:rPr>
              <w:t>完成长江东路改造工程和长江东路道路景观提升工程；</w:t>
            </w:r>
            <w:r>
              <w:rPr>
                <w:rFonts w:hint="default" w:ascii="Times New Roman" w:hAnsi="Times New Roman" w:eastAsia="仿宋_GB2312" w:cs="Times New Roman"/>
                <w:b w:val="0"/>
                <w:bCs w:val="0"/>
                <w:kern w:val="2"/>
                <w:sz w:val="28"/>
                <w:szCs w:val="36"/>
                <w:vertAlign w:val="baseline"/>
                <w:lang w:val="en-US" w:eastAsia="zh-CN" w:bidi="ar-SA"/>
              </w:rPr>
              <w:t>推进裕溪路等道路沿线建筑立面、夜景亮化提升改造项目；实施临淮路、定远支路等特色街巷立面微整形项目；开展广德路、采石路、龙岗路、裕溪路等道路整治提升。</w:t>
            </w:r>
          </w:p>
          <w:p>
            <w:pPr>
              <w:pStyle w:val="7"/>
              <w:keepNext w:val="0"/>
              <w:keepLines w:val="0"/>
              <w:pageBreakBefore w:val="0"/>
              <w:widowControl w:val="0"/>
              <w:kinsoku/>
              <w:overflowPunct/>
              <w:autoSpaceDE/>
              <w:autoSpaceDN/>
              <w:bidi w:val="0"/>
              <w:adjustRightInd/>
              <w:snapToGrid/>
              <w:spacing w:line="440" w:lineRule="exact"/>
              <w:ind w:left="0" w:leftChars="0" w:firstLine="562" w:firstLineChars="200"/>
              <w:textAlignment w:val="auto"/>
              <w:rPr>
                <w:rFonts w:hint="default" w:ascii="Times New Roman" w:hAnsi="Times New Roman" w:eastAsia="仿宋_GB2312" w:cs="Times New Roman"/>
                <w:b w:val="0"/>
                <w:bCs w:val="0"/>
                <w:kern w:val="2"/>
                <w:sz w:val="28"/>
                <w:szCs w:val="36"/>
                <w:vertAlign w:val="baseline"/>
                <w:lang w:val="en-US" w:eastAsia="zh-CN" w:bidi="ar-SA"/>
              </w:rPr>
            </w:pPr>
            <w:r>
              <w:rPr>
                <w:rFonts w:hint="default" w:ascii="Times New Roman" w:hAnsi="Times New Roman" w:eastAsia="楷体_GB2312" w:cs="Times New Roman"/>
                <w:b/>
                <w:bCs/>
                <w:kern w:val="2"/>
                <w:sz w:val="28"/>
                <w:szCs w:val="36"/>
                <w:vertAlign w:val="baseline"/>
                <w:lang w:val="en-US" w:eastAsia="zh-CN" w:bidi="ar-SA"/>
              </w:rPr>
              <w:t>园林绿化提升项目。</w:t>
            </w:r>
            <w:r>
              <w:rPr>
                <w:rFonts w:hint="default" w:ascii="Times New Roman" w:hAnsi="Times New Roman" w:eastAsia="仿宋_GB2312" w:cs="Times New Roman"/>
                <w:b w:val="0"/>
                <w:bCs w:val="0"/>
                <w:kern w:val="2"/>
                <w:sz w:val="28"/>
                <w:szCs w:val="36"/>
                <w:highlight w:val="none"/>
                <w:vertAlign w:val="baseline"/>
                <w:lang w:val="en-US" w:eastAsia="zh-CN" w:bidi="ar-SA"/>
              </w:rPr>
              <w:t>实施市区垂直绿化、明皇路绿化提升和龙岗路沿线周边绿地建设等项目；建设书香公园、美菱公园、钟离游园等</w:t>
            </w:r>
            <w:r>
              <w:rPr>
                <w:rFonts w:hint="default" w:ascii="Times New Roman" w:hAnsi="Times New Roman" w:eastAsia="仿宋_GB2312" w:cs="Times New Roman"/>
                <w:b w:val="0"/>
                <w:bCs w:val="0"/>
                <w:kern w:val="2"/>
                <w:sz w:val="28"/>
                <w:szCs w:val="36"/>
                <w:vertAlign w:val="baseline"/>
                <w:lang w:val="en-US" w:eastAsia="zh-CN" w:bidi="ar-SA"/>
              </w:rPr>
              <w:t>一批街旁绿地</w:t>
            </w:r>
            <w:r>
              <w:rPr>
                <w:rFonts w:hint="default" w:ascii="Times New Roman" w:hAnsi="Times New Roman" w:eastAsia="仿宋_GB2312" w:cs="Times New Roman"/>
                <w:b w:val="0"/>
                <w:bCs w:val="0"/>
                <w:kern w:val="2"/>
                <w:sz w:val="28"/>
                <w:szCs w:val="36"/>
                <w:highlight w:val="none"/>
                <w:vertAlign w:val="baseline"/>
                <w:lang w:val="en-US" w:eastAsia="zh-CN" w:bidi="ar-SA"/>
              </w:rPr>
              <w:t>(</w:t>
            </w:r>
            <w:r>
              <w:rPr>
                <w:rFonts w:hint="default" w:ascii="Times New Roman" w:hAnsi="Times New Roman" w:eastAsia="仿宋_GB2312" w:cs="Times New Roman"/>
                <w:b w:val="0"/>
                <w:bCs w:val="0"/>
                <w:kern w:val="2"/>
                <w:sz w:val="28"/>
                <w:szCs w:val="36"/>
                <w:vertAlign w:val="baseline"/>
                <w:lang w:val="en-US" w:eastAsia="zh-CN" w:bidi="ar-SA"/>
              </w:rPr>
              <w:t>街头游园、口袋公园</w:t>
            </w:r>
            <w:r>
              <w:rPr>
                <w:rFonts w:hint="default" w:ascii="Times New Roman" w:hAnsi="Times New Roman" w:eastAsia="仿宋_GB2312" w:cs="Times New Roman"/>
                <w:b w:val="0"/>
                <w:bCs w:val="0"/>
                <w:kern w:val="2"/>
                <w:sz w:val="28"/>
                <w:szCs w:val="36"/>
                <w:highlight w:val="none"/>
                <w:vertAlign w:val="baseline"/>
                <w:lang w:val="en-US" w:eastAsia="zh-CN" w:bidi="ar-SA"/>
              </w:rPr>
              <w:t>)项目；实施</w:t>
            </w:r>
            <w:r>
              <w:rPr>
                <w:rFonts w:hint="default" w:ascii="Times New Roman" w:hAnsi="Times New Roman" w:eastAsia="仿宋_GB2312" w:cs="Times New Roman"/>
                <w:b w:val="0"/>
                <w:bCs w:val="0"/>
                <w:kern w:val="2"/>
                <w:sz w:val="28"/>
                <w:szCs w:val="36"/>
                <w:vertAlign w:val="baseline"/>
                <w:lang w:val="en-US" w:eastAsia="zh-CN" w:bidi="ar-SA"/>
              </w:rPr>
              <w:t>二十埠河、南淝河等河道景观绿化提升改造项目</w:t>
            </w:r>
            <w:r>
              <w:rPr>
                <w:rFonts w:hint="default" w:ascii="Times New Roman" w:hAnsi="Times New Roman" w:eastAsia="仿宋_GB2312" w:cs="Times New Roman"/>
                <w:b w:val="0"/>
                <w:bCs w:val="0"/>
                <w:kern w:val="2"/>
                <w:sz w:val="28"/>
                <w:szCs w:val="36"/>
                <w:highlight w:val="none"/>
                <w:vertAlign w:val="baseline"/>
                <w:lang w:val="en-US" w:eastAsia="zh-CN" w:bidi="ar-SA"/>
              </w:rPr>
              <w:t>；</w:t>
            </w:r>
            <w:r>
              <w:rPr>
                <w:rFonts w:hint="default" w:ascii="Times New Roman" w:hAnsi="Times New Roman" w:eastAsia="仿宋_GB2312" w:cs="Times New Roman"/>
                <w:b w:val="0"/>
                <w:bCs w:val="0"/>
                <w:kern w:val="2"/>
                <w:sz w:val="28"/>
                <w:szCs w:val="36"/>
                <w:vertAlign w:val="baseline"/>
                <w:lang w:val="en-US" w:eastAsia="zh-CN" w:bidi="ar-SA"/>
              </w:rPr>
              <w:t>推进滨河公园、二十埠河湿地公园等主题化改造项目。</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b w:val="0"/>
                <w:bCs w:val="0"/>
                <w:kern w:val="2"/>
                <w:sz w:val="28"/>
                <w:szCs w:val="36"/>
                <w:vertAlign w:val="baseline"/>
                <w:lang w:val="en-US" w:eastAsia="zh-CN" w:bidi="ar-SA"/>
              </w:rPr>
            </w:pPr>
            <w:r>
              <w:rPr>
                <w:rFonts w:hint="default" w:ascii="Times New Roman" w:hAnsi="Times New Roman" w:eastAsia="楷体_GB2312" w:cs="Times New Roman"/>
                <w:b/>
                <w:bCs/>
                <w:sz w:val="28"/>
                <w:szCs w:val="36"/>
                <w:vertAlign w:val="baseline"/>
                <w:lang w:val="en-US" w:eastAsia="zh-CN"/>
              </w:rPr>
              <w:t>环卫设施建设项目。</w:t>
            </w:r>
            <w:r>
              <w:rPr>
                <w:rFonts w:hint="default" w:ascii="Times New Roman" w:hAnsi="Times New Roman" w:eastAsia="仿宋_GB2312" w:cs="Times New Roman"/>
                <w:b w:val="0"/>
                <w:bCs w:val="0"/>
                <w:kern w:val="2"/>
                <w:sz w:val="28"/>
                <w:szCs w:val="36"/>
                <w:vertAlign w:val="baseline"/>
                <w:lang w:val="en-US" w:eastAsia="zh-CN" w:bidi="ar-SA"/>
              </w:rPr>
              <w:t>新建瑶海绿色循环综合体，推进瑶海区装修及大件垃圾处理厂建设；升级改造朱砖井垃圾转运站，建设环卫基地；新建朱砖井、龙岗、大众路等环卫停车场。</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b w:val="0"/>
                <w:bCs w:val="0"/>
                <w:sz w:val="28"/>
                <w:szCs w:val="36"/>
                <w:vertAlign w:val="baseline"/>
                <w:lang w:val="en-US" w:eastAsia="zh-CN"/>
              </w:rPr>
            </w:pPr>
            <w:r>
              <w:rPr>
                <w:rFonts w:hint="default" w:ascii="Times New Roman" w:hAnsi="Times New Roman" w:eastAsia="楷体_GB2312" w:cs="Times New Roman"/>
                <w:b/>
                <w:bCs/>
                <w:sz w:val="28"/>
                <w:szCs w:val="36"/>
                <w:vertAlign w:val="baseline"/>
                <w:lang w:val="en-US" w:eastAsia="zh-CN"/>
              </w:rPr>
              <w:t>公共停车场建设项目。</w:t>
            </w:r>
            <w:r>
              <w:rPr>
                <w:rFonts w:hint="default" w:ascii="Times New Roman" w:hAnsi="Times New Roman" w:eastAsia="仿宋_GB2312" w:cs="Times New Roman"/>
                <w:b w:val="0"/>
                <w:bCs w:val="0"/>
                <w:sz w:val="28"/>
                <w:szCs w:val="36"/>
                <w:vertAlign w:val="baseline"/>
                <w:lang w:val="en-US" w:eastAsia="zh-CN"/>
              </w:rPr>
              <w:t>建设东一环路站P+R停车场、郎溪路公共停车场等25处公共停车设施，共4009个停车泊位。</w:t>
            </w:r>
          </w:p>
          <w:p>
            <w:pPr>
              <w:keepNext w:val="0"/>
              <w:keepLines w:val="0"/>
              <w:pageBreakBefore w:val="0"/>
              <w:widowControl w:val="0"/>
              <w:kinsoku/>
              <w:wordWrap/>
              <w:overflowPunct/>
              <w:topLinePunct w:val="0"/>
              <w:autoSpaceDE/>
              <w:autoSpaceDN/>
              <w:bidi w:val="0"/>
              <w:adjustRightInd/>
              <w:snapToGrid/>
              <w:spacing w:after="126" w:afterLines="40" w:line="440" w:lineRule="exact"/>
              <w:ind w:firstLine="562" w:firstLineChars="200"/>
              <w:textAlignment w:val="auto"/>
              <w:rPr>
                <w:rFonts w:hint="default" w:ascii="Times New Roman" w:hAnsi="Times New Roman" w:eastAsia="宋体" w:cs="Times New Roman"/>
                <w:i w:val="0"/>
                <w:color w:val="000000"/>
                <w:sz w:val="22"/>
                <w:szCs w:val="22"/>
                <w:u w:val="none"/>
                <w:lang w:val="en-US"/>
              </w:rPr>
            </w:pPr>
            <w:r>
              <w:rPr>
                <w:rFonts w:hint="default" w:ascii="Times New Roman" w:hAnsi="Times New Roman" w:eastAsia="楷体_GB2312" w:cs="Times New Roman"/>
                <w:b/>
                <w:bCs/>
                <w:sz w:val="28"/>
                <w:szCs w:val="36"/>
                <w:vertAlign w:val="baseline"/>
                <w:lang w:val="en-US" w:eastAsia="zh-CN"/>
              </w:rPr>
              <w:t>市政设施及绿化管养项目。</w:t>
            </w:r>
            <w:r>
              <w:rPr>
                <w:rFonts w:hint="default" w:ascii="Times New Roman" w:hAnsi="Times New Roman" w:eastAsia="仿宋_GB2312" w:cs="Times New Roman"/>
                <w:b w:val="0"/>
                <w:bCs w:val="0"/>
                <w:sz w:val="28"/>
                <w:szCs w:val="36"/>
                <w:vertAlign w:val="baseline"/>
                <w:lang w:val="en-US" w:eastAsia="zh-CN"/>
              </w:rPr>
              <w:t>实施市政设施完善提升工程；对全区道路、雨污水管网、窨井、路灯、桥梁等市政设施及道路绿化、公园（游园）、广场等实施精细化管养。</w:t>
            </w:r>
          </w:p>
        </w:tc>
      </w:tr>
    </w:tbl>
    <w:p>
      <w:pPr>
        <w:pStyle w:val="3"/>
        <w:keepNext/>
        <w:keepLines/>
        <w:pageBreakBefore w:val="0"/>
        <w:widowControl w:val="0"/>
        <w:numPr>
          <w:ilvl w:val="0"/>
          <w:numId w:val="3"/>
        </w:numPr>
        <w:kinsoku/>
        <w:wordWrap/>
        <w:overflowPunct/>
        <w:topLinePunct w:val="0"/>
        <w:autoSpaceDE/>
        <w:autoSpaceDN/>
        <w:bidi w:val="0"/>
        <w:adjustRightInd/>
        <w:snapToGrid/>
        <w:spacing w:before="313" w:beforeLines="10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118" w:name="_Toc3451"/>
      <w:bookmarkStart w:id="119" w:name="_Toc20842"/>
      <w:r>
        <w:rPr>
          <w:rFonts w:hint="default" w:ascii="Times New Roman" w:hAnsi="Times New Roman" w:eastAsia="宋体" w:cs="Times New Roman"/>
          <w:sz w:val="32"/>
          <w:rtl w:val="0"/>
          <w:lang w:val="en-US" w:eastAsia="zh-CN"/>
        </w:rPr>
        <w:t>持续加快数字化发展</w:t>
      </w:r>
      <w:bookmarkEnd w:id="118"/>
      <w:bookmarkEnd w:id="119"/>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sz w:val="32"/>
          <w:szCs w:val="32"/>
          <w:rtl w:val="0"/>
          <w:lang w:val="en-US" w:eastAsia="zh-CN"/>
        </w:rPr>
      </w:pPr>
      <w:r>
        <w:rPr>
          <w:rFonts w:hint="default" w:ascii="Times New Roman" w:hAnsi="Times New Roman" w:eastAsia="仿宋_GB2312" w:cs="Times New Roman"/>
          <w:sz w:val="32"/>
          <w:szCs w:val="32"/>
          <w:rtl w:val="0"/>
          <w:lang w:val="en-US" w:eastAsia="zh-CN"/>
        </w:rPr>
        <w:t>实施“新基建+”行动，以建设“城市大脑”为基础，以数字政务为牵引，以社会治理数字化和社会服务数字化应用场景为主体，系统布局新基建，加快建设“数字瑶海、智慧新城”。到2025年，数字瑶海架构基本成型，硬件、软件和数据基础逐步夯实，实现“一屏观天下，一网管全城”。</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加强数字基础设施建设。</w:t>
      </w:r>
      <w:r>
        <w:rPr>
          <w:rFonts w:hint="default" w:ascii="Times New Roman" w:hAnsi="Times New Roman" w:eastAsia="仿宋_GB2312" w:cs="Times New Roman"/>
          <w:kern w:val="2"/>
          <w:sz w:val="32"/>
          <w:szCs w:val="32"/>
          <w:rtl w:val="0"/>
          <w:lang w:val="en-US" w:eastAsia="zh-CN" w:bidi="ar-SA"/>
        </w:rPr>
        <w:t>实施“千兆入户、万兆入楼”光纤覆盖计划，建设全光网城市。推</w:t>
      </w:r>
      <w:r>
        <w:rPr>
          <w:rFonts w:hint="default" w:ascii="Times New Roman" w:hAnsi="Times New Roman" w:eastAsia="仿宋_GB2312" w:cs="Times New Roman"/>
          <w:sz w:val="32"/>
          <w:szCs w:val="32"/>
          <w:rtl w:val="0"/>
          <w:lang w:val="en-US" w:eastAsia="zh-CN"/>
        </w:rPr>
        <w:t>动通</w:t>
      </w:r>
      <w:r>
        <w:rPr>
          <w:rFonts w:hint="default" w:ascii="Times New Roman" w:hAnsi="Times New Roman" w:eastAsia="仿宋_GB2312" w:cs="Times New Roman"/>
          <w:kern w:val="2"/>
          <w:sz w:val="32"/>
          <w:szCs w:val="32"/>
          <w:rtl w:val="0"/>
          <w:lang w:val="en-US" w:eastAsia="zh-CN" w:bidi="ar-SA"/>
        </w:rPr>
        <w:t>信运营商在全区范围部署开展5G网络建设工作，加快LTE网络端到IPV6改造，</w:t>
      </w:r>
      <w:r>
        <w:rPr>
          <w:rFonts w:hint="default" w:ascii="Times New Roman" w:hAnsi="Times New Roman" w:eastAsia="仿宋_GB2312" w:cs="Times New Roman"/>
          <w:sz w:val="32"/>
          <w:szCs w:val="32"/>
        </w:rPr>
        <w:t>提升5G网络覆盖范围</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到2025年</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面向室内、交通路网、地下管网、产业园区等应用场景实现深度覆盖</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kern w:val="2"/>
          <w:sz w:val="32"/>
          <w:szCs w:val="32"/>
          <w:rtl w:val="0"/>
          <w:lang w:val="en-US" w:eastAsia="zh-CN" w:bidi="ar-SA"/>
        </w:rPr>
        <w:t>围绕数据感知、传输、存储、计算全周期，加强各类数字基础设施环联互通，加快部署城市</w:t>
      </w:r>
      <w:r>
        <w:rPr>
          <w:rFonts w:hint="default" w:ascii="Times New Roman" w:hAnsi="Times New Roman" w:eastAsia="仿宋_GB2312" w:cs="Times New Roman"/>
          <w:kern w:val="2"/>
          <w:sz w:val="32"/>
          <w:szCs w:val="32"/>
          <w:highlight w:val="none"/>
          <w:rtl w:val="0"/>
          <w:lang w:val="en-US" w:eastAsia="zh-CN" w:bidi="ar-SA"/>
        </w:rPr>
        <w:t>神经</w:t>
      </w:r>
      <w:r>
        <w:rPr>
          <w:rFonts w:hint="default" w:ascii="Times New Roman" w:hAnsi="Times New Roman" w:eastAsia="仿宋_GB2312" w:cs="Times New Roman"/>
          <w:kern w:val="2"/>
          <w:sz w:val="32"/>
          <w:szCs w:val="32"/>
          <w:rtl w:val="0"/>
          <w:lang w:val="en-US" w:eastAsia="zh-CN" w:bidi="ar-SA"/>
        </w:rPr>
        <w:t>感知节点，</w:t>
      </w:r>
      <w:r>
        <w:rPr>
          <w:rFonts w:hint="default" w:ascii="Times New Roman" w:hAnsi="Times New Roman" w:eastAsia="仿宋_GB2312" w:cs="Times New Roman"/>
          <w:sz w:val="32"/>
          <w:szCs w:val="32"/>
        </w:rPr>
        <w:t>加强对传感器设备、无线通信模块、控制</w:t>
      </w:r>
      <w:r>
        <w:rPr>
          <w:rFonts w:hint="default" w:ascii="Times New Roman" w:hAnsi="Times New Roman" w:eastAsia="仿宋_GB2312" w:cs="Times New Roman"/>
          <w:sz w:val="32"/>
          <w:szCs w:val="32"/>
          <w:lang w:val="en-US" w:eastAsia="zh-CN"/>
        </w:rPr>
        <w:t>模块</w:t>
      </w:r>
      <w:r>
        <w:rPr>
          <w:rFonts w:hint="default" w:ascii="Times New Roman" w:hAnsi="Times New Roman" w:eastAsia="仿宋_GB2312" w:cs="Times New Roman"/>
          <w:sz w:val="32"/>
          <w:szCs w:val="32"/>
        </w:rPr>
        <w:t>和摄像头等数据采集终端部署</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kern w:val="2"/>
          <w:sz w:val="32"/>
          <w:szCs w:val="32"/>
          <w:rtl w:val="0"/>
          <w:lang w:val="en-US" w:eastAsia="zh-CN" w:bidi="ar-SA"/>
        </w:rPr>
        <w:t>形成全覆盖的城市物联网。</w:t>
      </w:r>
      <w:r>
        <w:rPr>
          <w:rFonts w:hint="default" w:ascii="Times New Roman" w:hAnsi="Times New Roman" w:eastAsia="仿宋_GB2312" w:cs="Times New Roman"/>
          <w:sz w:val="32"/>
          <w:szCs w:val="32"/>
        </w:rPr>
        <w:t>加快建设数据中心、城市运</w:t>
      </w:r>
      <w:r>
        <w:rPr>
          <w:rFonts w:hint="default" w:ascii="Times New Roman" w:hAnsi="Times New Roman" w:eastAsia="仿宋_GB2312" w:cs="Times New Roman"/>
          <w:sz w:val="32"/>
          <w:szCs w:val="32"/>
          <w:lang w:val="en-US" w:eastAsia="zh-CN"/>
        </w:rPr>
        <w:t>行</w:t>
      </w:r>
      <w:r>
        <w:rPr>
          <w:rFonts w:hint="default" w:ascii="Times New Roman" w:hAnsi="Times New Roman" w:eastAsia="仿宋_GB2312" w:cs="Times New Roman"/>
          <w:sz w:val="32"/>
          <w:szCs w:val="32"/>
        </w:rPr>
        <w:t>指挥平台</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能力平台，建成完善的</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城市大脑</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为合肥市</w:t>
      </w:r>
      <w:r>
        <w:rPr>
          <w:rFonts w:hint="default" w:ascii="Times New Roman" w:hAnsi="Times New Roman" w:eastAsia="仿宋_GB2312" w:cs="Times New Roman"/>
          <w:sz w:val="32"/>
          <w:szCs w:val="32"/>
          <w:lang w:eastAsia="zh-CN"/>
        </w:rPr>
        <w:t>打造国家级信息服务产业基地</w:t>
      </w:r>
      <w:r>
        <w:rPr>
          <w:rFonts w:hint="eastAsia" w:eastAsia="仿宋_GB2312" w:cs="Times New Roman"/>
          <w:sz w:val="32"/>
          <w:szCs w:val="32"/>
          <w:lang w:eastAsia="zh-CN"/>
        </w:rPr>
        <w:t>作出</w:t>
      </w:r>
      <w:r>
        <w:rPr>
          <w:rFonts w:hint="default" w:ascii="Times New Roman" w:hAnsi="Times New Roman" w:eastAsia="仿宋_GB2312" w:cs="Times New Roman"/>
          <w:sz w:val="32"/>
          <w:szCs w:val="32"/>
          <w:lang w:val="en-US" w:eastAsia="zh-CN"/>
        </w:rPr>
        <w:t>瑶海贡献</w:t>
      </w:r>
      <w:r>
        <w:rPr>
          <w:rFonts w:hint="default" w:ascii="Times New Roman" w:hAnsi="Times New Roman" w:eastAsia="仿宋_GB2312" w:cs="Times New Roman"/>
          <w:sz w:val="32"/>
          <w:szCs w:val="32"/>
        </w:rPr>
        <w:t>。</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sz w:val="32"/>
          <w:szCs w:val="32"/>
          <w:rtl w:val="0"/>
          <w:lang w:val="en-US" w:eastAsia="zh-CN"/>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提升数据资源治理能力。</w:t>
      </w:r>
      <w:r>
        <w:rPr>
          <w:rFonts w:hint="default" w:ascii="Times New Roman" w:hAnsi="Times New Roman" w:eastAsia="仿宋_GB2312" w:cs="Times New Roman"/>
          <w:sz w:val="32"/>
          <w:szCs w:val="32"/>
          <w:rtl w:val="0"/>
          <w:lang w:val="en-US" w:eastAsia="zh-CN"/>
        </w:rPr>
        <w:t>按照省数据资源管理局推进100%的政务数据和60%的社会数据汇聚工作的要求，以创优营商环境为重点，推进数据进一步汇聚，加强梳理整合基层数据，实现政务数据</w:t>
      </w:r>
      <w:r>
        <w:rPr>
          <w:rFonts w:hint="default" w:ascii="Times New Roman" w:hAnsi="Times New Roman" w:eastAsia="仿宋_GB2312" w:cs="Times New Roman"/>
          <w:sz w:val="32"/>
          <w:szCs w:val="32"/>
          <w:highlight w:val="none"/>
          <w:rtl w:val="0"/>
          <w:lang w:val="en-US" w:eastAsia="zh-CN"/>
        </w:rPr>
        <w:t>应汇</w:t>
      </w:r>
      <w:r>
        <w:rPr>
          <w:rFonts w:hint="default" w:ascii="Times New Roman" w:hAnsi="Times New Roman" w:eastAsia="仿宋_GB2312" w:cs="Times New Roman"/>
          <w:sz w:val="32"/>
          <w:szCs w:val="32"/>
          <w:rtl w:val="0"/>
          <w:lang w:val="en-US" w:eastAsia="zh-CN"/>
        </w:rPr>
        <w:t>尽汇。加强数据库建设，以基础库、主题库建设为主要内容，协调公安、市场监管、自然资源规划等部门，加快完善人口、法人、自然资源与地理空间、信用、电子证照等基础库建设；围绕应用和信息化项目建设，推进营商环境、交通、金融、医疗、环保等主题库建设。提升数据安全，推进量子智能印章等技术应用。</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sz w:val="32"/>
          <w:szCs w:val="32"/>
          <w:rtl w:val="0"/>
          <w:lang w:val="en-US" w:eastAsia="zh-CN"/>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推进社会治理数字化。</w:t>
      </w:r>
      <w:r>
        <w:rPr>
          <w:rFonts w:hint="default" w:ascii="Times New Roman" w:hAnsi="Times New Roman" w:eastAsia="仿宋_GB2312" w:cs="Times New Roman"/>
          <w:sz w:val="32"/>
          <w:szCs w:val="32"/>
          <w:rtl w:val="0"/>
          <w:lang w:val="en-US" w:eastAsia="zh-CN"/>
        </w:rPr>
        <w:t>提升城市网格化综合管理能力，打造集“搜索、分析、预警、问效”为一体的指挥中心平台，建立区级、镇街（开发区）、社区、网格四级联动、部门协同的指挥调度体系。推动实行“网格+网络”“制度+技术”“线下+线上”的运营服务模式，升级行政审批系统为政务服务并联审批系统，实现所有事项横向打通、业务流程无缝对接。建设智慧化的社区管理和服务体系，推动智慧社区建设，提升人口管控、车辆管控、房屋管理、治安防控、消防管理等数字化管理水平，争创省级智慧社区建设试点单位。</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sz w:val="32"/>
          <w:szCs w:val="32"/>
          <w:rtl w:val="0"/>
          <w:lang w:val="en-US" w:eastAsia="zh-CN"/>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推进社会服务数字化。</w:t>
      </w:r>
      <w:r>
        <w:rPr>
          <w:rFonts w:hint="default" w:ascii="Times New Roman" w:hAnsi="Times New Roman" w:eastAsia="仿宋_GB2312" w:cs="Times New Roman"/>
          <w:sz w:val="32"/>
          <w:szCs w:val="32"/>
          <w:rtl w:val="0"/>
          <w:lang w:val="en-US" w:eastAsia="zh-CN"/>
        </w:rPr>
        <w:t>实施“教育数字新基建”工程，实施师生信息素养全面提升行动计划</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tl w:val="0"/>
          <w:lang w:val="en-US" w:eastAsia="zh-CN"/>
        </w:rPr>
        <w:t>提升教育信息化水平，</w:t>
      </w:r>
      <w:r>
        <w:rPr>
          <w:rFonts w:hint="default" w:ascii="Times New Roman" w:hAnsi="Times New Roman" w:eastAsia="仿宋_GB2312" w:cs="Times New Roman"/>
          <w:sz w:val="32"/>
          <w:szCs w:val="32"/>
        </w:rPr>
        <w:t>到2025年，</w:t>
      </w:r>
      <w:r>
        <w:rPr>
          <w:rFonts w:hint="default" w:ascii="Times New Roman" w:hAnsi="Times New Roman" w:eastAsia="仿宋_GB2312" w:cs="Times New Roman"/>
          <w:sz w:val="32"/>
          <w:szCs w:val="32"/>
          <w:rtl w:val="0"/>
          <w:lang w:val="en-US" w:eastAsia="zh-CN"/>
        </w:rPr>
        <w:t>全区智慧校园比率达到100%。建设智慧化的医疗物联网基础设施，整合卫生机构信息系统，形成高效统一的大医疗生态圈。加快建设</w:t>
      </w:r>
      <w:r>
        <w:rPr>
          <w:rFonts w:hint="default" w:ascii="Times New Roman" w:hAnsi="Times New Roman" w:eastAsia="仿宋_GB2312" w:cs="Times New Roman"/>
          <w:sz w:val="32"/>
          <w:szCs w:val="32"/>
          <w:highlight w:val="none"/>
          <w:rtl w:val="0"/>
          <w:lang w:val="en-US" w:eastAsia="zh-CN"/>
        </w:rPr>
        <w:t>智慧化综合为老服务中心，</w:t>
      </w:r>
      <w:r>
        <w:rPr>
          <w:rFonts w:hint="default" w:ascii="Times New Roman" w:hAnsi="Times New Roman" w:eastAsia="仿宋_GB2312" w:cs="Times New Roman"/>
          <w:sz w:val="32"/>
          <w:szCs w:val="32"/>
          <w:rtl w:val="0"/>
          <w:lang w:val="en-US" w:eastAsia="zh-CN"/>
        </w:rPr>
        <w:t>打造“智慧+康养”融合式综合为老服务品牌。加大瑶海区交通信息化建设，针对重点区域，建成覆盖全区交通感知体系。提升环保工作数字化水平，加强监控与管理。构建瑶海区安全施工监管系统，实现数字化、网络化、智能化。积极谋划多样化应用场景，构建全场景智慧瑶海。</w:t>
      </w:r>
    </w:p>
    <w:tbl>
      <w:tblPr>
        <w:tblStyle w:val="20"/>
        <w:tblpPr w:leftFromText="180" w:rightFromText="180" w:vertAnchor="text" w:horzAnchor="page" w:tblpX="1835" w:tblpY="302"/>
        <w:tblOverlap w:val="never"/>
        <w:tblW w:w="8275" w:type="dxa"/>
        <w:tblInd w:w="0" w:type="dxa"/>
        <w:shd w:val="clear" w:color="auto" w:fill="auto"/>
        <w:tblLayout w:type="fixed"/>
        <w:tblCellMar>
          <w:top w:w="0" w:type="dxa"/>
          <w:left w:w="0" w:type="dxa"/>
          <w:bottom w:w="0" w:type="dxa"/>
          <w:right w:w="0" w:type="dxa"/>
        </w:tblCellMar>
      </w:tblPr>
      <w:tblGrid>
        <w:gridCol w:w="8275"/>
      </w:tblGrid>
      <w:tr>
        <w:tblPrEx>
          <w:shd w:val="clear" w:color="auto" w:fill="auto"/>
          <w:tblCellMar>
            <w:top w:w="0" w:type="dxa"/>
            <w:left w:w="0" w:type="dxa"/>
            <w:bottom w:w="0" w:type="dxa"/>
            <w:right w:w="0" w:type="dxa"/>
          </w:tblCellMar>
        </w:tblPrEx>
        <w:trPr>
          <w:trHeight w:val="567" w:hRule="atLeast"/>
        </w:trPr>
        <w:tc>
          <w:tcPr>
            <w:tcW w:w="827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120" w:name="_Toc26979"/>
            <w:r>
              <w:rPr>
                <w:rFonts w:hint="eastAsia" w:ascii="Times New Roman" w:hAnsi="Times New Roman" w:eastAsia="黑体" w:cs="Times New Roman"/>
                <w:b w:val="0"/>
                <w:bCs w:val="0"/>
                <w:i w:val="0"/>
                <w:color w:val="000000"/>
                <w:sz w:val="30"/>
                <w:szCs w:val="30"/>
                <w:highlight w:val="none"/>
                <w:u w:val="none"/>
                <w:lang w:val="en-US" w:eastAsia="zh-CN"/>
              </w:rPr>
              <w:t>“新基建+”</w:t>
            </w:r>
            <w:r>
              <w:rPr>
                <w:rFonts w:hint="default" w:ascii="Times New Roman" w:hAnsi="Times New Roman" w:eastAsia="黑体" w:cs="Times New Roman"/>
                <w:b w:val="0"/>
                <w:bCs w:val="0"/>
                <w:i w:val="0"/>
                <w:color w:val="000000"/>
                <w:sz w:val="30"/>
                <w:szCs w:val="30"/>
                <w:highlight w:val="none"/>
                <w:u w:val="none"/>
                <w:lang w:val="en-US" w:eastAsia="zh-CN"/>
              </w:rPr>
              <w:t>行动</w:t>
            </w:r>
            <w:bookmarkEnd w:id="120"/>
          </w:p>
        </w:tc>
      </w:tr>
      <w:tr>
        <w:tblPrEx>
          <w:shd w:val="clear" w:color="auto" w:fill="auto"/>
          <w:tblCellMar>
            <w:top w:w="0" w:type="dxa"/>
            <w:left w:w="0" w:type="dxa"/>
            <w:bottom w:w="0" w:type="dxa"/>
            <w:right w:w="0" w:type="dxa"/>
          </w:tblCellMar>
        </w:tblPrEx>
        <w:trPr>
          <w:trHeight w:val="567" w:hRule="atLeast"/>
        </w:trPr>
        <w:tc>
          <w:tcPr>
            <w:tcW w:w="827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13"/>
              <w:keepNext w:val="0"/>
              <w:keepLines w:val="0"/>
              <w:pageBreakBefore w:val="0"/>
              <w:widowControl w:val="0"/>
              <w:kinsoku/>
              <w:wordWrap/>
              <w:overflowPunct/>
              <w:topLinePunct w:val="0"/>
              <w:autoSpaceDE/>
              <w:autoSpaceDN/>
              <w:bidi w:val="0"/>
              <w:adjustRightInd/>
              <w:snapToGrid/>
              <w:spacing w:before="157" w:beforeLines="50" w:line="440" w:lineRule="exact"/>
              <w:ind w:firstLine="562"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楷体_GB2312" w:cs="Times New Roman"/>
                <w:b/>
                <w:bCs/>
                <w:sz w:val="28"/>
                <w:szCs w:val="28"/>
                <w:lang w:eastAsia="zh-CN"/>
              </w:rPr>
              <w:t>“</w:t>
            </w:r>
            <w:r>
              <w:rPr>
                <w:rFonts w:hint="default" w:ascii="Times New Roman" w:hAnsi="Times New Roman" w:eastAsia="楷体_GB2312" w:cs="Times New Roman"/>
                <w:b/>
                <w:bCs/>
                <w:sz w:val="28"/>
                <w:szCs w:val="28"/>
              </w:rPr>
              <w:t>城市大脑</w:t>
            </w:r>
            <w:r>
              <w:rPr>
                <w:rFonts w:hint="default" w:ascii="Times New Roman" w:hAnsi="Times New Roman" w:eastAsia="楷体_GB2312" w:cs="Times New Roman"/>
                <w:b/>
                <w:bCs/>
                <w:sz w:val="28"/>
                <w:szCs w:val="28"/>
                <w:lang w:eastAsia="zh-CN"/>
              </w:rPr>
              <w:t>”</w:t>
            </w:r>
            <w:r>
              <w:rPr>
                <w:rFonts w:hint="default" w:ascii="Times New Roman" w:hAnsi="Times New Roman" w:eastAsia="楷体_GB2312" w:cs="Times New Roman"/>
                <w:b/>
                <w:bCs/>
                <w:sz w:val="28"/>
                <w:szCs w:val="28"/>
                <w:lang w:val="en-US" w:eastAsia="zh-CN"/>
              </w:rPr>
              <w:t>建设工程。</w:t>
            </w:r>
            <w:r>
              <w:rPr>
                <w:rFonts w:hint="default" w:ascii="Times New Roman" w:hAnsi="Times New Roman" w:eastAsia="仿宋_GB2312" w:cs="Times New Roman"/>
                <w:sz w:val="28"/>
                <w:szCs w:val="28"/>
                <w:highlight w:val="none"/>
                <w:lang w:val="en-US" w:eastAsia="zh-CN"/>
              </w:rPr>
              <w:t>建设数据中心、城市运行指挥中心、能力平台（专题数据库），实现各部门业务协同零边界。</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b w:val="0"/>
                <w:bCs w:val="0"/>
                <w:kern w:val="2"/>
                <w:sz w:val="28"/>
                <w:szCs w:val="28"/>
                <w:lang w:val="en-US" w:eastAsia="zh-CN" w:bidi="ar-SA"/>
              </w:rPr>
            </w:pPr>
            <w:r>
              <w:rPr>
                <w:rFonts w:hint="default" w:ascii="Times New Roman" w:hAnsi="Times New Roman" w:eastAsia="楷体_GB2312" w:cs="Times New Roman"/>
                <w:b/>
                <w:bCs/>
                <w:kern w:val="2"/>
                <w:sz w:val="28"/>
                <w:szCs w:val="28"/>
                <w:lang w:val="en-US" w:eastAsia="zh-CN" w:bidi="ar-SA"/>
              </w:rPr>
              <w:t>社区治理信息化平台建设项目。</w:t>
            </w:r>
            <w:r>
              <w:rPr>
                <w:rFonts w:hint="default" w:ascii="Times New Roman" w:hAnsi="Times New Roman" w:eastAsia="仿宋_GB2312" w:cs="Times New Roman"/>
                <w:b w:val="0"/>
                <w:bCs w:val="0"/>
                <w:kern w:val="2"/>
                <w:sz w:val="28"/>
                <w:szCs w:val="28"/>
                <w:lang w:val="en-US" w:eastAsia="zh-CN" w:bidi="ar-SA"/>
              </w:rPr>
              <w:t>建设预判分析可视化、基层党建管理、移动应用等平台，实现部署、落实、督导、考核、研判等社会治理全措施集成到一个系统。</w:t>
            </w:r>
          </w:p>
          <w:p>
            <w:pPr>
              <w:pStyle w:val="14"/>
              <w:keepNext w:val="0"/>
              <w:keepLines w:val="0"/>
              <w:pageBreakBefore w:val="0"/>
              <w:widowControl w:val="0"/>
              <w:kinsoku/>
              <w:wordWrap/>
              <w:overflowPunct/>
              <w:topLinePunct w:val="0"/>
              <w:autoSpaceDE/>
              <w:autoSpaceDN/>
              <w:bidi w:val="0"/>
              <w:adjustRightInd/>
              <w:spacing w:line="440" w:lineRule="exact"/>
              <w:ind w:firstLine="562" w:firstLineChars="200"/>
              <w:textAlignment w:val="auto"/>
              <w:rPr>
                <w:rFonts w:hint="default" w:ascii="Times New Roman" w:hAnsi="Times New Roman" w:eastAsia="仿宋_GB2312" w:cs="Times New Roman"/>
                <w:b w:val="0"/>
                <w:bCs w:val="0"/>
                <w:kern w:val="2"/>
                <w:sz w:val="28"/>
                <w:szCs w:val="28"/>
                <w:lang w:val="en-US" w:eastAsia="zh-CN" w:bidi="ar-SA"/>
              </w:rPr>
            </w:pPr>
            <w:r>
              <w:rPr>
                <w:rFonts w:hint="default" w:ascii="Times New Roman" w:hAnsi="Times New Roman" w:eastAsia="楷体_GB2312" w:cs="Times New Roman"/>
                <w:b/>
                <w:bCs/>
                <w:kern w:val="2"/>
                <w:sz w:val="28"/>
                <w:szCs w:val="28"/>
                <w:lang w:val="en-US" w:eastAsia="zh-CN" w:bidi="ar-SA"/>
              </w:rPr>
              <w:t>应急指挥中心建设项目。</w:t>
            </w:r>
            <w:r>
              <w:rPr>
                <w:rFonts w:hint="default" w:ascii="Times New Roman" w:hAnsi="Times New Roman" w:eastAsia="仿宋_GB2312" w:cs="Times New Roman"/>
                <w:b w:val="0"/>
                <w:bCs w:val="0"/>
                <w:kern w:val="2"/>
                <w:sz w:val="28"/>
                <w:szCs w:val="28"/>
                <w:lang w:val="en-US" w:eastAsia="zh-CN" w:bidi="ar-SA"/>
              </w:rPr>
              <w:t>部署应急指挥信息网，建设应急救援智能化、扁平化和一体化指挥作战平台。</w:t>
            </w:r>
          </w:p>
          <w:p>
            <w:pPr>
              <w:pStyle w:val="14"/>
              <w:keepNext w:val="0"/>
              <w:keepLines w:val="0"/>
              <w:pageBreakBefore w:val="0"/>
              <w:widowControl w:val="0"/>
              <w:kinsoku/>
              <w:wordWrap/>
              <w:overflowPunct/>
              <w:topLinePunct w:val="0"/>
              <w:autoSpaceDE/>
              <w:autoSpaceDN/>
              <w:bidi w:val="0"/>
              <w:adjustRightInd/>
              <w:spacing w:line="440" w:lineRule="exact"/>
              <w:ind w:firstLine="562" w:firstLineChars="200"/>
              <w:textAlignment w:val="auto"/>
              <w:rPr>
                <w:rFonts w:hint="default" w:ascii="Times New Roman" w:hAnsi="Times New Roman" w:eastAsia="仿宋_GB2312" w:cs="Times New Roman"/>
                <w:b w:val="0"/>
                <w:bCs w:val="0"/>
                <w:kern w:val="2"/>
                <w:sz w:val="28"/>
                <w:szCs w:val="28"/>
                <w:lang w:val="en-US" w:eastAsia="zh-CN" w:bidi="ar-SA"/>
              </w:rPr>
            </w:pPr>
            <w:r>
              <w:rPr>
                <w:rFonts w:hint="default" w:ascii="Times New Roman" w:hAnsi="Times New Roman" w:eastAsia="楷体_GB2312" w:cs="Times New Roman"/>
                <w:b/>
                <w:bCs/>
                <w:kern w:val="2"/>
                <w:sz w:val="28"/>
                <w:szCs w:val="28"/>
                <w:lang w:val="en-US" w:eastAsia="zh-CN" w:bidi="ar-SA"/>
              </w:rPr>
              <w:t>智慧化综合养老服务平台项目。</w:t>
            </w:r>
            <w:r>
              <w:rPr>
                <w:rFonts w:hint="default" w:ascii="Times New Roman" w:hAnsi="Times New Roman" w:eastAsia="仿宋_GB2312" w:cs="Times New Roman"/>
                <w:b w:val="0"/>
                <w:bCs w:val="0"/>
                <w:kern w:val="2"/>
                <w:sz w:val="28"/>
                <w:szCs w:val="28"/>
                <w:lang w:val="en-US" w:eastAsia="zh-CN" w:bidi="ar-SA"/>
              </w:rPr>
              <w:t>主动对接省市养老服务信息平台，建成区级综合养老平台，实现集老人健康监测、养老机构信息化管理、福利补贴资金发放管理、统计分析等工作于一体的“互联网+养老”综合服务平台。</w:t>
            </w:r>
          </w:p>
          <w:p>
            <w:pPr>
              <w:pStyle w:val="14"/>
              <w:keepNext w:val="0"/>
              <w:keepLines w:val="0"/>
              <w:pageBreakBefore w:val="0"/>
              <w:widowControl w:val="0"/>
              <w:kinsoku/>
              <w:wordWrap/>
              <w:overflowPunct/>
              <w:topLinePunct w:val="0"/>
              <w:autoSpaceDE/>
              <w:autoSpaceDN/>
              <w:bidi w:val="0"/>
              <w:adjustRightInd/>
              <w:spacing w:line="440" w:lineRule="exact"/>
              <w:ind w:firstLine="562" w:firstLineChars="200"/>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楷体_GB2312" w:cs="Times New Roman"/>
                <w:b/>
                <w:bCs/>
                <w:kern w:val="2"/>
                <w:sz w:val="28"/>
                <w:szCs w:val="28"/>
                <w:lang w:val="en-US" w:eastAsia="zh-CN" w:bidi="ar-SA"/>
              </w:rPr>
              <w:t>应急广播体系建设项目。</w:t>
            </w:r>
            <w:r>
              <w:rPr>
                <w:rFonts w:hint="default" w:ascii="Times New Roman" w:hAnsi="Times New Roman" w:eastAsia="仿宋_GB2312" w:cs="Times New Roman"/>
                <w:kern w:val="2"/>
                <w:sz w:val="28"/>
                <w:szCs w:val="28"/>
                <w:lang w:val="en-US" w:eastAsia="zh-CN" w:bidi="ar-SA"/>
              </w:rPr>
              <w:t>部署应急广播终端，配套完善镇（街道）村（社区）前端系统，建成以有线、无线互为备份的两大应急覆盖网络，实现与上级应急广播平台纵向对接、与本级突发事件预警信息发布系统横向联通。</w:t>
            </w:r>
          </w:p>
          <w:p>
            <w:pPr>
              <w:pStyle w:val="13"/>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sz w:val="28"/>
                <w:szCs w:val="28"/>
                <w:lang w:eastAsia="zh-CN"/>
              </w:rPr>
            </w:pPr>
            <w:r>
              <w:rPr>
                <w:rFonts w:hint="default" w:ascii="Times New Roman" w:hAnsi="Times New Roman" w:eastAsia="楷体_GB2312" w:cs="Times New Roman"/>
                <w:b/>
                <w:bCs/>
                <w:sz w:val="28"/>
                <w:szCs w:val="28"/>
                <w:lang w:val="en-US" w:eastAsia="zh-CN"/>
              </w:rPr>
              <w:t>智慧社区建设工程。</w:t>
            </w:r>
            <w:r>
              <w:rPr>
                <w:rFonts w:hint="default" w:ascii="Times New Roman" w:hAnsi="Times New Roman" w:eastAsia="仿宋_GB2312" w:cs="Times New Roman"/>
                <w:sz w:val="28"/>
                <w:szCs w:val="28"/>
              </w:rPr>
              <w:t>制定智慧社区建设指导标准和评价体系，在现有智慧社区建设成果基础上，</w:t>
            </w:r>
            <w:r>
              <w:rPr>
                <w:rFonts w:hint="default" w:ascii="Times New Roman" w:hAnsi="Times New Roman" w:eastAsia="仿宋_GB2312" w:cs="Times New Roman"/>
                <w:sz w:val="28"/>
                <w:szCs w:val="28"/>
                <w:lang w:val="en-US" w:eastAsia="zh-CN"/>
              </w:rPr>
              <w:t>加强与</w:t>
            </w:r>
            <w:r>
              <w:rPr>
                <w:rFonts w:hint="default" w:ascii="Times New Roman" w:hAnsi="Times New Roman" w:eastAsia="仿宋_GB2312" w:cs="Times New Roman"/>
                <w:sz w:val="28"/>
                <w:szCs w:val="28"/>
              </w:rPr>
              <w:t>社区服务综合信息平台与健康、卫生、体育、教育等其他智慧系统互联互通</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建设一批覆盖更广、应用更成熟的智慧社区示范点</w:t>
            </w:r>
            <w:r>
              <w:rPr>
                <w:rFonts w:hint="default" w:ascii="Times New Roman" w:hAnsi="Times New Roman" w:eastAsia="仿宋_GB2312" w:cs="Times New Roman"/>
                <w:sz w:val="28"/>
                <w:szCs w:val="28"/>
                <w:lang w:eastAsia="zh-CN"/>
              </w:rPr>
              <w:t>。</w:t>
            </w:r>
          </w:p>
          <w:p>
            <w:pPr>
              <w:pStyle w:val="13"/>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sz w:val="28"/>
                <w:szCs w:val="28"/>
                <w:lang w:eastAsia="zh-CN"/>
              </w:rPr>
            </w:pPr>
            <w:r>
              <w:rPr>
                <w:rFonts w:hint="default" w:ascii="Times New Roman" w:hAnsi="Times New Roman" w:eastAsia="楷体_GB2312" w:cs="Times New Roman"/>
                <w:b/>
                <w:bCs/>
                <w:sz w:val="28"/>
                <w:szCs w:val="28"/>
                <w:lang w:eastAsia="zh-CN"/>
              </w:rPr>
              <w:t>视频数据改造升级工程。</w:t>
            </w:r>
            <w:r>
              <w:rPr>
                <w:rFonts w:hint="default" w:ascii="Times New Roman" w:hAnsi="Times New Roman" w:eastAsia="仿宋_GB2312" w:cs="Times New Roman"/>
                <w:sz w:val="28"/>
                <w:szCs w:val="28"/>
                <w:highlight w:val="none"/>
                <w:lang w:val="en-US" w:eastAsia="zh-CN"/>
              </w:rPr>
              <w:t>实施</w:t>
            </w:r>
            <w:r>
              <w:rPr>
                <w:rFonts w:hint="default" w:ascii="Times New Roman" w:hAnsi="Times New Roman" w:eastAsia="仿宋_GB2312" w:cs="Times New Roman"/>
                <w:sz w:val="28"/>
                <w:szCs w:val="28"/>
                <w:highlight w:val="none"/>
                <w:lang w:eastAsia="zh-CN"/>
              </w:rPr>
              <w:t>视频</w:t>
            </w:r>
            <w:r>
              <w:rPr>
                <w:rFonts w:hint="default" w:ascii="Times New Roman" w:hAnsi="Times New Roman" w:eastAsia="仿宋_GB2312" w:cs="Times New Roman"/>
                <w:sz w:val="28"/>
                <w:szCs w:val="28"/>
                <w:lang w:eastAsia="zh-CN"/>
              </w:rPr>
              <w:t>数据平台高清摄像机补盲建设；</w:t>
            </w:r>
            <w:r>
              <w:rPr>
                <w:rFonts w:hint="default" w:ascii="Times New Roman" w:hAnsi="Times New Roman" w:eastAsia="仿宋_GB2312" w:cs="Times New Roman"/>
                <w:sz w:val="28"/>
                <w:szCs w:val="28"/>
                <w:lang w:val="en-US" w:eastAsia="zh-CN"/>
              </w:rPr>
              <w:t>实施</w:t>
            </w:r>
            <w:r>
              <w:rPr>
                <w:rFonts w:hint="default" w:ascii="Times New Roman" w:hAnsi="Times New Roman" w:eastAsia="仿宋_GB2312" w:cs="Times New Roman"/>
                <w:sz w:val="28"/>
                <w:szCs w:val="28"/>
                <w:lang w:eastAsia="zh-CN"/>
              </w:rPr>
              <w:t>摄像头</w:t>
            </w:r>
            <w:r>
              <w:rPr>
                <w:rFonts w:hint="default" w:ascii="Times New Roman" w:hAnsi="Times New Roman" w:eastAsia="仿宋_GB2312" w:cs="Times New Roman"/>
                <w:sz w:val="28"/>
                <w:szCs w:val="28"/>
                <w:lang w:val="en-US" w:eastAsia="zh-CN"/>
              </w:rPr>
              <w:t>进行</w:t>
            </w:r>
            <w:r>
              <w:rPr>
                <w:rFonts w:hint="default" w:ascii="Times New Roman" w:hAnsi="Times New Roman" w:eastAsia="仿宋_GB2312" w:cs="Times New Roman"/>
                <w:sz w:val="28"/>
                <w:szCs w:val="28"/>
                <w:lang w:eastAsia="zh-CN"/>
              </w:rPr>
              <w:t>多功能升级，增加雷达探测、人脸识别、车辆识别、车牌识别、热成像检测、污染源检测等功能；</w:t>
            </w:r>
            <w:r>
              <w:rPr>
                <w:rFonts w:hint="default" w:ascii="Times New Roman" w:hAnsi="Times New Roman" w:eastAsia="仿宋_GB2312" w:cs="Times New Roman"/>
                <w:sz w:val="28"/>
                <w:szCs w:val="28"/>
                <w:lang w:val="en-US" w:eastAsia="zh-CN"/>
              </w:rPr>
              <w:t>推进</w:t>
            </w:r>
            <w:r>
              <w:rPr>
                <w:rFonts w:hint="default" w:ascii="Times New Roman" w:hAnsi="Times New Roman" w:eastAsia="仿宋_GB2312" w:cs="Times New Roman"/>
                <w:sz w:val="28"/>
                <w:szCs w:val="28"/>
                <w:lang w:eastAsia="zh-CN"/>
              </w:rPr>
              <w:t>接入社会视频监控资源，实现对“两站一场”主要公共区域、场所、街道、治安保卫重点单位及周边区域、治安复杂区域等部位全天候监控。</w:t>
            </w:r>
          </w:p>
          <w:p>
            <w:pPr>
              <w:pStyle w:val="13"/>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sz w:val="28"/>
                <w:szCs w:val="28"/>
                <w:lang w:eastAsia="zh-CN"/>
              </w:rPr>
            </w:pPr>
            <w:r>
              <w:rPr>
                <w:rFonts w:hint="default" w:ascii="Times New Roman" w:hAnsi="Times New Roman" w:eastAsia="楷体_GB2312" w:cs="Times New Roman"/>
                <w:b/>
                <w:bCs/>
                <w:sz w:val="28"/>
                <w:szCs w:val="28"/>
                <w:lang w:eastAsia="zh-CN"/>
              </w:rPr>
              <w:t>一杆多用试点</w:t>
            </w:r>
            <w:r>
              <w:rPr>
                <w:rFonts w:hint="default" w:ascii="Times New Roman" w:hAnsi="Times New Roman" w:eastAsia="楷体_GB2312" w:cs="Times New Roman"/>
                <w:b/>
                <w:bCs/>
                <w:sz w:val="28"/>
                <w:szCs w:val="28"/>
                <w:lang w:val="en-US" w:eastAsia="zh-CN"/>
              </w:rPr>
              <w:t>建设项目</w:t>
            </w:r>
            <w:r>
              <w:rPr>
                <w:rFonts w:hint="default" w:ascii="Times New Roman" w:hAnsi="Times New Roman" w:eastAsia="楷体_GB2312" w:cs="Times New Roman"/>
                <w:b/>
                <w:bCs/>
                <w:sz w:val="28"/>
                <w:szCs w:val="28"/>
                <w:lang w:eastAsia="zh-CN"/>
              </w:rPr>
              <w:t>。</w:t>
            </w:r>
            <w:r>
              <w:rPr>
                <w:rFonts w:hint="default" w:ascii="Times New Roman" w:hAnsi="Times New Roman" w:eastAsia="仿宋_GB2312" w:cs="Times New Roman"/>
                <w:sz w:val="28"/>
                <w:szCs w:val="28"/>
                <w:lang w:val="en-US" w:eastAsia="zh-CN"/>
              </w:rPr>
              <w:t>建设</w:t>
            </w:r>
            <w:r>
              <w:rPr>
                <w:rFonts w:hint="default" w:ascii="Times New Roman" w:hAnsi="Times New Roman" w:eastAsia="仿宋_GB2312" w:cs="Times New Roman"/>
                <w:sz w:val="28"/>
                <w:szCs w:val="28"/>
                <w:lang w:eastAsia="zh-CN"/>
              </w:rPr>
              <w:t>集智慧照明、通信基站、视频监控、LED信息发布、充电桩、各类传感器等多种设施于一体的多用灯杆。</w:t>
            </w:r>
          </w:p>
          <w:p>
            <w:pPr>
              <w:pStyle w:val="13"/>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楷体_GB2312" w:cs="Times New Roman"/>
                <w:b/>
                <w:bCs/>
                <w:sz w:val="28"/>
                <w:szCs w:val="28"/>
                <w:lang w:val="en-US" w:eastAsia="zh-CN"/>
              </w:rPr>
              <w:t>智能交通设备升级改造项目。</w:t>
            </w:r>
            <w:r>
              <w:rPr>
                <w:rFonts w:hint="default" w:ascii="Times New Roman" w:hAnsi="Times New Roman" w:eastAsia="仿宋_GB2312" w:cs="Times New Roman"/>
                <w:kern w:val="2"/>
                <w:sz w:val="28"/>
                <w:szCs w:val="28"/>
                <w:lang w:val="en-US" w:eastAsia="zh-CN" w:bidi="ar-SA"/>
              </w:rPr>
              <w:t>对全区主干道交通设备的智能化改造，实现二环内协调式联网信号机、更换信号灯、电警摄像机、反向卡口等智能交通信号设施全覆盖。</w:t>
            </w:r>
          </w:p>
          <w:p>
            <w:pPr>
              <w:pStyle w:val="13"/>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sz w:val="28"/>
                <w:szCs w:val="28"/>
                <w:lang w:eastAsia="zh-CN"/>
              </w:rPr>
            </w:pPr>
            <w:r>
              <w:rPr>
                <w:rFonts w:hint="default" w:ascii="Times New Roman" w:hAnsi="Times New Roman" w:eastAsia="楷体_GB2312" w:cs="Times New Roman"/>
                <w:b/>
                <w:bCs/>
                <w:sz w:val="28"/>
                <w:szCs w:val="28"/>
                <w:lang w:eastAsia="zh-CN"/>
              </w:rPr>
              <w:t>“人工智能+教育”创新示范</w:t>
            </w:r>
            <w:r>
              <w:rPr>
                <w:rFonts w:hint="default" w:ascii="Times New Roman" w:hAnsi="Times New Roman" w:eastAsia="楷体_GB2312" w:cs="Times New Roman"/>
                <w:b/>
                <w:bCs/>
                <w:sz w:val="28"/>
                <w:szCs w:val="28"/>
                <w:lang w:val="en-US" w:eastAsia="zh-CN"/>
              </w:rPr>
              <w:t>项目</w:t>
            </w:r>
            <w:r>
              <w:rPr>
                <w:rFonts w:hint="default" w:ascii="Times New Roman" w:hAnsi="Times New Roman" w:eastAsia="楷体_GB2312" w:cs="Times New Roman"/>
                <w:b/>
                <w:bCs/>
                <w:sz w:val="28"/>
                <w:szCs w:val="28"/>
                <w:lang w:eastAsia="zh-CN"/>
              </w:rPr>
              <w:t>。</w:t>
            </w:r>
            <w:r>
              <w:rPr>
                <w:rFonts w:hint="default" w:ascii="Times New Roman" w:hAnsi="Times New Roman" w:eastAsia="仿宋_GB2312" w:cs="Times New Roman"/>
                <w:sz w:val="28"/>
                <w:szCs w:val="28"/>
              </w:rPr>
              <w:t>建设</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智慧课堂系统</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人工智能创新教育实验室</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智慧幼教应用系统</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等三大类软硬件系统，运用手写识别、自动批改、语音转写等智能技术，创新传统智慧课堂交互模式，实现多学段智能教学应用示范</w:t>
            </w:r>
            <w:r>
              <w:rPr>
                <w:rFonts w:hint="default" w:ascii="Times New Roman" w:hAnsi="Times New Roman" w:eastAsia="仿宋_GB2312" w:cs="Times New Roman"/>
                <w:sz w:val="28"/>
                <w:szCs w:val="28"/>
                <w:lang w:eastAsia="zh-CN"/>
              </w:rPr>
              <w:t>。</w:t>
            </w:r>
          </w:p>
          <w:p>
            <w:pPr>
              <w:pStyle w:val="13"/>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sz w:val="28"/>
                <w:szCs w:val="28"/>
                <w:lang w:eastAsia="zh-CN"/>
              </w:rPr>
            </w:pPr>
            <w:r>
              <w:rPr>
                <w:rFonts w:hint="default" w:ascii="Times New Roman" w:hAnsi="Times New Roman" w:eastAsia="楷体_GB2312" w:cs="Times New Roman"/>
                <w:b/>
                <w:bCs/>
                <w:sz w:val="28"/>
                <w:szCs w:val="28"/>
                <w:lang w:val="en-US" w:eastAsia="zh-CN"/>
              </w:rPr>
              <w:t>5G+智慧医疗应用示范项目。</w:t>
            </w:r>
            <w:r>
              <w:rPr>
                <w:rFonts w:hint="default" w:ascii="Times New Roman" w:hAnsi="Times New Roman" w:eastAsia="仿宋_GB2312" w:cs="Times New Roman"/>
                <w:sz w:val="28"/>
                <w:szCs w:val="28"/>
                <w:lang w:val="en-US" w:eastAsia="zh-CN"/>
              </w:rPr>
              <w:t>推进</w:t>
            </w:r>
            <w:r>
              <w:rPr>
                <w:rFonts w:hint="default" w:ascii="Times New Roman" w:hAnsi="Times New Roman" w:eastAsia="仿宋_GB2312" w:cs="Times New Roman"/>
                <w:sz w:val="28"/>
                <w:szCs w:val="28"/>
              </w:rPr>
              <w:t>移动急救、远程会诊、远程影像、远程手术、远程护理等</w:t>
            </w:r>
            <w:r>
              <w:rPr>
                <w:rFonts w:hint="default" w:ascii="Times New Roman" w:hAnsi="Times New Roman" w:eastAsia="仿宋_GB2312" w:cs="Times New Roman"/>
                <w:sz w:val="28"/>
                <w:szCs w:val="28"/>
                <w:lang w:val="en-US" w:eastAsia="zh-CN"/>
              </w:rPr>
              <w:t>设施建设，</w:t>
            </w:r>
            <w:r>
              <w:rPr>
                <w:rFonts w:hint="default" w:ascii="Times New Roman" w:hAnsi="Times New Roman" w:eastAsia="仿宋_GB2312" w:cs="Times New Roman"/>
                <w:sz w:val="28"/>
                <w:szCs w:val="28"/>
              </w:rPr>
              <w:t>实现实时医疗监控、全方位病人感知、移动急救等</w:t>
            </w:r>
            <w:r>
              <w:rPr>
                <w:rFonts w:hint="default" w:ascii="Times New Roman" w:hAnsi="Times New Roman" w:eastAsia="仿宋_GB2312" w:cs="Times New Roman"/>
                <w:sz w:val="28"/>
                <w:szCs w:val="28"/>
                <w:lang w:eastAsia="zh-CN"/>
              </w:rPr>
              <w:t>。</w:t>
            </w:r>
          </w:p>
          <w:p>
            <w:pPr>
              <w:pStyle w:val="13"/>
              <w:keepNext w:val="0"/>
              <w:keepLines w:val="0"/>
              <w:pageBreakBefore w:val="0"/>
              <w:widowControl w:val="0"/>
              <w:kinsoku/>
              <w:wordWrap/>
              <w:overflowPunct/>
              <w:topLinePunct w:val="0"/>
              <w:autoSpaceDE/>
              <w:autoSpaceDN/>
              <w:bidi w:val="0"/>
              <w:adjustRightInd/>
              <w:snapToGrid/>
              <w:spacing w:after="157" w:afterLines="50" w:line="440" w:lineRule="exact"/>
              <w:ind w:firstLine="562" w:firstLineChars="200"/>
              <w:textAlignment w:val="auto"/>
              <w:rPr>
                <w:rFonts w:hint="default" w:ascii="Times New Roman" w:hAnsi="Times New Roman" w:eastAsia="宋体" w:cs="Times New Roman"/>
                <w:lang w:eastAsia="zh-CN"/>
              </w:rPr>
            </w:pPr>
            <w:r>
              <w:rPr>
                <w:rFonts w:hint="default" w:ascii="Times New Roman" w:hAnsi="Times New Roman" w:eastAsia="楷体_GB2312" w:cs="Times New Roman"/>
                <w:b/>
                <w:bCs/>
                <w:sz w:val="28"/>
                <w:szCs w:val="28"/>
                <w:lang w:val="en-US" w:eastAsia="zh-CN"/>
              </w:rPr>
              <w:t>智慧城管平台建设项目</w:t>
            </w:r>
            <w:r>
              <w:rPr>
                <w:rFonts w:hint="default" w:ascii="Times New Roman" w:hAnsi="Times New Roman" w:eastAsia="楷体_GB2312" w:cs="Times New Roman"/>
                <w:b/>
                <w:bCs/>
                <w:sz w:val="28"/>
                <w:szCs w:val="28"/>
                <w:lang w:eastAsia="zh-CN"/>
              </w:rPr>
              <w:t>。</w:t>
            </w:r>
            <w:r>
              <w:rPr>
                <w:rFonts w:hint="default" w:ascii="Times New Roman" w:hAnsi="Times New Roman" w:eastAsia="仿宋_GB2312" w:cs="Times New Roman"/>
                <w:sz w:val="28"/>
                <w:szCs w:val="28"/>
              </w:rPr>
              <w:t>建立综合执法及档案管理系统，利用视频一体化、语音集成、地理信息等技术，</w:t>
            </w:r>
            <w:r>
              <w:rPr>
                <w:rFonts w:hint="default" w:ascii="Times New Roman" w:hAnsi="Times New Roman" w:eastAsia="仿宋_GB2312" w:cs="Times New Roman"/>
                <w:sz w:val="28"/>
                <w:szCs w:val="28"/>
                <w:lang w:val="en-US" w:eastAsia="zh-CN"/>
              </w:rPr>
              <w:t>实现</w:t>
            </w:r>
            <w:r>
              <w:rPr>
                <w:rFonts w:hint="default" w:ascii="Times New Roman" w:hAnsi="Times New Roman" w:eastAsia="仿宋_GB2312" w:cs="Times New Roman"/>
                <w:sz w:val="28"/>
                <w:szCs w:val="28"/>
              </w:rPr>
              <w:t>远程执法等新型执法模式</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建立智慧</w:t>
            </w:r>
            <w:r>
              <w:rPr>
                <w:rFonts w:hint="default" w:ascii="Times New Roman" w:hAnsi="Times New Roman" w:eastAsia="仿宋_GB2312" w:cs="Times New Roman"/>
                <w:sz w:val="28"/>
                <w:szCs w:val="28"/>
                <w:lang w:val="en-US" w:eastAsia="zh-CN"/>
              </w:rPr>
              <w:t>环卫设施</w:t>
            </w:r>
            <w:r>
              <w:rPr>
                <w:rFonts w:hint="default" w:ascii="Times New Roman" w:hAnsi="Times New Roman" w:eastAsia="仿宋_GB2312" w:cs="Times New Roman"/>
                <w:sz w:val="28"/>
                <w:szCs w:val="28"/>
              </w:rPr>
              <w:t>管理系统，利用智能控制、传感传导等技术，集中管理环境</w:t>
            </w:r>
            <w:r>
              <w:rPr>
                <w:rFonts w:hint="default" w:ascii="Times New Roman" w:hAnsi="Times New Roman" w:eastAsia="仿宋_GB2312" w:cs="Times New Roman"/>
                <w:sz w:val="28"/>
                <w:szCs w:val="28"/>
                <w:lang w:val="en-US" w:eastAsia="zh-CN"/>
              </w:rPr>
              <w:t>卫生</w:t>
            </w:r>
            <w:r>
              <w:rPr>
                <w:rFonts w:hint="default" w:ascii="Times New Roman" w:hAnsi="Times New Roman" w:eastAsia="仿宋_GB2312" w:cs="Times New Roman"/>
                <w:sz w:val="28"/>
                <w:szCs w:val="28"/>
              </w:rPr>
              <w:t>等</w:t>
            </w:r>
            <w:r>
              <w:rPr>
                <w:rFonts w:hint="default" w:ascii="Times New Roman" w:hAnsi="Times New Roman" w:eastAsia="仿宋_GB2312" w:cs="Times New Roman"/>
                <w:sz w:val="28"/>
                <w:szCs w:val="28"/>
                <w:lang w:val="en-US" w:eastAsia="zh-CN"/>
              </w:rPr>
              <w:t>工作</w:t>
            </w:r>
            <w:r>
              <w:rPr>
                <w:rFonts w:hint="default" w:ascii="Times New Roman" w:hAnsi="Times New Roman" w:eastAsia="仿宋_GB2312" w:cs="Times New Roman"/>
                <w:sz w:val="28"/>
                <w:szCs w:val="28"/>
              </w:rPr>
              <w:t>。</w:t>
            </w:r>
          </w:p>
        </w:tc>
      </w:tr>
    </w:tbl>
    <w:p>
      <w:pPr>
        <w:pStyle w:val="3"/>
        <w:keepNext/>
        <w:keepLines/>
        <w:pageBreakBefore w:val="0"/>
        <w:widowControl w:val="0"/>
        <w:numPr>
          <w:ilvl w:val="0"/>
          <w:numId w:val="3"/>
        </w:numPr>
        <w:kinsoku/>
        <w:wordWrap/>
        <w:overflowPunct/>
        <w:topLinePunct w:val="0"/>
        <w:autoSpaceDE/>
        <w:autoSpaceDN/>
        <w:bidi w:val="0"/>
        <w:adjustRightInd/>
        <w:snapToGrid/>
        <w:spacing w:before="313" w:beforeLines="10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bookmarkStart w:id="121" w:name="_Toc32003"/>
      <w:bookmarkStart w:id="122" w:name="_Toc12657"/>
      <w:r>
        <w:rPr>
          <w:rFonts w:hint="default" w:ascii="Times New Roman" w:hAnsi="Times New Roman" w:eastAsia="宋体" w:cs="Times New Roman"/>
          <w:sz w:val="32"/>
          <w:rtl w:val="0"/>
          <w:lang w:val="en-US" w:eastAsia="zh-CN"/>
        </w:rPr>
        <w:t>打造乡村全面振兴先行示范区</w:t>
      </w:r>
      <w:bookmarkEnd w:id="121"/>
      <w:bookmarkEnd w:id="122"/>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line="560" w:lineRule="exact"/>
        <w:ind w:firstLine="640" w:firstLineChars="200"/>
        <w:jc w:val="left"/>
        <w:textAlignment w:val="auto"/>
        <w:outlineLvl w:val="9"/>
        <w:rPr>
          <w:rFonts w:hint="default" w:ascii="Times New Roman" w:hAnsi="Times New Roman" w:eastAsia="仿宋_GB2312" w:cs="Times New Roman"/>
          <w:b w:val="0"/>
          <w:bCs w:val="0"/>
          <w:color w:val="000000" w:themeColor="text1"/>
          <w:kern w:val="0"/>
          <w:sz w:val="32"/>
          <w:szCs w:val="32"/>
          <w:highlight w:val="none"/>
          <w:shd w:val="clear" w:color="auto" w:fill="FFFFFF"/>
          <w:rtl w:val="0"/>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highlight w:val="none"/>
          <w:shd w:val="clear" w:color="auto" w:fill="FFFFFF"/>
          <w:rtl w:val="0"/>
          <w:lang w:val="en-US" w:eastAsia="zh-CN" w:bidi="ar-SA"/>
          <w14:textFill>
            <w14:solidFill>
              <w14:schemeClr w14:val="tx1"/>
            </w14:solidFill>
          </w14:textFill>
        </w:rPr>
        <w:t>对标长三角先进地区，探索经验、率先突破、走在前列，高起点、高标准推进乡村振兴，到2025年率先基本实现农业农村现代化，打造乡村全面振兴的安徽样板。</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line="560" w:lineRule="exact"/>
        <w:ind w:firstLine="643"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shd w:val="clear" w:color="auto" w:fill="FFFFFF"/>
          <w:rtl w:val="0"/>
          <w:lang w:val="en-US" w:eastAsia="zh-CN" w:bidi="ar-SA"/>
          <w14:textFill>
            <w14:solidFill>
              <w14:schemeClr w14:val="tx1"/>
            </w14:solidFill>
          </w14:textFill>
        </w:rPr>
      </w:pPr>
      <w:r>
        <w:rPr>
          <w:rFonts w:hint="default" w:ascii="Times New Roman" w:hAnsi="Times New Roman" w:eastAsia="楷体_GB2312" w:cs="Times New Roman"/>
          <w:b/>
          <w:bCs/>
          <w:color w:val="auto"/>
          <w:kern w:val="2"/>
          <w:sz w:val="32"/>
          <w:szCs w:val="32"/>
          <w:highlight w:val="none"/>
          <w:rtl w:val="0"/>
          <w:lang w:val="en-US" w:eastAsia="zh-CN" w:bidi="ar-SA"/>
        </w:rPr>
        <w:t>加快完善农村制度体系。</w:t>
      </w:r>
      <w:r>
        <w:rPr>
          <w:rFonts w:hint="default" w:ascii="Times New Roman" w:hAnsi="Times New Roman" w:eastAsia="仿宋_GB2312" w:cs="Times New Roman"/>
          <w:b w:val="0"/>
          <w:bCs w:val="0"/>
          <w:color w:val="000000" w:themeColor="text1"/>
          <w:kern w:val="0"/>
          <w:sz w:val="32"/>
          <w:szCs w:val="32"/>
          <w:highlight w:val="none"/>
          <w:shd w:val="clear" w:color="auto" w:fill="FFFFFF"/>
          <w:rtl w:val="0"/>
          <w:lang w:val="en-US" w:eastAsia="zh-CN" w:bidi="ar-SA"/>
          <w14:textFill>
            <w14:solidFill>
              <w14:schemeClr w14:val="tx1"/>
            </w14:solidFill>
          </w14:textFill>
        </w:rPr>
        <w:t>深入推进农村改革和制度创新，不断解放和发展农村社会生产力，激发农村发展活力。落实农村基本经营制度和第二轮土地承包到期后再延长三十年政策，加快改革农村产权制度，规范农村土地流转，</w:t>
      </w:r>
      <w:r>
        <w:rPr>
          <w:rFonts w:hint="default" w:ascii="Times New Roman" w:hAnsi="Times New Roman" w:eastAsia="仿宋_GB2312" w:cs="Times New Roman"/>
          <w:color w:val="000000"/>
          <w:sz w:val="32"/>
          <w:szCs w:val="32"/>
          <w:lang w:eastAsia="zh-CN"/>
        </w:rPr>
        <w:t>衔接农村宅基地管理</w:t>
      </w:r>
      <w:r>
        <w:rPr>
          <w:rFonts w:hint="default" w:ascii="Times New Roman" w:hAnsi="Times New Roman" w:eastAsia="仿宋_GB2312" w:cs="Times New Roman"/>
          <w:b w:val="0"/>
          <w:bCs w:val="0"/>
          <w:color w:val="000000" w:themeColor="text1"/>
          <w:kern w:val="0"/>
          <w:sz w:val="32"/>
          <w:szCs w:val="32"/>
          <w:highlight w:val="none"/>
          <w:shd w:val="clear" w:color="auto" w:fill="FFFFFF"/>
          <w:rtl w:val="0"/>
          <w:lang w:val="en-US" w:eastAsia="zh-CN" w:bidi="ar-SA"/>
          <w14:textFill>
            <w14:solidFill>
              <w14:schemeClr w14:val="tx1"/>
            </w14:solidFill>
          </w14:textFill>
        </w:rPr>
        <w:t>。健全农村经济体制，发展新型农村集体经济，切实减轻村级组织负担。完善村党组织领导乡村治理的体制机制，增强乡村治理效能。</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line="560" w:lineRule="exact"/>
        <w:ind w:firstLine="643" w:firstLineChars="200"/>
        <w:jc w:val="left"/>
        <w:textAlignment w:val="auto"/>
        <w:outlineLvl w:val="9"/>
        <w:rPr>
          <w:rFonts w:hint="default" w:ascii="Times New Roman" w:hAnsi="Times New Roman" w:eastAsia="仿宋_GB2312" w:cs="Times New Roman"/>
          <w:b w:val="0"/>
          <w:bCs w:val="0"/>
          <w:color w:val="000000" w:themeColor="text1"/>
          <w:kern w:val="0"/>
          <w:sz w:val="32"/>
          <w:szCs w:val="32"/>
          <w:highlight w:val="none"/>
          <w:shd w:val="clear" w:color="auto" w:fill="FFFFFF"/>
          <w:rtl w:val="0"/>
          <w:lang w:val="en-US" w:eastAsia="zh-CN" w:bidi="ar-SA"/>
          <w14:textFill>
            <w14:solidFill>
              <w14:schemeClr w14:val="tx1"/>
            </w14:solidFill>
          </w14:textFill>
        </w:rPr>
      </w:pPr>
      <w:r>
        <w:rPr>
          <w:rFonts w:hint="default" w:ascii="Times New Roman" w:hAnsi="Times New Roman" w:eastAsia="楷体_GB2312" w:cs="Times New Roman"/>
          <w:b/>
          <w:bCs/>
          <w:color w:val="auto"/>
          <w:kern w:val="2"/>
          <w:sz w:val="32"/>
          <w:szCs w:val="32"/>
          <w:highlight w:val="none"/>
          <w:rtl w:val="0"/>
          <w:lang w:val="en-US" w:eastAsia="zh-CN" w:bidi="ar-SA"/>
        </w:rPr>
        <w:t>促进农业产业化发展。</w:t>
      </w:r>
      <w:r>
        <w:rPr>
          <w:rFonts w:hint="default" w:ascii="Times New Roman" w:hAnsi="Times New Roman" w:eastAsia="仿宋_GB2312" w:cs="Times New Roman"/>
          <w:b w:val="0"/>
          <w:bCs w:val="0"/>
          <w:color w:val="000000" w:themeColor="text1"/>
          <w:kern w:val="0"/>
          <w:sz w:val="32"/>
          <w:szCs w:val="32"/>
          <w:highlight w:val="none"/>
          <w:shd w:val="clear" w:color="auto" w:fill="FFFFFF"/>
          <w:rtl w:val="0"/>
          <w:lang w:val="en-US" w:eastAsia="zh-CN" w:bidi="ar-SA"/>
          <w14:textFill>
            <w14:solidFill>
              <w14:schemeClr w14:val="tx1"/>
            </w14:solidFill>
          </w14:textFill>
        </w:rPr>
        <w:t>以土地流转为基本手段，以发展农业产业化龙头企业、</w:t>
      </w:r>
      <w:r>
        <w:rPr>
          <w:rFonts w:hint="default" w:ascii="Times New Roman" w:hAnsi="Times New Roman" w:eastAsia="仿宋_GB2312" w:cs="Times New Roman"/>
          <w:color w:val="000000"/>
          <w:sz w:val="32"/>
          <w:szCs w:val="32"/>
        </w:rPr>
        <w:t>农民专业合作组织、家庭农场</w:t>
      </w:r>
      <w:r>
        <w:rPr>
          <w:rFonts w:hint="default" w:ascii="Times New Roman" w:hAnsi="Times New Roman" w:eastAsia="仿宋_GB2312" w:cs="Times New Roman"/>
          <w:color w:val="000000"/>
          <w:sz w:val="32"/>
          <w:szCs w:val="32"/>
          <w:lang w:eastAsia="zh-CN"/>
        </w:rPr>
        <w:t>等新型经营主体</w:t>
      </w:r>
      <w:r>
        <w:rPr>
          <w:rFonts w:hint="default" w:ascii="Times New Roman" w:hAnsi="Times New Roman" w:eastAsia="仿宋_GB2312" w:cs="Times New Roman"/>
          <w:b w:val="0"/>
          <w:bCs w:val="0"/>
          <w:color w:val="000000" w:themeColor="text1"/>
          <w:kern w:val="0"/>
          <w:sz w:val="32"/>
          <w:szCs w:val="32"/>
          <w:highlight w:val="none"/>
          <w:shd w:val="clear" w:color="auto" w:fill="FFFFFF"/>
          <w:rtl w:val="0"/>
          <w:lang w:val="en-US" w:eastAsia="zh-CN" w:bidi="ar-SA"/>
          <w14:textFill>
            <w14:solidFill>
              <w14:schemeClr w14:val="tx1"/>
            </w14:solidFill>
          </w14:textFill>
        </w:rPr>
        <w:t>为抓手，充分发挥周谷堆批发市场的带动作用，推进农产品仓储保鲜、冷链运输、检验检测、信息服务等流通配套设施建设，加快改造传统农业，全面加大农业技术创新力度，推动农业产业上规模、上档次，形成特色成块、产业成带、集群发展的现代农业新格局。</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line="560" w:lineRule="exact"/>
        <w:ind w:firstLine="643" w:firstLineChars="200"/>
        <w:jc w:val="left"/>
        <w:textAlignment w:val="auto"/>
        <w:outlineLvl w:val="9"/>
        <w:rPr>
          <w:rFonts w:hint="default" w:ascii="Times New Roman" w:hAnsi="Times New Roman" w:eastAsia="仿宋_GB2312" w:cs="Times New Roman"/>
          <w:b w:val="0"/>
          <w:bCs w:val="0"/>
          <w:color w:val="000000" w:themeColor="text1"/>
          <w:kern w:val="0"/>
          <w:sz w:val="32"/>
          <w:szCs w:val="32"/>
          <w:highlight w:val="none"/>
          <w:shd w:val="clear" w:color="auto" w:fill="FFFFFF"/>
          <w:rtl w:val="0"/>
          <w:lang w:val="en-US" w:eastAsia="zh-CN" w:bidi="ar-SA"/>
          <w14:textFill>
            <w14:solidFill>
              <w14:schemeClr w14:val="tx1"/>
            </w14:solidFill>
          </w14:textFill>
        </w:rPr>
      </w:pPr>
      <w:r>
        <w:rPr>
          <w:rFonts w:hint="default" w:ascii="Times New Roman" w:hAnsi="Times New Roman" w:eastAsia="楷体_GB2312" w:cs="Times New Roman"/>
          <w:b/>
          <w:bCs/>
          <w:color w:val="auto"/>
          <w:kern w:val="2"/>
          <w:sz w:val="32"/>
          <w:szCs w:val="32"/>
          <w:highlight w:val="none"/>
          <w:rtl w:val="0"/>
          <w:lang w:val="en-US" w:eastAsia="zh-CN" w:bidi="ar-SA"/>
        </w:rPr>
        <w:t>实施乡村建设行动。</w:t>
      </w:r>
      <w:r>
        <w:rPr>
          <w:rFonts w:hint="default" w:ascii="Times New Roman" w:hAnsi="Times New Roman" w:eastAsia="仿宋_GB2312" w:cs="Times New Roman"/>
          <w:b w:val="0"/>
          <w:bCs w:val="0"/>
          <w:color w:val="000000" w:themeColor="text1"/>
          <w:kern w:val="0"/>
          <w:sz w:val="32"/>
          <w:szCs w:val="32"/>
          <w:highlight w:val="none"/>
          <w:shd w:val="clear" w:color="auto" w:fill="FFFFFF"/>
          <w:rtl w:val="0"/>
          <w:lang w:val="en-US" w:eastAsia="zh-CN" w:bidi="ar-SA"/>
          <w14:textFill>
            <w14:solidFill>
              <w14:schemeClr w14:val="tx1"/>
            </w14:solidFill>
          </w14:textFill>
        </w:rPr>
        <w:t>深化农村“双基”建设，开展数字乡村行动，打造美丽集镇、美丽村庄。组织实施农村人居环境整治提升行动，以庭院绿化、道路绿化、</w:t>
      </w:r>
      <w:r>
        <w:rPr>
          <w:rFonts w:hint="default" w:ascii="Times New Roman" w:hAnsi="Times New Roman" w:eastAsia="仿宋_GB2312" w:cs="Times New Roman"/>
          <w:color w:val="000000"/>
          <w:sz w:val="32"/>
          <w:szCs w:val="32"/>
        </w:rPr>
        <w:t>村庄绿化</w:t>
      </w:r>
      <w:r>
        <w:rPr>
          <w:rFonts w:hint="default" w:ascii="Times New Roman" w:hAnsi="Times New Roman" w:eastAsia="仿宋_GB2312" w:cs="Times New Roman"/>
          <w:b w:val="0"/>
          <w:bCs w:val="0"/>
          <w:color w:val="000000" w:themeColor="text1"/>
          <w:kern w:val="0"/>
          <w:sz w:val="32"/>
          <w:szCs w:val="32"/>
          <w:highlight w:val="none"/>
          <w:shd w:val="clear" w:color="auto" w:fill="FFFFFF"/>
          <w:rtl w:val="0"/>
          <w:lang w:val="en-US" w:eastAsia="zh-CN" w:bidi="ar-SA"/>
          <w14:textFill>
            <w14:solidFill>
              <w14:schemeClr w14:val="tx1"/>
            </w14:solidFill>
          </w14:textFill>
        </w:rPr>
        <w:t>为重点，进一步提高村庄绿化水平，建设村庄绿化示范点，改善农村环境面貌。加大农业面源污染整治力度，减少化肥、农药使用量，综合治理黑臭水体。巩固畜禽禁养成果，减少污染排放。</w:t>
      </w:r>
    </w:p>
    <w:p>
      <w:pPr>
        <w:pStyle w:val="18"/>
        <w:keepNext w:val="0"/>
        <w:keepLines w:val="0"/>
        <w:pageBreakBefore w:val="0"/>
        <w:widowControl w:val="0"/>
        <w:kinsoku/>
        <w:wordWrap w:val="0"/>
        <w:overflowPunct/>
        <w:topLinePunct/>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b w:val="0"/>
          <w:bCs w:val="0"/>
          <w:color w:val="000000" w:themeColor="text1"/>
          <w:kern w:val="0"/>
          <w:sz w:val="32"/>
          <w:szCs w:val="32"/>
          <w:highlight w:val="red"/>
          <w:shd w:val="clear" w:color="auto" w:fill="FFFFFF"/>
          <w:rtl w:val="0"/>
          <w:lang w:val="en-US" w:eastAsia="zh-CN" w:bidi="ar-SA"/>
          <w14:textFill>
            <w14:solidFill>
              <w14:schemeClr w14:val="tx1"/>
            </w14:solidFill>
          </w14:textFill>
        </w:rPr>
      </w:pPr>
      <w:r>
        <w:rPr>
          <w:rFonts w:hint="default" w:ascii="Times New Roman" w:hAnsi="Times New Roman" w:eastAsia="楷体_GB2312" w:cs="Times New Roman"/>
          <w:b/>
          <w:bCs/>
          <w:color w:val="auto"/>
          <w:kern w:val="2"/>
          <w:sz w:val="32"/>
          <w:szCs w:val="32"/>
          <w:highlight w:val="none"/>
          <w:rtl w:val="0"/>
          <w:lang w:val="en-US" w:eastAsia="zh-CN" w:bidi="ar-SA"/>
        </w:rPr>
        <w:t>增加农民收入。</w:t>
      </w:r>
      <w:r>
        <w:rPr>
          <w:rFonts w:hint="default" w:ascii="Times New Roman" w:hAnsi="Times New Roman" w:eastAsia="仿宋_GB2312" w:cs="Times New Roman"/>
          <w:color w:val="000000"/>
          <w:sz w:val="32"/>
          <w:szCs w:val="32"/>
        </w:rPr>
        <w:t>发挥城郊比较优势，加快发展农村二三产业，多渠道解决农民就业，增加农民收入</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b w:val="0"/>
          <w:bCs w:val="0"/>
          <w:color w:val="000000" w:themeColor="text1"/>
          <w:kern w:val="0"/>
          <w:sz w:val="32"/>
          <w:szCs w:val="32"/>
          <w:highlight w:val="none"/>
          <w:shd w:val="clear" w:color="auto" w:fill="FFFFFF"/>
          <w:rtl w:val="0"/>
          <w:lang w:val="en-US" w:eastAsia="zh-CN" w:bidi="ar-SA"/>
          <w14:textFill>
            <w14:solidFill>
              <w14:schemeClr w14:val="tx1"/>
            </w14:solidFill>
          </w14:textFill>
        </w:rPr>
        <w:t>加快产业延伸，积极发展服务业。加强农产品市场体系建设，完善农产品批发市场的设施和功能，</w:t>
      </w:r>
      <w:r>
        <w:rPr>
          <w:rFonts w:hint="default" w:ascii="Times New Roman" w:hAnsi="Times New Roman" w:eastAsia="仿宋_GB2312" w:cs="Times New Roman"/>
          <w:color w:val="000000"/>
          <w:sz w:val="32"/>
          <w:szCs w:val="32"/>
        </w:rPr>
        <w:t>发展农产品连锁经营、物流配送和电子商务等新型流通业态，发展一批大中型农产品流通龙头企业。</w:t>
      </w:r>
      <w:r>
        <w:rPr>
          <w:rFonts w:hint="default" w:ascii="Times New Roman" w:hAnsi="Times New Roman" w:eastAsia="仿宋_GB2312" w:cs="Times New Roman"/>
          <w:b w:val="0"/>
          <w:bCs w:val="0"/>
          <w:color w:val="000000" w:themeColor="text1"/>
          <w:kern w:val="0"/>
          <w:sz w:val="32"/>
          <w:szCs w:val="32"/>
          <w:highlight w:val="none"/>
          <w:shd w:val="clear" w:color="auto" w:fill="FFFFFF"/>
          <w:rtl w:val="0"/>
          <w:lang w:val="en-US" w:eastAsia="zh-CN" w:bidi="ar-SA"/>
          <w14:textFill>
            <w14:solidFill>
              <w14:schemeClr w14:val="tx1"/>
            </w14:solidFill>
          </w14:textFill>
        </w:rPr>
        <w:t>大力培育农民经纪人、农产品运销大户等各类流通中介组织。依托田园综合体项目建设契机，拓展农业功能，加快发展农村旅游业，</w:t>
      </w:r>
      <w:r>
        <w:rPr>
          <w:rFonts w:hint="default" w:ascii="Times New Roman" w:hAnsi="Times New Roman" w:eastAsia="仿宋_GB2312" w:cs="Times New Roman"/>
          <w:color w:val="000000"/>
          <w:sz w:val="32"/>
          <w:szCs w:val="32"/>
        </w:rPr>
        <w:t>打造一批高品位、高档次的农家乐项目。</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313" w:beforeLines="100" w:after="50" w:afterLines="50" w:line="560" w:lineRule="exact"/>
        <w:ind w:left="0" w:leftChars="0" w:firstLine="640" w:firstLineChars="200"/>
        <w:jc w:val="left"/>
        <w:textAlignment w:val="auto"/>
        <w:rPr>
          <w:rFonts w:hint="default" w:ascii="Times New Roman" w:hAnsi="Times New Roman" w:eastAsia="黑体" w:cs="Times New Roman"/>
          <w:b w:val="0"/>
          <w:sz w:val="32"/>
          <w:rtl w:val="0"/>
          <w:lang w:val="en-US" w:eastAsia="zh-CN"/>
        </w:rPr>
      </w:pPr>
      <w:r>
        <w:rPr>
          <w:rFonts w:hint="default" w:ascii="Times New Roman" w:hAnsi="Times New Roman" w:eastAsia="黑体" w:cs="Times New Roman"/>
          <w:b w:val="0"/>
          <w:sz w:val="32"/>
          <w:rtl w:val="0"/>
          <w:lang w:val="en-US" w:eastAsia="zh-CN"/>
        </w:rPr>
        <w:t xml:space="preserve">  </w:t>
      </w:r>
      <w:bookmarkStart w:id="123" w:name="_Toc8818"/>
      <w:bookmarkStart w:id="124" w:name="_Toc30669"/>
      <w:r>
        <w:rPr>
          <w:rFonts w:hint="default" w:ascii="Times New Roman" w:hAnsi="Times New Roman" w:eastAsia="黑体" w:cs="Times New Roman"/>
          <w:b w:val="0"/>
          <w:sz w:val="32"/>
          <w:rtl w:val="0"/>
          <w:lang w:val="en-US" w:eastAsia="zh-CN"/>
        </w:rPr>
        <w:t>以民生工程建设全面增进人民福祉  打造“美好生活共同体”</w:t>
      </w:r>
      <w:bookmarkEnd w:id="123"/>
      <w:bookmarkEnd w:id="124"/>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坚持把实现好、维护好、发展好最广大人民根本利益作为发展的出发点和落脚点，</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实施民生优先战略，</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健全基本公共服务体系，</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打造宜居宜业、生活气息浓郁的</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美好生活共同体</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不断增强人民群众获得感、幸福感、安全感。</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bookmarkStart w:id="125" w:name="_Toc29289"/>
      <w:bookmarkStart w:id="126" w:name="_Toc16749"/>
      <w:r>
        <w:rPr>
          <w:rFonts w:hint="default" w:ascii="Times New Roman" w:hAnsi="Times New Roman" w:eastAsia="宋体" w:cs="Times New Roman"/>
          <w:sz w:val="32"/>
          <w:rtl w:val="0"/>
          <w:lang w:val="en-US" w:eastAsia="zh-CN"/>
        </w:rPr>
        <w:t xml:space="preserve"> </w:t>
      </w:r>
      <w:bookmarkStart w:id="127" w:name="_Toc9055"/>
      <w:bookmarkStart w:id="128" w:name="_Toc8994"/>
      <w:r>
        <w:rPr>
          <w:rFonts w:hint="default" w:ascii="Times New Roman" w:hAnsi="Times New Roman" w:eastAsia="宋体" w:cs="Times New Roman"/>
          <w:sz w:val="32"/>
          <w:rtl w:val="0"/>
          <w:lang w:val="en-US" w:eastAsia="zh-CN"/>
        </w:rPr>
        <w:t>优先发展教育体育事业</w:t>
      </w:r>
      <w:bookmarkEnd w:id="127"/>
      <w:bookmarkEnd w:id="128"/>
    </w:p>
    <w:bookmarkEnd w:id="125"/>
    <w:bookmarkEnd w:id="126"/>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以安徽省实施教育现代化为契机，以促进公平和提高质量为时代主题，奋力实现教育强区目标，打造具有区域特色的</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活力教育新兴区</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sz w:val="32"/>
          <w:szCs w:val="32"/>
        </w:rPr>
        <w:t>。到2025年，教育质量和教育水平位于安徽省前列。</w:t>
      </w:r>
    </w:p>
    <w:p>
      <w:pPr>
        <w:spacing w:line="560" w:lineRule="exact"/>
        <w:ind w:firstLine="643" w:firstLineChars="200"/>
        <w:rPr>
          <w:rFonts w:hint="default" w:ascii="Times New Roman" w:hAnsi="Times New Roman" w:eastAsia="仿宋_GB2312" w:cs="Times New Roman"/>
          <w:color w:val="auto"/>
          <w:kern w:val="0"/>
          <w:sz w:val="32"/>
          <w:szCs w:val="32"/>
          <w:shd w:val="clear" w:color="auto" w:fill="FFFFFF"/>
          <w:rtl w:val="0"/>
          <w:lang w:val="en-US" w:eastAsia="zh-CN" w:bidi="ar-SA"/>
        </w:rPr>
      </w:pPr>
      <w:r>
        <w:rPr>
          <w:rFonts w:hint="default" w:ascii="Times New Roman" w:hAnsi="Times New Roman" w:eastAsia="楷体_GB2312" w:cs="Times New Roman"/>
          <w:b/>
          <w:bCs/>
          <w:color w:val="auto"/>
          <w:kern w:val="2"/>
          <w:sz w:val="32"/>
          <w:szCs w:val="32"/>
          <w:highlight w:val="none"/>
          <w:rtl w:val="0"/>
          <w:lang w:val="en-US" w:eastAsia="zh-CN" w:bidi="ar-SA"/>
        </w:rPr>
        <w:t>全面落实立德树人根本任务。</w:t>
      </w:r>
      <w:r>
        <w:rPr>
          <w:rFonts w:hint="default" w:ascii="Times New Roman" w:hAnsi="Times New Roman" w:eastAsia="仿宋_GB2312" w:cs="Times New Roman"/>
          <w:color w:val="auto"/>
          <w:kern w:val="0"/>
          <w:sz w:val="32"/>
          <w:szCs w:val="32"/>
          <w:shd w:val="clear" w:color="auto" w:fill="FFFFFF"/>
          <w:rtl w:val="0"/>
          <w:lang w:val="en-US" w:eastAsia="zh-CN" w:bidi="ar-SA"/>
        </w:rPr>
        <w:t>全面推动习近平新时代中</w:t>
      </w:r>
      <w:r>
        <w:rPr>
          <w:rFonts w:hint="default" w:ascii="Times New Roman" w:hAnsi="Times New Roman" w:eastAsia="仿宋_GB2312" w:cs="Times New Roman"/>
          <w:color w:val="auto"/>
          <w:kern w:val="0"/>
          <w:sz w:val="32"/>
          <w:szCs w:val="32"/>
          <w:shd w:val="clear" w:color="auto" w:fill="FFFFFF"/>
          <w:rtl w:val="0"/>
          <w:lang w:val="en-US" w:eastAsia="zh-CN" w:bidi="ar-SA"/>
        </w:rPr>
        <w:br w:type="textWrapping"/>
      </w:r>
      <w:r>
        <w:rPr>
          <w:rFonts w:hint="default" w:ascii="Times New Roman" w:hAnsi="Times New Roman" w:eastAsia="仿宋_GB2312" w:cs="Times New Roman"/>
          <w:color w:val="auto"/>
          <w:kern w:val="0"/>
          <w:sz w:val="32"/>
          <w:szCs w:val="32"/>
          <w:shd w:val="clear" w:color="auto" w:fill="FFFFFF"/>
          <w:rtl w:val="0"/>
          <w:lang w:val="en-US" w:eastAsia="zh-CN" w:bidi="ar-SA"/>
        </w:rPr>
        <w:t>国特色社会主义思想进教材进课堂进头脑。落实德育铸魂、智育提质、体教融合、美育熏陶、劳动促进行动，健全学校家庭社会协同育人机制，重视青少年身体素质和心理健康教育，加强青少年科技教育，增强学生文明素养、社会责任意识、实践本领，培养德智体美劳全面发展的社会主义建设者和接班人。积极开展喜闻乐见、入脑入心的德育活动，提升学校思想政治工作质量，加强思政课教师队伍建设。</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促进学前教育安全优质发展。</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以</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公办幼教集团为龙头</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纵深推进集团办园，</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探索建立学前教育发展共同体，完善学前教育资源布局</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形成多层次、多元化的办园格局。</w:t>
      </w:r>
      <w:r>
        <w:rPr>
          <w:rFonts w:hint="default" w:ascii="Times New Roman" w:hAnsi="Times New Roman" w:eastAsia="仿宋_GB2312" w:cs="Times New Roman"/>
          <w:sz w:val="32"/>
          <w:szCs w:val="32"/>
        </w:rPr>
        <w:t>巩固学前教育公办率和普惠率指标，持续</w:t>
      </w:r>
      <w:r>
        <w:rPr>
          <w:rFonts w:hint="default" w:ascii="Times New Roman" w:hAnsi="Times New Roman" w:eastAsia="仿宋_GB2312" w:cs="Times New Roman"/>
          <w:sz w:val="32"/>
          <w:szCs w:val="32"/>
          <w:lang w:val="en-US" w:eastAsia="zh-CN"/>
        </w:rPr>
        <w:t>提高</w:t>
      </w:r>
      <w:r>
        <w:rPr>
          <w:rFonts w:hint="default" w:ascii="Times New Roman" w:hAnsi="Times New Roman" w:eastAsia="仿宋_GB2312" w:cs="Times New Roman"/>
          <w:sz w:val="32"/>
          <w:szCs w:val="32"/>
        </w:rPr>
        <w:t>学前教育普及普惠水平，保教质量进一步提升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到2025年，</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学前教育毛入园率达到100%，市一类园占比达到40%</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sz w:val="32"/>
          <w:szCs w:val="32"/>
        </w:rPr>
        <w:t>专任教师、保育员和保健医生培训实现全覆盖</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学前教育整体由普及普惠发展迈向安全优质发展阶段。</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推动义务教育优质均衡发展。</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积极创建全国义务教育优质均衡发展区，严格学校建设标准，合理扩大学校学位供给，建立完善的义务教育优质均衡发展机制。对接长三角区域名校集团，</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深化义务教育集团化办学改革，</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把三十八中、行知学校、和平小学、少儿艺术学校等教育集团打造成</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在全市具有影响力的瑶海特色教育</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品牌</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进一步扩大区域优质资源覆盖面</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。推进非集团校集群发展，扩大新优质学校数量。</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到2025年，</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九年义务教育巩固率达到100%，义务教育集团化覆盖率达到75%。</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推进高中阶段教育特色发展。</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实施全面普及高中阶段教育攻坚计划</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整体提升高中学校办学效能。</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抓住市第一中学新校区落户东部新中心机遇，整体提升区域内高中学校办学效能。</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加强特色普通高中建设，探索差异定位和分类指导，促进高中教育从分层向分类转型，</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推进普通高中学校多样化发展。</w:t>
      </w:r>
      <w:r>
        <w:rPr>
          <w:rFonts w:hint="default" w:ascii="Times New Roman" w:hAnsi="Times New Roman" w:eastAsia="仿宋_GB2312" w:cs="Times New Roman"/>
          <w:sz w:val="32"/>
          <w:szCs w:val="32"/>
        </w:rPr>
        <w:t>高中阶段毛入学率达到100%。</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构建完善的教育体系。</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坚持“五育并举”，落实立德树人根本任务，实施德育、智育、体育、美育、劳育“五个百分百素质教育”工程，着力构建德智体美劳全面发展的育人体系。积极引入优质民办教育资源，加强民办教育规范管理。优化特殊教育学校办学条件，加强医教结合，完善残疾儿童随班就读制度，健全特殊教育体系。推进社区教育、远程教育和非学历教育等融合发展，大力推广和普及国家通用语言文字，加大老年教育投入力度，</w:t>
      </w:r>
      <w:r>
        <w:rPr>
          <w:rFonts w:hint="default" w:ascii="Times New Roman" w:hAnsi="Times New Roman" w:eastAsia="仿宋_GB2312" w:cs="Times New Roman"/>
          <w:sz w:val="32"/>
          <w:szCs w:val="32"/>
          <w:lang w:val="en-US" w:eastAsia="zh-CN"/>
        </w:rPr>
        <w:t>构建服务全面终身学习的教育体系</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进一步加强教育督导与评估工作，保障教育事业健康发展。</w:t>
      </w:r>
    </w:p>
    <w:tbl>
      <w:tblPr>
        <w:tblStyle w:val="20"/>
        <w:tblpPr w:leftFromText="180" w:rightFromText="180" w:vertAnchor="text" w:horzAnchor="page" w:tblpX="1809" w:tblpY="302"/>
        <w:tblOverlap w:val="never"/>
        <w:tblW w:w="8301" w:type="dxa"/>
        <w:tblInd w:w="0" w:type="dxa"/>
        <w:shd w:val="clear" w:color="auto" w:fill="auto"/>
        <w:tblLayout w:type="fixed"/>
        <w:tblCellMar>
          <w:top w:w="0" w:type="dxa"/>
          <w:left w:w="0" w:type="dxa"/>
          <w:bottom w:w="0" w:type="dxa"/>
          <w:right w:w="0" w:type="dxa"/>
        </w:tblCellMar>
      </w:tblPr>
      <w:tblGrid>
        <w:gridCol w:w="8301"/>
      </w:tblGrid>
      <w:tr>
        <w:tblPrEx>
          <w:shd w:val="clear" w:color="auto" w:fill="auto"/>
          <w:tblCellMar>
            <w:top w:w="0" w:type="dxa"/>
            <w:left w:w="0" w:type="dxa"/>
            <w:bottom w:w="0" w:type="dxa"/>
            <w:right w:w="0" w:type="dxa"/>
          </w:tblCellMar>
        </w:tblPrEx>
        <w:trPr>
          <w:trHeight w:val="624"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129" w:name="_Toc22024"/>
            <w:r>
              <w:rPr>
                <w:rFonts w:hint="default" w:ascii="Times New Roman" w:hAnsi="Times New Roman" w:eastAsia="黑体" w:cs="Times New Roman"/>
                <w:b w:val="0"/>
                <w:bCs w:val="0"/>
                <w:i w:val="0"/>
                <w:color w:val="000000"/>
                <w:sz w:val="30"/>
                <w:szCs w:val="30"/>
                <w:u w:val="none"/>
                <w:lang w:eastAsia="zh-CN"/>
              </w:rPr>
              <w:t>“</w:t>
            </w:r>
            <w:r>
              <w:rPr>
                <w:rFonts w:hint="default" w:ascii="Times New Roman" w:hAnsi="Times New Roman" w:eastAsia="黑体" w:cs="Times New Roman"/>
                <w:b w:val="0"/>
                <w:bCs w:val="0"/>
                <w:i w:val="0"/>
                <w:color w:val="000000"/>
                <w:sz w:val="30"/>
                <w:szCs w:val="30"/>
                <w:u w:val="none"/>
                <w:lang w:val="en-US" w:eastAsia="zh-CN"/>
              </w:rPr>
              <w:t>五个</w:t>
            </w:r>
            <w:r>
              <w:rPr>
                <w:rFonts w:hint="default" w:ascii="Times New Roman" w:hAnsi="Times New Roman" w:eastAsia="黑体" w:cs="Times New Roman"/>
                <w:b w:val="0"/>
                <w:bCs w:val="0"/>
                <w:i w:val="0"/>
                <w:color w:val="000000"/>
                <w:sz w:val="30"/>
                <w:szCs w:val="30"/>
                <w:u w:val="none"/>
              </w:rPr>
              <w:t>百分百</w:t>
            </w:r>
            <w:r>
              <w:rPr>
                <w:rFonts w:hint="default" w:ascii="Times New Roman" w:hAnsi="Times New Roman" w:eastAsia="黑体" w:cs="Times New Roman"/>
                <w:b w:val="0"/>
                <w:bCs w:val="0"/>
                <w:i w:val="0"/>
                <w:color w:val="000000"/>
                <w:sz w:val="30"/>
                <w:szCs w:val="30"/>
                <w:u w:val="none"/>
                <w:lang w:eastAsia="zh-CN"/>
              </w:rPr>
              <w:t>”</w:t>
            </w:r>
            <w:r>
              <w:rPr>
                <w:rFonts w:hint="default" w:ascii="Times New Roman" w:hAnsi="Times New Roman" w:eastAsia="黑体" w:cs="Times New Roman"/>
                <w:b w:val="0"/>
                <w:bCs w:val="0"/>
                <w:i w:val="0"/>
                <w:color w:val="000000"/>
                <w:sz w:val="30"/>
                <w:szCs w:val="30"/>
                <w:u w:val="none"/>
              </w:rPr>
              <w:t>素质教育</w:t>
            </w:r>
            <w:r>
              <w:rPr>
                <w:rFonts w:hint="default" w:ascii="Times New Roman" w:hAnsi="Times New Roman" w:eastAsia="黑体" w:cs="Times New Roman"/>
                <w:b w:val="0"/>
                <w:bCs w:val="0"/>
                <w:i w:val="0"/>
                <w:color w:val="000000"/>
                <w:sz w:val="30"/>
                <w:szCs w:val="30"/>
                <w:u w:val="none"/>
                <w:lang w:val="en-US" w:eastAsia="zh-CN"/>
              </w:rPr>
              <w:t>工程</w:t>
            </w:r>
            <w:bookmarkEnd w:id="129"/>
          </w:p>
        </w:tc>
      </w:tr>
      <w:tr>
        <w:tblPrEx>
          <w:shd w:val="clear" w:color="auto" w:fill="auto"/>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line="440" w:lineRule="exact"/>
              <w:ind w:firstLine="562" w:firstLineChars="200"/>
              <w:textAlignment w:val="auto"/>
              <w:rPr>
                <w:rFonts w:hint="default" w:ascii="Times New Roman" w:hAnsi="Times New Roman" w:eastAsia="仿宋_GB2312" w:cs="Times New Roman"/>
                <w:b w:val="0"/>
                <w:bCs w:val="0"/>
                <w:sz w:val="28"/>
                <w:szCs w:val="36"/>
                <w:highlight w:val="none"/>
                <w:vertAlign w:val="baseline"/>
                <w:lang w:val="en-US" w:eastAsia="zh-CN"/>
              </w:rPr>
            </w:pPr>
            <w:r>
              <w:rPr>
                <w:rFonts w:hint="default" w:ascii="Times New Roman" w:hAnsi="Times New Roman" w:eastAsia="楷体_GB2312" w:cs="Times New Roman"/>
                <w:b/>
                <w:bCs/>
                <w:sz w:val="28"/>
                <w:szCs w:val="36"/>
                <w:highlight w:val="none"/>
                <w:vertAlign w:val="baseline"/>
                <w:lang w:val="en-US" w:eastAsia="zh-CN"/>
              </w:rPr>
              <w:t>德育工作百分百覆盖。</w:t>
            </w:r>
            <w:r>
              <w:rPr>
                <w:rFonts w:hint="default" w:ascii="Times New Roman" w:hAnsi="Times New Roman" w:eastAsia="仿宋_GB2312" w:cs="Times New Roman"/>
                <w:b w:val="0"/>
                <w:bCs w:val="0"/>
                <w:sz w:val="28"/>
                <w:szCs w:val="36"/>
                <w:highlight w:val="none"/>
                <w:vertAlign w:val="baseline"/>
                <w:lang w:val="en-US" w:eastAsia="zh-CN"/>
              </w:rPr>
              <w:t>加强思政课程和教学改革创新，充分整合校内外各类活动资源，把思政小课堂同社会大课堂有机结合。</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b w:val="0"/>
                <w:bCs w:val="0"/>
                <w:sz w:val="28"/>
                <w:szCs w:val="36"/>
                <w:highlight w:val="none"/>
                <w:vertAlign w:val="baseline"/>
                <w:lang w:val="en-US" w:eastAsia="zh-CN"/>
              </w:rPr>
            </w:pPr>
            <w:r>
              <w:rPr>
                <w:rFonts w:hint="default" w:ascii="Times New Roman" w:hAnsi="Times New Roman" w:eastAsia="楷体_GB2312" w:cs="Times New Roman"/>
                <w:b/>
                <w:bCs/>
                <w:sz w:val="28"/>
                <w:szCs w:val="36"/>
                <w:highlight w:val="none"/>
                <w:vertAlign w:val="baseline"/>
                <w:lang w:val="en-US" w:eastAsia="zh-CN"/>
              </w:rPr>
              <w:t>智育建设百分百开展。</w:t>
            </w:r>
            <w:r>
              <w:rPr>
                <w:rFonts w:hint="default" w:ascii="Times New Roman" w:hAnsi="Times New Roman" w:eastAsia="仿宋_GB2312" w:cs="Times New Roman"/>
                <w:b w:val="0"/>
                <w:bCs w:val="0"/>
                <w:sz w:val="28"/>
                <w:szCs w:val="36"/>
                <w:highlight w:val="none"/>
                <w:vertAlign w:val="baseline"/>
                <w:lang w:val="en-US" w:eastAsia="zh-CN"/>
              </w:rPr>
              <w:t>加强学校课程建设，大力开发校本课程，构建符合学生特长发展的课程体系；依托科技创新赛事，提升学生科技创新能力，促进学生智育潜能开发。</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b w:val="0"/>
                <w:bCs w:val="0"/>
                <w:sz w:val="28"/>
                <w:szCs w:val="36"/>
                <w:highlight w:val="none"/>
                <w:vertAlign w:val="baseline"/>
                <w:lang w:val="en-US" w:eastAsia="zh-CN"/>
              </w:rPr>
            </w:pPr>
            <w:r>
              <w:rPr>
                <w:rFonts w:hint="default" w:ascii="Times New Roman" w:hAnsi="Times New Roman" w:eastAsia="楷体_GB2312" w:cs="Times New Roman"/>
                <w:b/>
                <w:bCs/>
                <w:sz w:val="28"/>
                <w:szCs w:val="36"/>
                <w:highlight w:val="none"/>
                <w:vertAlign w:val="baseline"/>
                <w:lang w:val="en-US" w:eastAsia="zh-CN"/>
              </w:rPr>
              <w:t>体育活动百分百参与。</w:t>
            </w:r>
            <w:r>
              <w:rPr>
                <w:rFonts w:hint="default" w:ascii="Times New Roman" w:hAnsi="Times New Roman" w:eastAsia="仿宋_GB2312" w:cs="Times New Roman"/>
                <w:b w:val="0"/>
                <w:bCs w:val="0"/>
                <w:sz w:val="28"/>
                <w:szCs w:val="36"/>
                <w:highlight w:val="none"/>
                <w:vertAlign w:val="baseline"/>
                <w:lang w:val="en-US" w:eastAsia="zh-CN"/>
              </w:rPr>
              <w:t>广泛开展青少年普及性体育运动，发挥裕溪路女子足球队的引领作用，大力发展瑶海校园足球运动。</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b w:val="0"/>
                <w:bCs w:val="0"/>
                <w:sz w:val="28"/>
                <w:szCs w:val="36"/>
                <w:highlight w:val="none"/>
                <w:vertAlign w:val="baseline"/>
                <w:lang w:val="en-US" w:eastAsia="zh-CN"/>
              </w:rPr>
            </w:pPr>
            <w:r>
              <w:rPr>
                <w:rFonts w:hint="default" w:ascii="Times New Roman" w:hAnsi="Times New Roman" w:eastAsia="楷体_GB2312" w:cs="Times New Roman"/>
                <w:b/>
                <w:bCs/>
                <w:sz w:val="28"/>
                <w:szCs w:val="36"/>
                <w:highlight w:val="none"/>
                <w:vertAlign w:val="baseline"/>
                <w:lang w:val="en-US" w:eastAsia="zh-CN"/>
              </w:rPr>
              <w:t>劳动教育百分百落地。</w:t>
            </w:r>
            <w:r>
              <w:rPr>
                <w:rFonts w:hint="default" w:ascii="Times New Roman" w:hAnsi="Times New Roman" w:eastAsia="仿宋_GB2312" w:cs="Times New Roman"/>
                <w:b w:val="0"/>
                <w:bCs w:val="0"/>
                <w:sz w:val="28"/>
                <w:szCs w:val="36"/>
                <w:highlight w:val="none"/>
                <w:vertAlign w:val="baseline"/>
                <w:lang w:val="en-US" w:eastAsia="zh-CN"/>
              </w:rPr>
              <w:t>以全国中小学劳动教育实验区为平台，深入开展劳动教育。</w:t>
            </w:r>
          </w:p>
          <w:p>
            <w:pPr>
              <w:pStyle w:val="13"/>
              <w:keepNext w:val="0"/>
              <w:keepLines w:val="0"/>
              <w:pageBreakBefore w:val="0"/>
              <w:widowControl w:val="0"/>
              <w:kinsoku/>
              <w:wordWrap/>
              <w:overflowPunct/>
              <w:topLinePunct w:val="0"/>
              <w:autoSpaceDE/>
              <w:autoSpaceDN/>
              <w:bidi w:val="0"/>
              <w:adjustRightInd/>
              <w:snapToGrid/>
              <w:spacing w:after="126" w:afterLines="40" w:line="440" w:lineRule="exact"/>
              <w:ind w:firstLine="562" w:firstLineChars="200"/>
              <w:textAlignment w:val="auto"/>
              <w:rPr>
                <w:rFonts w:hint="default" w:ascii="Times New Roman" w:hAnsi="Times New Roman" w:eastAsia="宋体" w:cs="Times New Roman"/>
                <w:lang w:eastAsia="zh-CN"/>
              </w:rPr>
            </w:pPr>
            <w:r>
              <w:rPr>
                <w:rFonts w:hint="default" w:ascii="Times New Roman" w:hAnsi="Times New Roman" w:eastAsia="楷体_GB2312" w:cs="Times New Roman"/>
                <w:b/>
                <w:bCs/>
                <w:kern w:val="2"/>
                <w:sz w:val="28"/>
                <w:szCs w:val="36"/>
                <w:highlight w:val="none"/>
                <w:vertAlign w:val="baseline"/>
                <w:lang w:val="en-US" w:eastAsia="zh-CN" w:bidi="ar-SA"/>
              </w:rPr>
              <w:t>学校美育百分百展示。</w:t>
            </w:r>
            <w:r>
              <w:rPr>
                <w:rFonts w:hint="default" w:ascii="Times New Roman" w:hAnsi="Times New Roman" w:eastAsia="仿宋_GB2312" w:cs="Times New Roman"/>
                <w:b w:val="0"/>
                <w:bCs w:val="0"/>
                <w:sz w:val="28"/>
                <w:szCs w:val="36"/>
                <w:highlight w:val="none"/>
                <w:vertAlign w:val="baseline"/>
                <w:lang w:val="en-US" w:eastAsia="zh-CN"/>
              </w:rPr>
              <w:t>开足开齐音乐、美术、书法等课程，设立艺术特色课程。</w:t>
            </w:r>
          </w:p>
        </w:tc>
      </w:tr>
    </w:tbl>
    <w:p>
      <w:pPr>
        <w:pStyle w:val="25"/>
        <w:keepNext w:val="0"/>
        <w:keepLines w:val="0"/>
        <w:pageBreakBefore w:val="0"/>
        <w:widowControl w:val="0"/>
        <w:numPr>
          <w:ilvl w:val="0"/>
          <w:numId w:val="0"/>
        </w:numPr>
        <w:kinsoku/>
        <w:wordWrap/>
        <w:overflowPunct/>
        <w:topLinePunct w:val="0"/>
        <w:autoSpaceDE/>
        <w:autoSpaceDN/>
        <w:bidi w:val="0"/>
        <w:adjustRightInd/>
        <w:snapToGrid/>
        <w:spacing w:before="157" w:beforeLines="50" w:line="560" w:lineRule="exact"/>
        <w:ind w:firstLine="643" w:firstLineChars="200"/>
        <w:textAlignment w:val="auto"/>
        <w:outlineLvl w:val="9"/>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培育优秀教师队伍。</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以立德树人为目标，</w:t>
      </w:r>
      <w:r>
        <w:rPr>
          <w:rFonts w:hint="default" w:ascii="Times New Roman" w:hAnsi="Times New Roman" w:eastAsia="仿宋_GB2312" w:cs="Times New Roman"/>
          <w:sz w:val="32"/>
          <w:szCs w:val="32"/>
        </w:rPr>
        <w:t>全面深化校长和教师队伍管理改革，</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强化师风师德建设长效机制</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sz w:val="32"/>
          <w:szCs w:val="32"/>
        </w:rPr>
        <w:t>激发教师队伍活力</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建设师德为先、规模适当、结构合理、素质优良、专业过硬、开拓创新的师资教育队伍</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。以</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三名工程</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为抓手，打造名校长、名师、名班主任队伍。</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实施“学科领军计划”工程，拓宽优秀教育人才培养渠道。</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全面推行中小学教师</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区管校聘</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管理改革，加大教师引进和培养力度。</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到2025年，</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新建中小学幼儿园名师工作室50个，培养市、区级骨干教师</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600</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人，市区级学科带头人200人，评选</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瑶海名师</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300人</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义务教育专任教师中本科及以上学历比例达到100%。</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促进体育事业发展。</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强化政府公共体育服务职责，加强全民健身场地设施建设，增强公益性、普及性。逐步丰富体育项目，着力引进新兴时尚健身项目。搭建智慧体育平台，为全民健身提供方便。创建共享运动场，实现篮球场</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足球场等运动场所</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共享模式全覆盖。</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探索</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依托东部新中心老工业片区建筑，打造电子竞技综合园区</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促进电竞运动加快发展</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w:t>
      </w:r>
    </w:p>
    <w:tbl>
      <w:tblPr>
        <w:tblStyle w:val="20"/>
        <w:tblpPr w:leftFromText="180" w:rightFromText="180" w:vertAnchor="text" w:horzAnchor="page" w:tblpX="1809" w:tblpY="302"/>
        <w:tblOverlap w:val="never"/>
        <w:tblW w:w="8301" w:type="dxa"/>
        <w:tblInd w:w="0" w:type="dxa"/>
        <w:shd w:val="clear" w:color="auto" w:fill="auto"/>
        <w:tblLayout w:type="fixed"/>
        <w:tblCellMar>
          <w:top w:w="0" w:type="dxa"/>
          <w:left w:w="0" w:type="dxa"/>
          <w:bottom w:w="0" w:type="dxa"/>
          <w:right w:w="0" w:type="dxa"/>
        </w:tblCellMar>
      </w:tblPr>
      <w:tblGrid>
        <w:gridCol w:w="8301"/>
      </w:tblGrid>
      <w:tr>
        <w:tblPrEx>
          <w:shd w:val="clear" w:color="auto" w:fill="auto"/>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130" w:name="_Toc16993"/>
            <w:r>
              <w:rPr>
                <w:rFonts w:hint="default" w:ascii="Times New Roman" w:hAnsi="Times New Roman" w:eastAsia="黑体" w:cs="Times New Roman"/>
                <w:b w:val="0"/>
                <w:bCs w:val="0"/>
                <w:i w:val="0"/>
                <w:color w:val="000000"/>
                <w:sz w:val="30"/>
                <w:szCs w:val="30"/>
                <w:highlight w:val="none"/>
                <w:u w:val="none"/>
                <w:lang w:val="en-US" w:eastAsia="zh-CN"/>
              </w:rPr>
              <w:t>教育体育</w:t>
            </w:r>
            <w:r>
              <w:rPr>
                <w:rFonts w:hint="default" w:ascii="Times New Roman" w:hAnsi="Times New Roman" w:eastAsia="黑体" w:cs="Times New Roman"/>
                <w:b w:val="0"/>
                <w:bCs w:val="0"/>
                <w:i w:val="0"/>
                <w:color w:val="000000"/>
                <w:sz w:val="30"/>
                <w:szCs w:val="30"/>
                <w:highlight w:val="none"/>
                <w:u w:val="none"/>
              </w:rPr>
              <w:t>重大工程</w:t>
            </w:r>
            <w:r>
              <w:rPr>
                <w:rFonts w:hint="default" w:ascii="Times New Roman" w:hAnsi="Times New Roman" w:eastAsia="黑体" w:cs="Times New Roman"/>
                <w:b w:val="0"/>
                <w:bCs w:val="0"/>
                <w:i w:val="0"/>
                <w:color w:val="000000"/>
                <w:sz w:val="30"/>
                <w:szCs w:val="30"/>
                <w:highlight w:val="none"/>
                <w:u w:val="none"/>
                <w:lang w:val="en-US" w:eastAsia="zh-CN"/>
              </w:rPr>
              <w:t>项目</w:t>
            </w:r>
            <w:bookmarkEnd w:id="130"/>
          </w:p>
        </w:tc>
      </w:tr>
      <w:tr>
        <w:tblPrEx>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b w:val="0"/>
                <w:bCs w:val="0"/>
                <w:sz w:val="28"/>
                <w:szCs w:val="36"/>
                <w:highlight w:val="none"/>
                <w:vertAlign w:val="baseline"/>
                <w:lang w:val="en-US" w:eastAsia="zh-CN"/>
              </w:rPr>
            </w:pPr>
            <w:r>
              <w:rPr>
                <w:rFonts w:hint="default" w:ascii="Times New Roman" w:hAnsi="Times New Roman" w:eastAsia="楷体_GB2312" w:cs="Times New Roman"/>
                <w:b/>
                <w:bCs/>
                <w:sz w:val="28"/>
                <w:szCs w:val="36"/>
                <w:highlight w:val="none"/>
                <w:vertAlign w:val="baseline"/>
                <w:lang w:val="en-US" w:eastAsia="zh-CN"/>
              </w:rPr>
              <w:t>教育设施建设工程。</w:t>
            </w:r>
            <w:r>
              <w:rPr>
                <w:rFonts w:hint="default" w:ascii="Times New Roman" w:hAnsi="Times New Roman" w:eastAsia="仿宋_GB2312" w:cs="Times New Roman"/>
                <w:b w:val="0"/>
                <w:bCs w:val="0"/>
                <w:sz w:val="28"/>
                <w:szCs w:val="36"/>
                <w:highlight w:val="none"/>
                <w:vertAlign w:val="baseline"/>
                <w:lang w:val="en-US" w:eastAsia="zh-CN"/>
              </w:rPr>
              <w:t>在东部新中心板块新建、改扩建钟油坊中学等9所中小学，新建18所幼儿园；在老城区板块新建、改扩建板桥中学、白龙路小学等13所中小学，新建30所幼儿园；在龙岗开发区板块新建、改扩建国风中小学、太白路学校等5所中小学，新建18所幼儿园；完成区委党校新校区建设。</w:t>
            </w:r>
          </w:p>
          <w:p>
            <w:pPr>
              <w:pStyle w:val="13"/>
              <w:keepNext w:val="0"/>
              <w:keepLines w:val="0"/>
              <w:pageBreakBefore w:val="0"/>
              <w:widowControl w:val="0"/>
              <w:kinsoku/>
              <w:wordWrap/>
              <w:overflowPunct/>
              <w:topLinePunct w:val="0"/>
              <w:autoSpaceDE/>
              <w:autoSpaceDN/>
              <w:bidi w:val="0"/>
              <w:adjustRightInd/>
              <w:snapToGrid/>
              <w:spacing w:after="157" w:afterLines="50" w:line="440" w:lineRule="exact"/>
              <w:ind w:firstLine="562" w:firstLineChars="200"/>
              <w:textAlignment w:val="auto"/>
              <w:rPr>
                <w:rFonts w:hint="default" w:ascii="Times New Roman" w:hAnsi="Times New Roman" w:eastAsia="宋体" w:cs="Times New Roman"/>
                <w:lang w:eastAsia="zh-CN"/>
              </w:rPr>
            </w:pPr>
            <w:r>
              <w:rPr>
                <w:rFonts w:hint="default" w:ascii="Times New Roman" w:hAnsi="Times New Roman" w:eastAsia="楷体_GB2312" w:cs="Times New Roman"/>
                <w:b/>
                <w:bCs/>
                <w:kern w:val="2"/>
                <w:sz w:val="28"/>
                <w:szCs w:val="36"/>
                <w:highlight w:val="none"/>
                <w:vertAlign w:val="baseline"/>
                <w:lang w:val="en-US" w:eastAsia="zh-CN" w:bidi="ar-SA"/>
              </w:rPr>
              <w:t>体育设施建设工程。</w:t>
            </w:r>
            <w:r>
              <w:rPr>
                <w:rFonts w:hint="default" w:ascii="Times New Roman" w:hAnsi="Times New Roman" w:eastAsia="仿宋_GB2312" w:cs="Times New Roman"/>
                <w:b w:val="0"/>
                <w:bCs w:val="0"/>
                <w:sz w:val="28"/>
                <w:szCs w:val="36"/>
                <w:highlight w:val="none"/>
                <w:vertAlign w:val="baseline"/>
                <w:lang w:val="en-US" w:eastAsia="zh-CN"/>
              </w:rPr>
              <w:t>完善社会化足球场地网点，推动龙岗体育中心、襄河体育公园和瑶海体育馆等体育设施建设。</w:t>
            </w:r>
          </w:p>
        </w:tc>
      </w:tr>
    </w:tbl>
    <w:p>
      <w:pPr>
        <w:pStyle w:val="3"/>
        <w:keepNext/>
        <w:keepLines/>
        <w:pageBreakBefore w:val="0"/>
        <w:widowControl w:val="0"/>
        <w:numPr>
          <w:ilvl w:val="0"/>
          <w:numId w:val="3"/>
        </w:numPr>
        <w:kinsoku/>
        <w:wordWrap/>
        <w:overflowPunct/>
        <w:topLinePunct w:val="0"/>
        <w:autoSpaceDE/>
        <w:autoSpaceDN/>
        <w:bidi w:val="0"/>
        <w:adjustRightInd/>
        <w:snapToGrid/>
        <w:spacing w:before="313" w:beforeLines="10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bookmarkStart w:id="131" w:name="_Toc4157"/>
      <w:bookmarkStart w:id="132" w:name="_Toc14265"/>
      <w:bookmarkStart w:id="133" w:name="_Toc25663"/>
      <w:bookmarkStart w:id="134" w:name="_Toc24002"/>
      <w:r>
        <w:rPr>
          <w:rFonts w:hint="default" w:ascii="Times New Roman" w:hAnsi="Times New Roman" w:eastAsia="宋体" w:cs="Times New Roman"/>
          <w:sz w:val="32"/>
          <w:rtl w:val="0"/>
          <w:lang w:val="en-US" w:eastAsia="zh-CN"/>
        </w:rPr>
        <w:t xml:space="preserve"> </w:t>
      </w:r>
      <w:bookmarkStart w:id="135" w:name="_Toc20782"/>
      <w:bookmarkStart w:id="136" w:name="_Toc17160"/>
      <w:r>
        <w:rPr>
          <w:rFonts w:hint="default" w:ascii="Times New Roman" w:hAnsi="Times New Roman" w:eastAsia="宋体" w:cs="Times New Roman"/>
          <w:sz w:val="32"/>
          <w:rtl w:val="0"/>
          <w:lang w:val="en-US" w:eastAsia="zh-CN"/>
        </w:rPr>
        <w:t>提高医疗卫生服务能力和水平</w:t>
      </w:r>
      <w:bookmarkEnd w:id="135"/>
      <w:bookmarkEnd w:id="136"/>
    </w:p>
    <w:bookmarkEnd w:id="131"/>
    <w:bookmarkEnd w:id="132"/>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把保障人民健康放在优先发展的战略位置，实施健康瑶海行动，</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全面落实</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健康安徽</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2030</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规划纲要，推动卫生</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计生工作向健康工作转型，创建省级</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健康促进区</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努力为人民群众提供全生命周期的卫生与健康服务。</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到2025年，人均预期寿命提高1岁，全民健康素养水平提高5%。</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完善医疗卫生体系。</w:t>
      </w: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实施名医名科名院建设工程，</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扩大优质医疗卫生资源供给</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，扎实实施基层医疗机构标准化建设。</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完善医联体相关组织架构，正式运行医联体集团及相关职能部门。加快</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建设</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分级诊疗制度，构建形成基层首诊、双向转诊、急慢分治、上下联动的分级诊疗机制。继续开展</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优质服务基层行</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和</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社区医院</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创建活动，</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加大对社区卫生服务中心的标准化提升改造</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，全面提升基层医疗卫生机构服务能力。</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加强卫技人员队伍建设，开展</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专科共建、临床带教、科研和项目协作等</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提升专业能力</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落实省中医药传承创新工程，</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发挥基层中医馆阵地作用，依托区级中医适宜技术培训基地</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，提升基层中医药服务能力。</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到2025年，基层就诊率提高至65%，每千常住人口医疗卫生机构床位数达到</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8</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张。</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加强公共卫生服务。</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加快建设全民健康信息平台</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加强专业公共卫生机构建设</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提升改造一批社区卫生服务中心，</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着力构建预防为主、平战结合的公共卫生体系。建设</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智医助理</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民生工程项目，充分利用现代信息技术，辅助基层医生</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诊疗。改革疾病预防控制体系，统筹推进传染病、重大疾病、职业病危害防治，推进医防协同创新。强化</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公共卫生应急管理体系</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建设</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，完善</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突发公共卫生事件联防联控机制，</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健全</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不明原因疾病和异常健康事件预警机制，加强医疗救治、物资保障等</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工作</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构建重大疫情分级分层分流医疗救治体系</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。落实疫苗药品安全党政同责，完善疫苗药品追溯体系。</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紧盯查病源、堵源头、防扩散等重要环节</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做好新冠肺炎疫情防控工作。</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把握</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新时期计划生育工作</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特点，加强计划生育、妇幼保健和</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青少年健康</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等工作，</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提升妇女儿童医疗卫生资源供给</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加强社会心理服务体系建设，探索保障政策和激励措施。</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巩固爱国卫生工作</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成果。到2025年，</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实现安徽省卫生社区创建率达80%，</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法定传染病报告率达到100%。</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健全医疗保障体系。</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扎实推进深化医疗保障制度改革，强化基本医疗保险、大病保险与医疗救助三重保障功能。织密织牢全民医疗保障网，不断提升医疗保障服务能力和服务水平。严格执行国家基本医疗保险待遇清单管理制度，确保城乡居民医保参保工作平稳有序开展，实现应保尽保。建立完善的医疗保障基金监管长效机制，构建医保、卫健、市监等部门联合监管工作机制，确保医保基金安全。尽快推动医保打包付费工作落地见效。稳步建立长期护理保险制度，发展商业医疗保险。</w:t>
      </w:r>
    </w:p>
    <w:tbl>
      <w:tblPr>
        <w:tblStyle w:val="20"/>
        <w:tblpPr w:leftFromText="180" w:rightFromText="180" w:vertAnchor="text" w:horzAnchor="page" w:tblpX="1809" w:tblpY="302"/>
        <w:tblOverlap w:val="never"/>
        <w:tblW w:w="8301" w:type="dxa"/>
        <w:tblInd w:w="0" w:type="dxa"/>
        <w:shd w:val="clear" w:color="auto" w:fill="auto"/>
        <w:tblLayout w:type="fixed"/>
        <w:tblCellMar>
          <w:top w:w="0" w:type="dxa"/>
          <w:left w:w="0" w:type="dxa"/>
          <w:bottom w:w="0" w:type="dxa"/>
          <w:right w:w="0" w:type="dxa"/>
        </w:tblCellMar>
      </w:tblPr>
      <w:tblGrid>
        <w:gridCol w:w="8301"/>
      </w:tblGrid>
      <w:tr>
        <w:tblPrEx>
          <w:shd w:val="clear" w:color="auto" w:fill="auto"/>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137" w:name="_Toc14320"/>
            <w:r>
              <w:rPr>
                <w:rFonts w:hint="default" w:ascii="Times New Roman" w:hAnsi="Times New Roman" w:eastAsia="黑体" w:cs="Times New Roman"/>
                <w:b w:val="0"/>
                <w:bCs w:val="0"/>
                <w:i w:val="0"/>
                <w:color w:val="000000"/>
                <w:sz w:val="30"/>
                <w:szCs w:val="30"/>
                <w:highlight w:val="none"/>
                <w:u w:val="none"/>
                <w:lang w:val="en-US" w:eastAsia="zh-CN"/>
              </w:rPr>
              <w:t>医疗卫生重大工程</w:t>
            </w:r>
            <w:r>
              <w:rPr>
                <w:rFonts w:hint="default" w:ascii="Times New Roman" w:hAnsi="Times New Roman" w:eastAsia="黑体" w:cs="Times New Roman"/>
                <w:b w:val="0"/>
                <w:bCs w:val="0"/>
                <w:i w:val="0"/>
                <w:color w:val="000000"/>
                <w:sz w:val="30"/>
                <w:szCs w:val="30"/>
                <w:highlight w:val="none"/>
                <w:u w:val="none"/>
              </w:rPr>
              <w:t>项目</w:t>
            </w:r>
            <w:bookmarkEnd w:id="137"/>
          </w:p>
        </w:tc>
      </w:tr>
      <w:tr>
        <w:tblPrEx>
          <w:shd w:val="clear" w:color="auto" w:fill="auto"/>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line="440" w:lineRule="exact"/>
              <w:ind w:firstLine="562" w:firstLineChars="200"/>
              <w:textAlignment w:val="auto"/>
              <w:rPr>
                <w:rFonts w:hint="default" w:ascii="Times New Roman" w:hAnsi="Times New Roman" w:eastAsia="仿宋_GB2312" w:cs="Times New Roman"/>
                <w:b w:val="0"/>
                <w:bCs w:val="0"/>
                <w:sz w:val="28"/>
                <w:szCs w:val="36"/>
                <w:highlight w:val="yellow"/>
                <w:vertAlign w:val="baseline"/>
                <w:lang w:val="en-US" w:eastAsia="zh-CN"/>
              </w:rPr>
            </w:pPr>
            <w:r>
              <w:rPr>
                <w:rFonts w:hint="default" w:ascii="Times New Roman" w:hAnsi="Times New Roman" w:eastAsia="楷体_GB2312" w:cs="Times New Roman"/>
                <w:b/>
                <w:bCs/>
                <w:sz w:val="28"/>
                <w:szCs w:val="36"/>
                <w:highlight w:val="none"/>
                <w:vertAlign w:val="baseline"/>
                <w:lang w:val="en-US" w:eastAsia="zh-CN"/>
              </w:rPr>
              <w:t>医院建设项目。</w:t>
            </w:r>
            <w:r>
              <w:rPr>
                <w:rFonts w:hint="default" w:ascii="Times New Roman" w:hAnsi="Times New Roman" w:eastAsia="仿宋_GB2312" w:cs="Times New Roman"/>
                <w:b w:val="0"/>
                <w:bCs w:val="0"/>
                <w:sz w:val="28"/>
                <w:szCs w:val="36"/>
                <w:highlight w:val="none"/>
                <w:vertAlign w:val="baseline"/>
                <w:lang w:val="en-US" w:eastAsia="zh-CN"/>
              </w:rPr>
              <w:t>建设省二院临淮路院区、市二院感染病区等项目。</w:t>
            </w:r>
          </w:p>
          <w:p>
            <w:pPr>
              <w:keepNext/>
              <w:keepLines/>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default" w:ascii="Times New Roman" w:hAnsi="Times New Roman" w:eastAsia="仿宋_GB2312" w:cs="Times New Roman"/>
                <w:b w:val="0"/>
                <w:bCs w:val="0"/>
                <w:sz w:val="28"/>
                <w:szCs w:val="36"/>
                <w:highlight w:val="yellow"/>
                <w:vertAlign w:val="baseline"/>
                <w:lang w:val="en-US" w:eastAsia="zh-CN"/>
              </w:rPr>
            </w:pPr>
            <w:r>
              <w:rPr>
                <w:rFonts w:hint="default" w:ascii="Times New Roman" w:hAnsi="Times New Roman" w:eastAsia="楷体_GB2312" w:cs="Times New Roman"/>
                <w:b/>
                <w:bCs/>
                <w:sz w:val="28"/>
                <w:szCs w:val="36"/>
                <w:highlight w:val="none"/>
                <w:vertAlign w:val="baseline"/>
                <w:lang w:val="en-US" w:eastAsia="zh-CN"/>
              </w:rPr>
              <w:t>社区卫生服务中心建设项目。</w:t>
            </w:r>
            <w:r>
              <w:rPr>
                <w:rFonts w:hint="default" w:ascii="Times New Roman" w:hAnsi="Times New Roman" w:eastAsia="仿宋_GB2312" w:cs="Times New Roman"/>
                <w:b w:val="0"/>
                <w:bCs w:val="0"/>
                <w:sz w:val="28"/>
                <w:szCs w:val="36"/>
                <w:highlight w:val="none"/>
                <w:vertAlign w:val="baseline"/>
                <w:lang w:val="en-US" w:eastAsia="zh-CN"/>
              </w:rPr>
              <w:t>完成七里站、嘉山路和龙岗第二卫生服务中心新建项目；选址新建胜利、明光、城东、方庙、三里街等卫生服务中心。</w:t>
            </w:r>
          </w:p>
          <w:p>
            <w:pPr>
              <w:pStyle w:val="13"/>
              <w:keepNext/>
              <w:keepLines/>
              <w:pageBreakBefore w:val="0"/>
              <w:widowControl/>
              <w:kinsoku/>
              <w:wordWrap/>
              <w:overflowPunct/>
              <w:topLinePunct w:val="0"/>
              <w:autoSpaceDE/>
              <w:autoSpaceDN/>
              <w:bidi w:val="0"/>
              <w:adjustRightInd/>
              <w:snapToGrid/>
              <w:spacing w:after="157" w:afterLines="50" w:line="440" w:lineRule="exact"/>
              <w:ind w:firstLine="562" w:firstLineChars="200"/>
              <w:textAlignment w:val="auto"/>
              <w:rPr>
                <w:rFonts w:hint="default" w:ascii="Times New Roman" w:hAnsi="Times New Roman" w:eastAsia="宋体" w:cs="Times New Roman"/>
                <w:lang w:eastAsia="zh-CN"/>
              </w:rPr>
            </w:pPr>
            <w:r>
              <w:rPr>
                <w:rFonts w:hint="default" w:ascii="Times New Roman" w:hAnsi="Times New Roman" w:eastAsia="楷体_GB2312" w:cs="Times New Roman"/>
                <w:b/>
                <w:bCs/>
                <w:kern w:val="2"/>
                <w:sz w:val="28"/>
                <w:szCs w:val="36"/>
                <w:highlight w:val="none"/>
                <w:vertAlign w:val="baseline"/>
                <w:lang w:val="en-US" w:eastAsia="zh-CN" w:bidi="ar-SA"/>
              </w:rPr>
              <w:t>“智医助理”建设工程。</w:t>
            </w:r>
            <w:r>
              <w:rPr>
                <w:rFonts w:hint="default" w:ascii="Times New Roman" w:hAnsi="Times New Roman" w:eastAsia="仿宋_GB2312" w:cs="Times New Roman"/>
                <w:b w:val="0"/>
                <w:bCs w:val="0"/>
                <w:sz w:val="28"/>
                <w:szCs w:val="36"/>
                <w:highlight w:val="none"/>
                <w:vertAlign w:val="baseline"/>
                <w:lang w:val="en-US" w:eastAsia="zh-CN"/>
              </w:rPr>
              <w:t>为基层医疗机构配备移动终端设备，实现在移动诊疗场景下的智能辅诊、医学知识检索、共享调阅、慢病智能管理和远程视频技术援助。</w:t>
            </w:r>
          </w:p>
        </w:tc>
      </w:tr>
    </w:tbl>
    <w:p>
      <w:pPr>
        <w:pStyle w:val="3"/>
        <w:keepNext/>
        <w:keepLines/>
        <w:pageBreakBefore w:val="0"/>
        <w:widowControl w:val="0"/>
        <w:numPr>
          <w:ilvl w:val="0"/>
          <w:numId w:val="3"/>
        </w:numPr>
        <w:kinsoku/>
        <w:wordWrap/>
        <w:overflowPunct/>
        <w:topLinePunct w:val="0"/>
        <w:autoSpaceDE/>
        <w:autoSpaceDN/>
        <w:bidi w:val="0"/>
        <w:adjustRightInd/>
        <w:snapToGrid/>
        <w:spacing w:before="313" w:beforeLines="10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138" w:name="_Toc23762"/>
      <w:bookmarkStart w:id="139" w:name="_Toc29987"/>
      <w:r>
        <w:rPr>
          <w:rFonts w:hint="default" w:ascii="Times New Roman" w:hAnsi="Times New Roman" w:eastAsia="宋体" w:cs="Times New Roman"/>
          <w:sz w:val="32"/>
          <w:rtl w:val="0"/>
          <w:lang w:val="en-US" w:eastAsia="zh-CN"/>
        </w:rPr>
        <w:t>加强劳动和社会保障</w:t>
      </w:r>
      <w:bookmarkEnd w:id="138"/>
      <w:bookmarkEnd w:id="139"/>
    </w:p>
    <w:bookmarkEnd w:id="133"/>
    <w:bookmarkEnd w:id="134"/>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按照兜底线、织密网、建机制的要求，</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扩大社会保障对象覆盖面，加大保障层次和力度，</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全面建成覆盖全民、权责清晰、保障适度、可持续的多层次社会保障体系。</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加强劳动就业保障。</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认真落实省政府关于持续增加城镇居民收入的意见</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促进城镇居民增收。落实就业政策，完善公共就业服务体系，持续开展</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四进一促</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稳就业专项活动</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做好高校毕业生、退役军人、农民工等群体就业工作，扩大公益性岗位安置，帮扶残疾人、零就业家庭成员就业。推进</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创业江淮</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计划</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加大对创业者的担保贷款、项目信息</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创业培训等扶持力度</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快安徽建筑农民工创业孵化园二期、民生中心就业创业服务中心等</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创业服务载体建设，提高创业孵化能力</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以创业带动就业</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加快构建</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全方位覆盖、全过程可追溯的劳动保障监察工作机制</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促进劳动关系更加和谐。</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到2025年，</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新增就业</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万人</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eastAsia" w:eastAsia="仿宋_GB2312" w:cs="Times New Roman"/>
          <w:color w:val="000000" w:themeColor="text1"/>
          <w:sz w:val="32"/>
          <w:szCs w:val="32"/>
          <w:shd w:val="clear" w:color="auto" w:fill="FFFFFF"/>
          <w:lang w:val="en-US" w:eastAsia="zh-CN"/>
          <w14:textFill>
            <w14:solidFill>
              <w14:schemeClr w14:val="tx1"/>
            </w14:solidFill>
          </w14:textFill>
        </w:rPr>
        <w:t>城镇调查失业率低于全市平均水平，</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城镇常住居民人均可支配收入年均增长</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超过经济增长速度</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劳动争议案件按期结案率保持在100%。</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推进全民参保计划。</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引导鼓励农民工、非公经济从业人员等参保缴费，进一步提高全区参保缴费水平，推进社保体系建设从</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制度全覆盖</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到</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法定人群全覆盖</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完善机关事业单位和企业养老保险的衔接办法，健全职业年金运行制度，基本建立起独立于企事业单位之外、便于城镇各类从业人员参保的养老保险体系。将非公有制企业从业人员、个体工商户、灵活就业人员、城乡居民和进城务工的农民工纳入养老保险覆盖范围，基本实现城镇各类就业人员平等享有养老保险</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促进参保人员合理流动，开展跨省、跨制度养老保险关系转移接续业务办理。</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提高社会救助、社会福利、慈善事业、优抚安置等工作水平。</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加快</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民生中心</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建设，提升硬件保障能力。</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健全分层分类的社会救助体系，形成</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资金+实物+服务</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社会救助模式。做好慈善事业，健全困境儿童和妇女、残疾人关爱服务体系和设施，完善帮扶残疾人、孤儿等社会福利制度。建立和完善老年人福利保障体系，重点关注失能、伤残等能力缺失老年人的特殊需求</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提高老年人社保和福利水平</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坚持男女平等基本国策，保障妇女儿童合法权益。深化殡葬改革，推进惠民殡葬工程，加强公益性公墓建设和管理</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落实渐进式延迟法定退休年龄。</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140" w:name="_Toc27340"/>
      <w:bookmarkStart w:id="141" w:name="_Toc935"/>
      <w:r>
        <w:rPr>
          <w:rFonts w:hint="default" w:ascii="Times New Roman" w:hAnsi="Times New Roman" w:eastAsia="宋体" w:cs="Times New Roman"/>
          <w:sz w:val="32"/>
          <w:rtl w:val="0"/>
          <w:lang w:val="en-US" w:eastAsia="zh-CN"/>
        </w:rPr>
        <w:t>积极应对人口老龄化挑战</w:t>
      </w:r>
      <w:bookmarkEnd w:id="140"/>
      <w:bookmarkEnd w:id="141"/>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b w:val="0"/>
          <w:bCs/>
          <w:color w:val="auto"/>
          <w:kern w:val="0"/>
          <w:sz w:val="32"/>
          <w:szCs w:val="32"/>
          <w:rtl w:val="0"/>
          <w:lang w:val="en-US" w:eastAsia="zh-CN" w:bidi="ar-SA"/>
        </w:rPr>
      </w:pPr>
      <w:r>
        <w:rPr>
          <w:rFonts w:hint="default" w:ascii="Times New Roman" w:hAnsi="Times New Roman" w:eastAsia="仿宋_GB2312" w:cs="Times New Roman"/>
          <w:b w:val="0"/>
          <w:bCs/>
          <w:color w:val="auto"/>
          <w:kern w:val="0"/>
          <w:sz w:val="32"/>
          <w:szCs w:val="32"/>
          <w:rtl w:val="0"/>
          <w:lang w:val="en-US" w:eastAsia="zh-CN" w:bidi="ar-SA"/>
        </w:rPr>
        <w:t>落实人口老龄化国家战略，增强全社会的老龄意识，建立健全老龄工作体系，建设完善的养老服务体系，解决好人口老龄化带来的突出问题，打造高质量的为老服务体系，构建养老、孝老、敬老的社会环境。</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b w:val="0"/>
          <w:bCs/>
          <w:color w:val="auto"/>
          <w:kern w:val="0"/>
          <w:sz w:val="32"/>
          <w:szCs w:val="32"/>
          <w:rtl w:val="0"/>
          <w:lang w:val="en-US" w:eastAsia="zh-CN" w:bidi="ar-SA"/>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推动实现适度生育水平。</w:t>
      </w:r>
      <w:r>
        <w:rPr>
          <w:rFonts w:hint="default" w:ascii="Times New Roman" w:hAnsi="Times New Roman" w:eastAsia="仿宋_GB2312" w:cs="Times New Roman"/>
          <w:b w:val="0"/>
          <w:bCs/>
          <w:color w:val="auto"/>
          <w:kern w:val="0"/>
          <w:sz w:val="32"/>
          <w:szCs w:val="32"/>
          <w:rtl w:val="0"/>
          <w:lang w:val="en-US" w:eastAsia="zh-CN" w:bidi="ar-SA"/>
        </w:rPr>
        <w:t>增强生育政策包容性，优化生育政策，完善生育支持、幼儿养育、就业、奖励等配套政策，普及优生优育优教知识，提高优生优育服务水平，促进人口长期均衡发展。开展支持社会力量发展普惠托育服务专项行动，建立健全3岁以下婴幼儿照护服务体系，建设具有指导功能的示范性托育服务机构，采取多种方式，增加托位供给。到2025年，实现社区托育机构全覆盖，形成主体多元、形式多样、政策完备、应享尽享、应护尽护的婴幼儿照护服务体系。</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 w:val="0"/>
          <w:bCs/>
          <w:color w:val="auto"/>
          <w:kern w:val="0"/>
          <w:sz w:val="32"/>
          <w:szCs w:val="32"/>
          <w:rtl w:val="0"/>
          <w:lang w:val="en-US" w:eastAsia="zh-CN" w:bidi="ar-SA"/>
        </w:rPr>
      </w:pPr>
      <w:r>
        <w:rPr>
          <w:rFonts w:hint="default" w:ascii="Times New Roman" w:hAnsi="Times New Roman" w:eastAsia="楷体_GB2312" w:cs="Times New Roman"/>
          <w:b/>
          <w:color w:val="000000" w:themeColor="text1"/>
          <w:kern w:val="2"/>
          <w:sz w:val="32"/>
          <w:szCs w:val="32"/>
          <w:rtl w:val="0"/>
          <w:lang w:val="en-US" w:eastAsia="zh-CN" w:bidi="ar-SA"/>
          <w14:textFill>
            <w14:solidFill>
              <w14:schemeClr w14:val="tx1"/>
            </w14:solidFill>
          </w14:textFill>
        </w:rPr>
        <w:t>完善养老服务体系。</w:t>
      </w:r>
      <w:r>
        <w:rPr>
          <w:rFonts w:hint="default" w:ascii="Times New Roman" w:hAnsi="Times New Roman" w:eastAsia="仿宋_GB2312" w:cs="Times New Roman"/>
          <w:b w:val="0"/>
          <w:bCs/>
          <w:color w:val="auto"/>
          <w:kern w:val="0"/>
          <w:sz w:val="32"/>
          <w:szCs w:val="32"/>
          <w:rtl w:val="0"/>
          <w:lang w:val="en-US" w:eastAsia="zh-CN" w:bidi="ar-SA"/>
        </w:rPr>
        <w:t>搭建“1335”养老服务体系，</w:t>
      </w:r>
      <w:r>
        <w:rPr>
          <w:rFonts w:hint="default" w:ascii="Times New Roman" w:hAnsi="Times New Roman" w:eastAsia="仿宋_GB2312" w:cs="Times New Roman"/>
          <w:b w:val="0"/>
          <w:bCs/>
          <w:color w:val="auto"/>
          <w:kern w:val="0"/>
          <w:sz w:val="32"/>
          <w:szCs w:val="32"/>
          <w:rtl w:val="0"/>
          <w:lang w:val="zh-CN" w:eastAsia="zh-CN" w:bidi="ar-SA"/>
        </w:rPr>
        <w:t>推动完善居家社区机构</w:t>
      </w:r>
      <w:r>
        <w:rPr>
          <w:rFonts w:hint="default" w:ascii="Times New Roman" w:hAnsi="Times New Roman" w:eastAsia="仿宋_GB2312" w:cs="Times New Roman"/>
          <w:b w:val="0"/>
          <w:bCs/>
          <w:color w:val="auto"/>
          <w:kern w:val="0"/>
          <w:sz w:val="32"/>
          <w:szCs w:val="32"/>
          <w:rtl w:val="0"/>
          <w:lang w:val="en-US" w:eastAsia="zh-CN" w:bidi="ar-SA"/>
        </w:rPr>
        <w:t>相协调、</w:t>
      </w:r>
      <w:r>
        <w:rPr>
          <w:rFonts w:hint="default" w:ascii="Times New Roman" w:hAnsi="Times New Roman" w:eastAsia="仿宋_GB2312" w:cs="Times New Roman"/>
          <w:b w:val="0"/>
          <w:bCs/>
          <w:color w:val="auto"/>
          <w:kern w:val="0"/>
          <w:sz w:val="32"/>
          <w:szCs w:val="32"/>
          <w:rtl w:val="0"/>
          <w:lang w:val="zh-CN" w:eastAsia="zh-CN" w:bidi="ar-SA"/>
        </w:rPr>
        <w:t>医养</w:t>
      </w:r>
      <w:r>
        <w:rPr>
          <w:rFonts w:hint="default" w:ascii="Times New Roman" w:hAnsi="Times New Roman" w:eastAsia="仿宋_GB2312" w:cs="Times New Roman"/>
          <w:b w:val="0"/>
          <w:bCs/>
          <w:color w:val="auto"/>
          <w:kern w:val="0"/>
          <w:sz w:val="32"/>
          <w:szCs w:val="32"/>
          <w:rtl w:val="0"/>
          <w:lang w:val="en-US" w:eastAsia="zh-CN" w:bidi="ar-SA"/>
        </w:rPr>
        <w:t>康养</w:t>
      </w:r>
      <w:r>
        <w:rPr>
          <w:rFonts w:hint="default" w:ascii="Times New Roman" w:hAnsi="Times New Roman" w:eastAsia="仿宋_GB2312" w:cs="Times New Roman"/>
          <w:b w:val="0"/>
          <w:bCs/>
          <w:color w:val="auto"/>
          <w:kern w:val="0"/>
          <w:sz w:val="32"/>
          <w:szCs w:val="32"/>
          <w:rtl w:val="0"/>
          <w:lang w:val="zh-CN" w:eastAsia="zh-CN" w:bidi="ar-SA"/>
        </w:rPr>
        <w:t>相结合的养老服务体系。</w:t>
      </w:r>
      <w:r>
        <w:rPr>
          <w:rFonts w:hint="default" w:ascii="Times New Roman" w:hAnsi="Times New Roman" w:eastAsia="仿宋_GB2312" w:cs="Times New Roman"/>
          <w:b w:val="0"/>
          <w:bCs/>
          <w:color w:val="auto"/>
          <w:kern w:val="0"/>
          <w:sz w:val="32"/>
          <w:szCs w:val="32"/>
          <w:rtl w:val="0"/>
          <w:lang w:val="en-US" w:eastAsia="zh-CN" w:bidi="ar-SA"/>
        </w:rPr>
        <w:t>继续实施综合为老服务中心建设三年行动计划，加强养老服务设施建设，探索成立养老协会，鼓励各街镇开发区充分整合“社区+国资+企业”等资源，统筹规划布局建设综合养老服务中心。</w:t>
      </w:r>
      <w:r>
        <w:rPr>
          <w:rFonts w:hint="default" w:ascii="Times New Roman" w:hAnsi="Times New Roman" w:eastAsia="仿宋_GB2312" w:cs="Times New Roman"/>
          <w:b w:val="0"/>
          <w:bCs/>
          <w:color w:val="auto"/>
          <w:kern w:val="0"/>
          <w:sz w:val="32"/>
          <w:szCs w:val="32"/>
          <w:rtl w:val="0"/>
          <w:lang w:val="zh-CN" w:eastAsia="zh-CN" w:bidi="ar-SA"/>
        </w:rPr>
        <w:t>深化居家和社区养老服务试点工作，</w:t>
      </w:r>
      <w:r>
        <w:rPr>
          <w:rFonts w:hint="default" w:ascii="Times New Roman" w:hAnsi="Times New Roman" w:eastAsia="仿宋_GB2312" w:cs="Times New Roman"/>
          <w:b w:val="0"/>
          <w:bCs/>
          <w:color w:val="auto"/>
          <w:kern w:val="0"/>
          <w:sz w:val="32"/>
          <w:szCs w:val="32"/>
          <w:rtl w:val="0"/>
          <w:lang w:val="en-US" w:eastAsia="zh-CN" w:bidi="ar-SA"/>
        </w:rPr>
        <w:t>开展“家庭照护床位”试点，</w:t>
      </w:r>
      <w:r>
        <w:rPr>
          <w:rFonts w:hint="default" w:ascii="Times New Roman" w:hAnsi="Times New Roman" w:eastAsia="仿宋_GB2312" w:cs="Times New Roman"/>
          <w:b w:val="0"/>
          <w:bCs/>
          <w:color w:val="auto"/>
          <w:kern w:val="0"/>
          <w:sz w:val="32"/>
          <w:szCs w:val="32"/>
          <w:rtl w:val="0"/>
          <w:lang w:val="zh-CN" w:eastAsia="zh-CN" w:bidi="ar-SA"/>
        </w:rPr>
        <w:t>推动老年人居家适老化改造工程，</w:t>
      </w:r>
      <w:r>
        <w:rPr>
          <w:rFonts w:hint="default" w:ascii="Times New Roman" w:hAnsi="Times New Roman" w:eastAsia="仿宋_GB2312" w:cs="Times New Roman"/>
          <w:b w:val="0"/>
          <w:bCs/>
          <w:color w:val="auto"/>
          <w:kern w:val="0"/>
          <w:sz w:val="32"/>
          <w:szCs w:val="32"/>
          <w:rtl w:val="0"/>
          <w:lang w:val="en-US" w:eastAsia="zh-CN" w:bidi="ar-SA"/>
        </w:rPr>
        <w:t>支持家庭承担养老功能。完善老旧小区养老服务设施，提高新建小区养老服务配套设施比重。到2025年，养老床位数达到每千名老人60张以上，其中护理型床位占比达到60%以上。</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 w:val="0"/>
          <w:bCs/>
          <w:color w:val="auto"/>
          <w:kern w:val="0"/>
          <w:sz w:val="32"/>
          <w:szCs w:val="32"/>
          <w:rtl w:val="0"/>
          <w:lang w:val="zh-CN" w:eastAsia="zh-CN" w:bidi="ar-SA"/>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提供多样化优质养老服务。</w:t>
      </w:r>
      <w:r>
        <w:rPr>
          <w:rFonts w:hint="default" w:ascii="Times New Roman" w:hAnsi="Times New Roman" w:eastAsia="仿宋_GB2312" w:cs="Times New Roman"/>
          <w:b w:val="0"/>
          <w:bCs/>
          <w:color w:val="auto"/>
          <w:kern w:val="0"/>
          <w:sz w:val="32"/>
          <w:szCs w:val="32"/>
          <w:rtl w:val="0"/>
          <w:lang w:val="en-US" w:eastAsia="zh-CN" w:bidi="ar-SA"/>
        </w:rPr>
        <w:t>落实《合肥市居家养老服务条例》，实施兜底性长期照护服务保障工程，推行基本养老公共服务清单制度，建立多层次长期照护保障制度。加强养老机构安全监管和服务质量提升，</w:t>
      </w:r>
      <w:r>
        <w:rPr>
          <w:rFonts w:hint="default" w:ascii="Times New Roman" w:hAnsi="Times New Roman" w:eastAsia="仿宋_GB2312" w:cs="Times New Roman"/>
          <w:b w:val="0"/>
          <w:bCs/>
          <w:color w:val="auto"/>
          <w:kern w:val="0"/>
          <w:sz w:val="32"/>
          <w:szCs w:val="32"/>
          <w:rtl w:val="0"/>
          <w:lang w:val="zh-CN" w:eastAsia="zh-CN" w:bidi="ar-SA"/>
        </w:rPr>
        <w:t>实行养老机构备案管理及信用评价制度，建立</w:t>
      </w:r>
      <w:r>
        <w:rPr>
          <w:rFonts w:hint="default" w:ascii="Times New Roman" w:hAnsi="Times New Roman" w:eastAsia="仿宋_GB2312" w:cs="Times New Roman"/>
          <w:b w:val="0"/>
          <w:bCs/>
          <w:color w:val="auto"/>
          <w:kern w:val="0"/>
          <w:sz w:val="32"/>
          <w:szCs w:val="32"/>
          <w:highlight w:val="none"/>
          <w:rtl w:val="0"/>
          <w:lang w:val="zh-CN" w:eastAsia="zh-CN" w:bidi="ar-SA"/>
        </w:rPr>
        <w:t>不同失</w:t>
      </w:r>
      <w:r>
        <w:rPr>
          <w:rFonts w:hint="default" w:ascii="Times New Roman" w:hAnsi="Times New Roman" w:eastAsia="仿宋_GB2312" w:cs="Times New Roman"/>
          <w:b w:val="0"/>
          <w:bCs/>
          <w:color w:val="auto"/>
          <w:kern w:val="0"/>
          <w:sz w:val="32"/>
          <w:szCs w:val="32"/>
          <w:rtl w:val="0"/>
          <w:lang w:val="zh-CN" w:eastAsia="zh-CN" w:bidi="ar-SA"/>
        </w:rPr>
        <w:t>能状态老年人群的长期照护规范。</w:t>
      </w:r>
      <w:r>
        <w:rPr>
          <w:rFonts w:hint="default" w:ascii="Times New Roman" w:hAnsi="Times New Roman" w:eastAsia="仿宋_GB2312" w:cs="Times New Roman"/>
          <w:b w:val="0"/>
          <w:bCs/>
          <w:color w:val="auto"/>
          <w:kern w:val="0"/>
          <w:sz w:val="32"/>
          <w:szCs w:val="32"/>
          <w:rtl w:val="0"/>
          <w:lang w:val="en-US" w:eastAsia="zh-CN" w:bidi="ar-SA"/>
        </w:rPr>
        <w:t>深入推进普惠养老城企联动专项行动，推动养老事业和养老产业协同发展，促进医养康养深度结合。鼓励养老机构连锁化经营、集团化发展、标准化服务，提供治疗期住院、康复期护理、稳定期生活照料以及临终关怀一体化的健康和养老服务。探索物业公司参与社区嵌入养老和居家养老服务，实现“在家门口养老”。</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 w:val="0"/>
          <w:bCs/>
          <w:color w:val="auto"/>
          <w:kern w:val="0"/>
          <w:sz w:val="32"/>
          <w:szCs w:val="32"/>
          <w:rtl w:val="0"/>
          <w:lang w:val="en-US" w:eastAsia="zh-CN" w:bidi="ar-SA"/>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建设老年友好型社会。</w:t>
      </w:r>
      <w:r>
        <w:rPr>
          <w:rFonts w:hint="default" w:ascii="Times New Roman" w:hAnsi="Times New Roman" w:eastAsia="仿宋_GB2312" w:cs="Times New Roman"/>
          <w:b w:val="0"/>
          <w:bCs/>
          <w:color w:val="auto"/>
          <w:kern w:val="0"/>
          <w:sz w:val="32"/>
          <w:szCs w:val="32"/>
          <w:rtl w:val="0"/>
          <w:lang w:val="en-US" w:eastAsia="zh-CN" w:bidi="ar-SA"/>
        </w:rPr>
        <w:t>切实解决老年人运用智能技术困难问题，推广应用智能穿戴等产品设备，启动建设一批居家养老信息化示范项目。开展老年健康促进行动，加强老年人健康管理，构建老有所学的终生学习体系，提升老年教育种类和品质。开发老龄人力资源，建立老年人才信息库，鼓励专业技术领域人才延长工作年限，支持老年人继续为社会贡献宝贵经验和知识。加快老年人适用产品、技术的研发和应用，发展银发经济。推进城市公共服务</w:t>
      </w:r>
      <w:r>
        <w:rPr>
          <w:rFonts w:hint="default" w:ascii="Times New Roman" w:hAnsi="Times New Roman" w:eastAsia="仿宋_GB2312" w:cs="Times New Roman"/>
          <w:b w:val="0"/>
          <w:bCs/>
          <w:color w:val="auto"/>
          <w:kern w:val="0"/>
          <w:sz w:val="32"/>
          <w:szCs w:val="32"/>
          <w:highlight w:val="none"/>
          <w:rtl w:val="0"/>
          <w:lang w:val="en-US" w:eastAsia="zh-CN" w:bidi="ar-SA"/>
        </w:rPr>
        <w:t>设施适</w:t>
      </w:r>
      <w:r>
        <w:rPr>
          <w:rFonts w:hint="default" w:ascii="Times New Roman" w:hAnsi="Times New Roman" w:eastAsia="仿宋_GB2312" w:cs="Times New Roman"/>
          <w:b w:val="0"/>
          <w:bCs/>
          <w:color w:val="auto"/>
          <w:kern w:val="0"/>
          <w:sz w:val="32"/>
          <w:szCs w:val="32"/>
          <w:rtl w:val="0"/>
          <w:lang w:val="en-US" w:eastAsia="zh-CN" w:bidi="ar-SA"/>
        </w:rPr>
        <w:t>老化、无障碍改造。</w:t>
      </w:r>
    </w:p>
    <w:tbl>
      <w:tblPr>
        <w:tblStyle w:val="20"/>
        <w:tblpPr w:leftFromText="180" w:rightFromText="180" w:vertAnchor="text" w:horzAnchor="page" w:tblpX="1809" w:tblpY="302"/>
        <w:tblOverlap w:val="never"/>
        <w:tblW w:w="8301" w:type="dxa"/>
        <w:tblInd w:w="0" w:type="dxa"/>
        <w:shd w:val="clear" w:color="auto" w:fill="auto"/>
        <w:tblLayout w:type="fixed"/>
        <w:tblCellMar>
          <w:top w:w="0" w:type="dxa"/>
          <w:left w:w="0" w:type="dxa"/>
          <w:bottom w:w="0" w:type="dxa"/>
          <w:right w:w="0" w:type="dxa"/>
        </w:tblCellMar>
      </w:tblPr>
      <w:tblGrid>
        <w:gridCol w:w="8301"/>
      </w:tblGrid>
      <w:tr>
        <w:tblPrEx>
          <w:shd w:val="clear" w:color="auto" w:fill="auto"/>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142" w:name="_Toc29872"/>
            <w:r>
              <w:rPr>
                <w:rFonts w:hint="default" w:ascii="Times New Roman" w:hAnsi="Times New Roman" w:eastAsia="黑体" w:cs="Times New Roman"/>
                <w:b w:val="0"/>
                <w:bCs w:val="0"/>
                <w:i w:val="0"/>
                <w:color w:val="000000"/>
                <w:sz w:val="30"/>
                <w:szCs w:val="30"/>
                <w:highlight w:val="none"/>
                <w:u w:val="none"/>
                <w:rtl w:val="0"/>
                <w:lang w:val="en-US" w:eastAsia="zh-CN"/>
              </w:rPr>
              <w:t>养老事业重大工程项目</w:t>
            </w:r>
            <w:bookmarkEnd w:id="142"/>
          </w:p>
        </w:tc>
      </w:tr>
      <w:tr>
        <w:tblPrEx>
          <w:shd w:val="clear" w:color="auto" w:fill="auto"/>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13"/>
              <w:keepNext w:val="0"/>
              <w:keepLines w:val="0"/>
              <w:pageBreakBefore w:val="0"/>
              <w:widowControl w:val="0"/>
              <w:kinsoku/>
              <w:wordWrap/>
              <w:overflowPunct/>
              <w:topLinePunct w:val="0"/>
              <w:autoSpaceDE/>
              <w:autoSpaceDN/>
              <w:bidi w:val="0"/>
              <w:adjustRightInd/>
              <w:snapToGrid/>
              <w:spacing w:after="157" w:afterLines="50" w:line="440" w:lineRule="exact"/>
              <w:ind w:firstLine="562" w:firstLineChars="200"/>
              <w:textAlignment w:val="auto"/>
              <w:rPr>
                <w:rFonts w:hint="default" w:ascii="Times New Roman" w:hAnsi="Times New Roman" w:eastAsia="仿宋_GB2312" w:cs="Times New Roman"/>
                <w:b w:val="0"/>
                <w:bCs w:val="0"/>
                <w:sz w:val="28"/>
                <w:szCs w:val="36"/>
                <w:highlight w:val="none"/>
                <w:vertAlign w:val="baseline"/>
                <w:lang w:val="en-US" w:eastAsia="zh-CN"/>
              </w:rPr>
            </w:pPr>
            <w:r>
              <w:rPr>
                <w:rFonts w:hint="default" w:ascii="Times New Roman" w:hAnsi="Times New Roman" w:eastAsia="楷体_GB2312" w:cs="Times New Roman"/>
                <w:b/>
                <w:bCs/>
                <w:sz w:val="28"/>
                <w:szCs w:val="36"/>
                <w:highlight w:val="none"/>
                <w:vertAlign w:val="baseline"/>
                <w:rtl w:val="0"/>
                <w:lang w:val="en-US" w:eastAsia="zh-CN"/>
              </w:rPr>
              <w:t>“1335”养老服务体系构建工程。</w:t>
            </w:r>
            <w:r>
              <w:rPr>
                <w:rFonts w:hint="default" w:ascii="Times New Roman" w:hAnsi="Times New Roman" w:eastAsia="仿宋_GB2312" w:cs="Times New Roman"/>
                <w:b w:val="0"/>
                <w:bCs w:val="0"/>
                <w:sz w:val="28"/>
                <w:szCs w:val="36"/>
                <w:highlight w:val="none"/>
                <w:vertAlign w:val="baseline"/>
                <w:lang w:val="en-US" w:eastAsia="zh-CN"/>
              </w:rPr>
              <w:t>建设一个区级智慧养老服务平台，凝聚政府、社会、家庭三方力量，做实政府基本保障、居家社区联动、机构专业照护三种服务，做强区、街、社区、小区、家庭五个层级。</w:t>
            </w:r>
          </w:p>
          <w:p>
            <w:pPr>
              <w:pStyle w:val="13"/>
              <w:keepNext w:val="0"/>
              <w:keepLines w:val="0"/>
              <w:pageBreakBefore w:val="0"/>
              <w:widowControl w:val="0"/>
              <w:kinsoku/>
              <w:wordWrap/>
              <w:overflowPunct/>
              <w:topLinePunct w:val="0"/>
              <w:autoSpaceDE/>
              <w:autoSpaceDN/>
              <w:bidi w:val="0"/>
              <w:adjustRightInd/>
              <w:snapToGrid/>
              <w:spacing w:after="157" w:afterLines="50" w:line="440" w:lineRule="exact"/>
              <w:ind w:firstLine="562" w:firstLineChars="200"/>
              <w:textAlignment w:val="auto"/>
              <w:rPr>
                <w:rFonts w:hint="default" w:ascii="Times New Roman" w:hAnsi="Times New Roman" w:eastAsia="宋体" w:cs="Times New Roman"/>
                <w:lang w:val="en-US" w:eastAsia="zh-CN"/>
              </w:rPr>
            </w:pPr>
            <w:r>
              <w:rPr>
                <w:rFonts w:hint="default" w:ascii="Times New Roman" w:hAnsi="Times New Roman" w:eastAsia="楷体_GB2312" w:cs="Times New Roman"/>
                <w:b/>
                <w:bCs/>
                <w:sz w:val="28"/>
                <w:szCs w:val="36"/>
                <w:highlight w:val="none"/>
                <w:vertAlign w:val="baseline"/>
                <w:rtl w:val="0"/>
                <w:lang w:val="en-US" w:eastAsia="zh-CN"/>
              </w:rPr>
              <w:t>养老服务设施建设。</w:t>
            </w:r>
            <w:r>
              <w:rPr>
                <w:rFonts w:hint="default" w:ascii="Times New Roman" w:hAnsi="Times New Roman" w:eastAsia="仿宋_GB2312" w:cs="Times New Roman"/>
                <w:b w:val="0"/>
                <w:bCs w:val="0"/>
                <w:sz w:val="28"/>
                <w:szCs w:val="36"/>
                <w:highlight w:val="none"/>
                <w:vertAlign w:val="baseline"/>
                <w:rtl w:val="0"/>
                <w:lang w:val="en-US" w:eastAsia="zh-CN"/>
              </w:rPr>
              <w:t>建成市二院老年护理院、合肥东城养护服务中心；建成大兴镇、三里街、方庙街道等8个‘智慧+康养’融合式综合为老服务中心。</w:t>
            </w:r>
          </w:p>
        </w:tc>
      </w:tr>
    </w:tbl>
    <w:p>
      <w:pPr>
        <w:pStyle w:val="3"/>
        <w:keepNext/>
        <w:keepLines/>
        <w:pageBreakBefore w:val="0"/>
        <w:widowControl w:val="0"/>
        <w:numPr>
          <w:ilvl w:val="0"/>
          <w:numId w:val="3"/>
        </w:numPr>
        <w:kinsoku/>
        <w:wordWrap/>
        <w:overflowPunct/>
        <w:topLinePunct w:val="0"/>
        <w:autoSpaceDE/>
        <w:autoSpaceDN/>
        <w:bidi w:val="0"/>
        <w:adjustRightInd/>
        <w:snapToGrid/>
        <w:spacing w:before="313" w:beforeLines="10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143" w:name="_Toc32375"/>
      <w:bookmarkStart w:id="144" w:name="_Toc6881"/>
      <w:r>
        <w:rPr>
          <w:rFonts w:hint="default" w:ascii="Times New Roman" w:hAnsi="Times New Roman" w:eastAsia="宋体" w:cs="Times New Roman"/>
          <w:sz w:val="32"/>
          <w:rtl w:val="0"/>
          <w:lang w:val="en-US" w:eastAsia="zh-CN"/>
        </w:rPr>
        <w:t>巩固和创新社会治理</w:t>
      </w:r>
      <w:bookmarkEnd w:id="143"/>
      <w:bookmarkEnd w:id="144"/>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000000" w:themeColor="text1"/>
          <w:szCs w:val="32"/>
          <w:shd w:val="clear" w:color="auto" w:fill="FFFFFF"/>
          <w:lang w:val="zh-CN"/>
          <w14:textFill>
            <w14:solidFill>
              <w14:schemeClr w14:val="tx1"/>
            </w14:solidFill>
          </w14:textFill>
        </w:rPr>
      </w:pPr>
      <w:r>
        <w:rPr>
          <w:rFonts w:hint="default" w:ascii="Times New Roman" w:hAnsi="Times New Roman" w:eastAsia="仿宋_GB2312" w:cs="Times New Roman"/>
          <w:color w:val="000000" w:themeColor="text1"/>
          <w:szCs w:val="32"/>
          <w:shd w:val="clear" w:color="auto" w:fill="FFFFFF"/>
          <w14:textFill>
            <w14:solidFill>
              <w14:schemeClr w14:val="tx1"/>
            </w14:solidFill>
          </w14:textFill>
        </w:rPr>
        <w:t>完善党委领导、政府负责、社会协同、公众参与、法治保障的城市治理体制，</w:t>
      </w:r>
      <w:r>
        <w:rPr>
          <w:rFonts w:hint="default" w:ascii="Times New Roman" w:hAnsi="Times New Roman" w:eastAsia="仿宋_GB2312" w:cs="Times New Roman"/>
          <w:color w:val="000000" w:themeColor="text1"/>
          <w:szCs w:val="32"/>
          <w:shd w:val="clear" w:color="auto" w:fill="FFFFFF"/>
          <w:lang w:val="en-US" w:eastAsia="zh-CN"/>
          <w14:textFill>
            <w14:solidFill>
              <w14:schemeClr w14:val="tx1"/>
            </w14:solidFill>
          </w14:textFill>
        </w:rPr>
        <w:t>推深做实“一核三化四联”治理体系，</w:t>
      </w:r>
      <w:r>
        <w:rPr>
          <w:rFonts w:hint="default" w:ascii="Times New Roman" w:hAnsi="Times New Roman" w:eastAsia="仿宋_GB2312" w:cs="Times New Roman"/>
          <w:color w:val="000000" w:themeColor="text1"/>
          <w:szCs w:val="32"/>
          <w:shd w:val="clear" w:color="auto" w:fill="FFFFFF"/>
          <w:lang w:val="zh-CN"/>
          <w14:textFill>
            <w14:solidFill>
              <w14:schemeClr w14:val="tx1"/>
            </w14:solidFill>
          </w14:textFill>
        </w:rPr>
        <w:t>形成区级统筹主导、街（镇、开发区）组织实施、社区抓好基础的基层治理格局。</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Cs w:val="32"/>
          <w:shd w:val="clear" w:color="auto" w:fill="FFFFFF"/>
          <w:lang w:val="en-US" w:eastAsia="zh-CN"/>
          <w14:textFill>
            <w14:solidFill>
              <w14:schemeClr w14:val="tx1"/>
            </w14:solidFill>
          </w14:textFill>
        </w:rPr>
      </w:pPr>
      <w:bookmarkStart w:id="145" w:name="bookmark31"/>
      <w:bookmarkEnd w:id="145"/>
      <w:bookmarkStart w:id="146" w:name="_Toc25493"/>
      <w:bookmarkStart w:id="147" w:name="_Toc3312"/>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夯实党建引领作用的基础。</w:t>
      </w:r>
      <w:r>
        <w:rPr>
          <w:rFonts w:hint="default" w:ascii="Times New Roman" w:hAnsi="Times New Roman" w:eastAsia="仿宋_GB2312" w:cs="Times New Roman"/>
          <w:color w:val="000000" w:themeColor="text1"/>
          <w:szCs w:val="32"/>
          <w:shd w:val="clear" w:color="auto" w:fill="FFFFFF"/>
          <w14:textFill>
            <w14:solidFill>
              <w14:schemeClr w14:val="tx1"/>
            </w14:solidFill>
          </w14:textFill>
        </w:rPr>
        <w:t>贯彻落实好市委</w:t>
      </w:r>
      <w:r>
        <w:rPr>
          <w:rFonts w:hint="default" w:ascii="Times New Roman" w:hAnsi="Times New Roman" w:eastAsia="仿宋_GB2312" w:cs="Times New Roman"/>
          <w:color w:val="000000" w:themeColor="text1"/>
          <w:szCs w:val="32"/>
          <w:shd w:val="clear" w:color="auto" w:fill="FFFFFF"/>
          <w:lang w:val="en-US" w:eastAsia="zh-CN"/>
          <w14:textFill>
            <w14:solidFill>
              <w14:schemeClr w14:val="tx1"/>
            </w14:solidFill>
          </w14:textFill>
        </w:rPr>
        <w:t>基层</w:t>
      </w:r>
      <w:r>
        <w:rPr>
          <w:rFonts w:hint="default" w:ascii="Times New Roman" w:hAnsi="Times New Roman" w:eastAsia="仿宋_GB2312" w:cs="Times New Roman"/>
          <w:color w:val="000000" w:themeColor="text1"/>
          <w:szCs w:val="32"/>
          <w:shd w:val="clear" w:color="auto" w:fill="FFFFFF"/>
          <w14:textFill>
            <w14:solidFill>
              <w14:schemeClr w14:val="tx1"/>
            </w14:solidFill>
          </w14:textFill>
        </w:rPr>
        <w:t>党建引领基层治理</w:t>
      </w:r>
      <w:r>
        <w:rPr>
          <w:rFonts w:hint="default" w:ascii="Times New Roman" w:hAnsi="Times New Roman" w:eastAsia="仿宋_GB2312" w:cs="Times New Roman"/>
          <w:color w:val="000000" w:themeColor="text1"/>
          <w:szCs w:val="32"/>
          <w:shd w:val="clear" w:color="auto" w:fill="FFFFFF"/>
          <w:lang w:eastAsia="zh-CN"/>
          <w14:textFill>
            <w14:solidFill>
              <w14:schemeClr w14:val="tx1"/>
            </w14:solidFill>
          </w14:textFill>
        </w:rPr>
        <w:t>“</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1+8</w:t>
      </w:r>
      <w:r>
        <w:rPr>
          <w:rFonts w:hint="default" w:ascii="Times New Roman" w:hAnsi="Times New Roman" w:eastAsia="仿宋_GB2312" w:cs="Times New Roman"/>
          <w:color w:val="000000" w:themeColor="text1"/>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Cs w:val="32"/>
          <w:shd w:val="clear" w:color="auto" w:fill="FFFFFF"/>
          <w14:textFill>
            <w14:solidFill>
              <w14:schemeClr w14:val="tx1"/>
            </w14:solidFill>
          </w14:textFill>
        </w:rPr>
        <w:t>系列文件，牢固树立大抓基层的鲜明导向，不断推动党的组织和党的工作有效覆盖。坚持以提升组织力为重点，持续深化街道体制改革，强化社区聚合功能，着力增强街道社区党组织抓党建、抓服务、抓治理的能力。</w:t>
      </w:r>
      <w:r>
        <w:rPr>
          <w:rFonts w:hint="default" w:ascii="Times New Roman" w:hAnsi="Times New Roman" w:eastAsia="仿宋_GB2312" w:cs="Times New Roman"/>
          <w:color w:val="000000" w:themeColor="text1"/>
          <w:szCs w:val="32"/>
          <w:shd w:val="clear" w:color="auto" w:fill="FFFFFF"/>
          <w:lang w:val="en-US" w:eastAsia="zh-CN"/>
          <w14:textFill>
            <w14:solidFill>
              <w14:schemeClr w14:val="tx1"/>
            </w14:solidFill>
          </w14:textFill>
        </w:rPr>
        <w:t>以“零距离”党建工程为统揽，不断丰富组织、服务、治理“三大体系”内涵，探索跨街道范围的大区域化党建试点，打造以安徽时尚街区党建联盟为代表的专业市场党建品牌。到2025年，实现</w:t>
      </w:r>
      <w:r>
        <w:rPr>
          <w:rFonts w:hint="eastAsia" w:eastAsia="仿宋_GB2312" w:cs="Times New Roman"/>
          <w:color w:val="000000" w:themeColor="text1"/>
          <w:szCs w:val="32"/>
          <w:shd w:val="clear" w:color="auto" w:fill="FFFFFF"/>
          <w:lang w:val="en-US" w:eastAsia="zh-CN"/>
          <w14:textFill>
            <w14:solidFill>
              <w14:schemeClr w14:val="tx1"/>
            </w14:solidFill>
          </w14:textFill>
        </w:rPr>
        <w:t>街居</w:t>
      </w:r>
      <w:r>
        <w:rPr>
          <w:rFonts w:hint="default" w:ascii="Times New Roman" w:hAnsi="Times New Roman" w:eastAsia="仿宋_GB2312" w:cs="Times New Roman"/>
          <w:color w:val="000000" w:themeColor="text1"/>
          <w:szCs w:val="32"/>
          <w:shd w:val="clear" w:color="auto" w:fill="FFFFFF"/>
          <w:lang w:val="en-US" w:eastAsia="zh-CN"/>
          <w14:textFill>
            <w14:solidFill>
              <w14:schemeClr w14:val="tx1"/>
            </w14:solidFill>
          </w14:textFill>
        </w:rPr>
        <w:t>党群服务中心和小区楼宇“左邻右舍”党群服务站全覆盖。</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Cs w:val="32"/>
          <w:shd w:val="clear" w:color="auto" w:fill="FFFFFF"/>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创新基层治理模式</w:t>
      </w:r>
      <w:r>
        <w:rPr>
          <w:rFonts w:hint="default" w:ascii="Times New Roman" w:hAnsi="Times New Roman" w:eastAsia="楷体_GB2312" w:cs="Times New Roman"/>
          <w:b/>
          <w:bCs/>
          <w:color w:val="000000" w:themeColor="text1"/>
          <w:kern w:val="0"/>
          <w:sz w:val="32"/>
          <w:szCs w:val="32"/>
          <w:shd w:val="clear" w:color="auto" w:fill="FFFFFF"/>
          <w:rtl w:val="0"/>
          <w:lang w:val="zh-CN" w:eastAsia="zh-CN" w:bidi="ar-SA"/>
          <w14:textFill>
            <w14:solidFill>
              <w14:schemeClr w14:val="tx1"/>
            </w14:solidFill>
          </w14:textFill>
        </w:rPr>
        <w:t>。</w:t>
      </w:r>
      <w:r>
        <w:rPr>
          <w:rFonts w:hint="default" w:ascii="Times New Roman" w:hAnsi="Times New Roman" w:eastAsia="仿宋_GB2312" w:cs="Times New Roman"/>
          <w:color w:val="000000" w:themeColor="text1"/>
          <w:szCs w:val="32"/>
          <w:shd w:val="clear" w:color="auto" w:fill="FFFFFF"/>
          <w:lang w:val="zh-CN"/>
          <w14:textFill>
            <w14:solidFill>
              <w14:schemeClr w14:val="tx1"/>
            </w14:solidFill>
          </w14:textFill>
        </w:rPr>
        <w:t>理顺区、街（镇、开发区）、社区权责关系，构建区级统筹主导、街（镇、开发区）组织实施、社区抓好基层基础的工作格局。</w:t>
      </w:r>
      <w:r>
        <w:rPr>
          <w:rFonts w:hint="default" w:ascii="Times New Roman" w:hAnsi="Times New Roman" w:eastAsia="仿宋_GB2312" w:cs="Times New Roman"/>
          <w:sz w:val="32"/>
          <w:szCs w:val="32"/>
        </w:rPr>
        <w:t>夯实网格</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1+4+N</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配置模式，</w:t>
      </w:r>
      <w:r>
        <w:rPr>
          <w:rFonts w:hint="default" w:ascii="Times New Roman" w:hAnsi="Times New Roman" w:eastAsia="仿宋_GB2312" w:cs="Times New Roman"/>
          <w:sz w:val="32"/>
          <w:szCs w:val="32"/>
        </w:rPr>
        <w:t>落实</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镇街吹哨、部门报到</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制度，及时研究解决各类问题</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color w:val="000000" w:themeColor="text1"/>
          <w:szCs w:val="32"/>
          <w:shd w:val="clear" w:color="auto" w:fill="FFFFFF"/>
          <w14:textFill>
            <w14:solidFill>
              <w14:schemeClr w14:val="tx1"/>
            </w14:solidFill>
          </w14:textFill>
        </w:rPr>
        <w:t>全力推进</w:t>
      </w:r>
      <w:r>
        <w:rPr>
          <w:rFonts w:hint="default" w:ascii="Times New Roman" w:hAnsi="Times New Roman" w:eastAsia="仿宋_GB2312" w:cs="Times New Roman"/>
          <w:color w:val="000000" w:themeColor="text1"/>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Cs w:val="32"/>
          <w:shd w:val="clear" w:color="auto" w:fill="FFFFFF"/>
          <w14:textFill>
            <w14:solidFill>
              <w14:schemeClr w14:val="tx1"/>
            </w14:solidFill>
          </w14:textFill>
        </w:rPr>
        <w:t>一网五统一</w:t>
      </w:r>
      <w:r>
        <w:rPr>
          <w:rFonts w:hint="default" w:ascii="Times New Roman" w:hAnsi="Times New Roman" w:eastAsia="仿宋_GB2312" w:cs="Times New Roman"/>
          <w:color w:val="000000" w:themeColor="text1"/>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Cs w:val="32"/>
          <w:shd w:val="clear" w:color="auto" w:fill="FFFFFF"/>
          <w:lang w:val="en-US" w:eastAsia="zh-CN"/>
          <w14:textFill>
            <w14:solidFill>
              <w14:schemeClr w14:val="tx1"/>
            </w14:solidFill>
          </w14:textFill>
        </w:rPr>
        <w:t>网格化管理</w:t>
      </w:r>
      <w:r>
        <w:rPr>
          <w:rFonts w:hint="default" w:ascii="Times New Roman" w:hAnsi="Times New Roman" w:eastAsia="仿宋_GB2312" w:cs="Times New Roman"/>
          <w:color w:val="000000" w:themeColor="text1"/>
          <w:szCs w:val="32"/>
          <w:shd w:val="clear" w:color="auto" w:fill="FFFFFF"/>
          <w14:textFill>
            <w14:solidFill>
              <w14:schemeClr w14:val="tx1"/>
            </w14:solidFill>
          </w14:textFill>
        </w:rPr>
        <w:t>，</w:t>
      </w:r>
      <w:r>
        <w:rPr>
          <w:rFonts w:hint="default" w:ascii="Times New Roman" w:hAnsi="Times New Roman" w:eastAsia="仿宋_GB2312" w:cs="Times New Roman"/>
          <w:color w:val="000000" w:themeColor="text1"/>
          <w:szCs w:val="32"/>
          <w:shd w:val="clear" w:color="auto" w:fill="FFFFFF"/>
          <w:lang w:val="en-US" w:eastAsia="zh-CN"/>
          <w14:textFill>
            <w14:solidFill>
              <w14:schemeClr w14:val="tx1"/>
            </w14:solidFill>
          </w14:textFill>
        </w:rPr>
        <w:t>并在此基础上不断升级优化，</w:t>
      </w:r>
      <w:r>
        <w:rPr>
          <w:rFonts w:hint="default" w:ascii="Times New Roman" w:hAnsi="Times New Roman" w:eastAsia="仿宋_GB2312" w:cs="Times New Roman"/>
          <w:color w:val="000000" w:themeColor="text1"/>
          <w:szCs w:val="32"/>
          <w:shd w:val="clear" w:color="auto" w:fill="FFFFFF"/>
          <w14:textFill>
            <w14:solidFill>
              <w14:schemeClr w14:val="tx1"/>
            </w14:solidFill>
          </w14:textFill>
        </w:rPr>
        <w:t>建立完善的网格治理体系</w:t>
      </w:r>
      <w:r>
        <w:rPr>
          <w:rFonts w:hint="default" w:ascii="Times New Roman" w:hAnsi="Times New Roman" w:eastAsia="仿宋_GB2312" w:cs="Times New Roman"/>
          <w:color w:val="000000" w:themeColor="text1"/>
          <w:szCs w:val="32"/>
          <w:shd w:val="clear" w:color="auto" w:fill="FFFFFF"/>
          <w:lang w:val="en-US" w:eastAsia="zh-CN"/>
          <w14:textFill>
            <w14:solidFill>
              <w14:schemeClr w14:val="tx1"/>
            </w14:solidFill>
          </w14:textFill>
        </w:rPr>
        <w:t>。</w:t>
      </w:r>
      <w:r>
        <w:rPr>
          <w:rFonts w:hint="default" w:ascii="Times New Roman" w:hAnsi="Times New Roman" w:eastAsia="仿宋_GB2312" w:cs="Times New Roman"/>
          <w:color w:val="000000" w:themeColor="text1"/>
          <w:szCs w:val="32"/>
          <w:shd w:val="clear" w:color="auto" w:fill="FFFFFF"/>
          <w:lang w:val="zh-CN"/>
          <w14:textFill>
            <w14:solidFill>
              <w14:schemeClr w14:val="tx1"/>
            </w14:solidFill>
          </w14:textFill>
        </w:rPr>
        <w:t>做实做细“两单五微”工作，</w:t>
      </w:r>
      <w:r>
        <w:rPr>
          <w:rFonts w:hint="default" w:ascii="Times New Roman" w:hAnsi="Times New Roman" w:eastAsia="仿宋_GB2312" w:cs="Times New Roman"/>
          <w:color w:val="000000" w:themeColor="text1"/>
          <w:szCs w:val="32"/>
          <w:shd w:val="clear" w:color="auto" w:fill="FFFFFF"/>
          <w:lang w:val="en-US" w:eastAsia="zh-CN"/>
          <w14:textFill>
            <w14:solidFill>
              <w14:schemeClr w14:val="tx1"/>
            </w14:solidFill>
          </w14:textFill>
        </w:rPr>
        <w:t>推广“网格共治委员会”创新做法</w:t>
      </w:r>
      <w:r>
        <w:rPr>
          <w:rFonts w:hint="default" w:ascii="Times New Roman" w:hAnsi="Times New Roman" w:eastAsia="仿宋_GB2312" w:cs="Times New Roman"/>
          <w:color w:val="000000" w:themeColor="text1"/>
          <w:szCs w:val="32"/>
          <w:shd w:val="clear" w:color="auto" w:fill="FFFFFF"/>
          <w14:textFill>
            <w14:solidFill>
              <w14:schemeClr w14:val="tx1"/>
            </w14:solidFill>
          </w14:textFill>
        </w:rPr>
        <w:t>。</w:t>
      </w:r>
      <w:r>
        <w:rPr>
          <w:rFonts w:hint="default" w:ascii="Times New Roman" w:hAnsi="Times New Roman" w:eastAsia="仿宋_GB2312" w:cs="Times New Roman"/>
          <w:color w:val="000000" w:themeColor="text1"/>
          <w:szCs w:val="32"/>
          <w:shd w:val="clear" w:color="auto" w:fill="FFFFFF"/>
          <w:lang w:val="en-US" w:eastAsia="zh-CN"/>
          <w14:textFill>
            <w14:solidFill>
              <w14:schemeClr w14:val="tx1"/>
            </w14:solidFill>
          </w14:textFill>
        </w:rPr>
        <w:t>做实做深</w:t>
      </w:r>
      <w:r>
        <w:rPr>
          <w:rFonts w:hint="default" w:ascii="Times New Roman" w:hAnsi="Times New Roman" w:eastAsia="仿宋_GB2312" w:cs="Times New Roman"/>
          <w:color w:val="000000" w:themeColor="text1"/>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Cs w:val="32"/>
          <w:shd w:val="clear" w:color="auto" w:fill="FFFFFF"/>
          <w14:textFill>
            <w14:solidFill>
              <w14:schemeClr w14:val="tx1"/>
            </w14:solidFill>
          </w14:textFill>
        </w:rPr>
        <w:t>四步工作法</w:t>
      </w:r>
      <w:r>
        <w:rPr>
          <w:rFonts w:hint="default" w:ascii="Times New Roman" w:hAnsi="Times New Roman" w:eastAsia="仿宋_GB2312" w:cs="Times New Roman"/>
          <w:color w:val="000000" w:themeColor="text1"/>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Cs w:val="32"/>
          <w:shd w:val="clear" w:color="auto" w:fill="FFFFFF"/>
          <w14:textFill>
            <w14:solidFill>
              <w14:schemeClr w14:val="tx1"/>
            </w14:solidFill>
          </w14:textFill>
        </w:rPr>
        <w:t>，把</w:t>
      </w:r>
      <w:r>
        <w:rPr>
          <w:rFonts w:hint="default" w:ascii="Times New Roman" w:hAnsi="Times New Roman" w:eastAsia="仿宋_GB2312" w:cs="Times New Roman"/>
          <w:color w:val="000000" w:themeColor="text1"/>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Cs w:val="32"/>
          <w:shd w:val="clear" w:color="auto" w:fill="FFFFFF"/>
          <w14:textFill>
            <w14:solidFill>
              <w14:schemeClr w14:val="tx1"/>
            </w14:solidFill>
          </w14:textFill>
        </w:rPr>
        <w:t>问题清单</w:t>
      </w:r>
      <w:r>
        <w:rPr>
          <w:rFonts w:hint="default" w:ascii="Times New Roman" w:hAnsi="Times New Roman" w:eastAsia="仿宋_GB2312" w:cs="Times New Roman"/>
          <w:color w:val="000000" w:themeColor="text1"/>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Cs w:val="32"/>
          <w:shd w:val="clear" w:color="auto" w:fill="FFFFFF"/>
          <w14:textFill>
            <w14:solidFill>
              <w14:schemeClr w14:val="tx1"/>
            </w14:solidFill>
          </w14:textFill>
        </w:rPr>
        <w:t>变成</w:t>
      </w:r>
      <w:r>
        <w:rPr>
          <w:rFonts w:hint="default" w:ascii="Times New Roman" w:hAnsi="Times New Roman" w:eastAsia="仿宋_GB2312" w:cs="Times New Roman"/>
          <w:color w:val="000000" w:themeColor="text1"/>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Cs w:val="32"/>
          <w:shd w:val="clear" w:color="auto" w:fill="FFFFFF"/>
          <w14:textFill>
            <w14:solidFill>
              <w14:schemeClr w14:val="tx1"/>
            </w14:solidFill>
          </w14:textFill>
        </w:rPr>
        <w:t>服务清单</w:t>
      </w:r>
      <w:r>
        <w:rPr>
          <w:rFonts w:hint="default" w:ascii="Times New Roman" w:hAnsi="Times New Roman" w:eastAsia="仿宋_GB2312" w:cs="Times New Roman"/>
          <w:color w:val="000000" w:themeColor="text1"/>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Cs w:val="32"/>
          <w:shd w:val="clear" w:color="auto" w:fill="FFFFFF"/>
          <w14:textFill>
            <w14:solidFill>
              <w14:schemeClr w14:val="tx1"/>
            </w14:solidFill>
          </w14:textFill>
        </w:rPr>
        <w:t>成效清单</w:t>
      </w:r>
      <w:r>
        <w:rPr>
          <w:rFonts w:hint="default" w:ascii="Times New Roman" w:hAnsi="Times New Roman" w:eastAsia="仿宋_GB2312" w:cs="Times New Roman"/>
          <w:color w:val="000000" w:themeColor="text1"/>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Cs w:val="32"/>
          <w:shd w:val="clear" w:color="auto" w:fill="FFFFFF"/>
          <w14:textFill>
            <w14:solidFill>
              <w14:schemeClr w14:val="tx1"/>
            </w14:solidFill>
          </w14:textFill>
        </w:rPr>
        <w:t>。</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Cs w:val="32"/>
          <w:highlight w:val="none"/>
          <w:shd w:val="clear" w:color="auto" w:fill="FFFFFF"/>
          <w:lang w:val="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zh-CN" w:eastAsia="zh-CN" w:bidi="ar-SA"/>
          <w14:textFill>
            <w14:solidFill>
              <w14:schemeClr w14:val="tx1"/>
            </w14:solidFill>
          </w14:textFill>
        </w:rPr>
        <w:t>建设社会治理共同体。</w:t>
      </w:r>
      <w:r>
        <w:rPr>
          <w:rFonts w:hint="default" w:ascii="Times New Roman" w:hAnsi="Times New Roman" w:eastAsia="仿宋_GB2312" w:cs="Times New Roman"/>
          <w:color w:val="000000" w:themeColor="text1"/>
          <w:szCs w:val="32"/>
          <w:shd w:val="clear" w:color="auto" w:fill="FFFFFF"/>
          <w:rtl w:val="0"/>
          <w:lang w:val="zh-CN" w:eastAsia="zh-CN"/>
          <w14:textFill>
            <w14:solidFill>
              <w14:schemeClr w14:val="tx1"/>
            </w14:solidFill>
          </w14:textFill>
        </w:rPr>
        <w:t>加强协商治理制度建设，</w:t>
      </w:r>
      <w:r>
        <w:rPr>
          <w:rFonts w:hint="default" w:ascii="Times New Roman" w:hAnsi="Times New Roman" w:eastAsia="仿宋_GB2312" w:cs="Times New Roman"/>
          <w:color w:val="000000" w:themeColor="text1"/>
          <w:szCs w:val="32"/>
          <w:shd w:val="clear" w:color="auto" w:fill="FFFFFF"/>
          <w:lang w:val="zh-CN"/>
          <w14:textFill>
            <w14:solidFill>
              <w14:schemeClr w14:val="tx1"/>
            </w14:solidFill>
          </w14:textFill>
        </w:rPr>
        <w:t>推动协商民主广泛、多层、制度化发展，充分发挥群团组织联系群众的桥梁纽带作用，让各类主体有序参与、广泛协商，增进共识、增强合力。加强社会组织孵化基地建设，大力培育社区社会组织。创新社会力量组织发动方式，通过“</w:t>
      </w:r>
      <w:r>
        <w:rPr>
          <w:rFonts w:hint="default" w:ascii="Times New Roman" w:hAnsi="Times New Roman" w:eastAsia="仿宋_GB2312" w:cs="Times New Roman"/>
          <w:color w:val="000000" w:themeColor="text1"/>
          <w:szCs w:val="32"/>
          <w:shd w:val="clear" w:color="auto" w:fill="FFFFFF"/>
          <w:lang w:val="en-US" w:eastAsia="zh-CN"/>
          <w14:textFill>
            <w14:solidFill>
              <w14:schemeClr w14:val="tx1"/>
            </w14:solidFill>
          </w14:textFill>
        </w:rPr>
        <w:t>党群议事会</w:t>
      </w:r>
      <w:r>
        <w:rPr>
          <w:rFonts w:hint="default" w:ascii="Times New Roman" w:hAnsi="Times New Roman" w:eastAsia="仿宋_GB2312" w:cs="Times New Roman"/>
          <w:color w:val="000000" w:themeColor="text1"/>
          <w:szCs w:val="32"/>
          <w:shd w:val="clear" w:color="auto" w:fill="FFFFFF"/>
          <w:lang w:val="zh-CN"/>
          <w14:textFill>
            <w14:solidFill>
              <w14:schemeClr w14:val="tx1"/>
            </w14:solidFill>
          </w14:textFill>
        </w:rPr>
        <w:t>”“两代表一委员”工作室、个人</w:t>
      </w:r>
      <w:r>
        <w:rPr>
          <w:rFonts w:hint="default" w:ascii="Times New Roman" w:hAnsi="Times New Roman" w:eastAsia="仿宋_GB2312" w:cs="Times New Roman"/>
          <w:color w:val="000000" w:themeColor="text1"/>
          <w:szCs w:val="32"/>
          <w:highlight w:val="none"/>
          <w:shd w:val="clear" w:color="auto" w:fill="FFFFFF"/>
          <w:lang w:val="zh-CN"/>
          <w14:textFill>
            <w14:solidFill>
              <w14:schemeClr w14:val="tx1"/>
            </w14:solidFill>
          </w14:textFill>
        </w:rPr>
        <w:t>调解室</w:t>
      </w:r>
      <w:r>
        <w:rPr>
          <w:rFonts w:hint="default" w:ascii="Times New Roman" w:hAnsi="Times New Roman" w:eastAsia="仿宋_GB2312" w:cs="Times New Roman"/>
          <w:color w:val="000000" w:themeColor="text1"/>
          <w:szCs w:val="32"/>
          <w:shd w:val="clear" w:color="auto" w:fill="FFFFFF"/>
          <w:lang w:val="zh-CN"/>
          <w14:textFill>
            <w14:solidFill>
              <w14:schemeClr w14:val="tx1"/>
            </w14:solidFill>
          </w14:textFill>
        </w:rPr>
        <w:t>、法律法学工作者咨询服务站等载体，搭建社会公众参与社会治理工作平台，</w:t>
      </w:r>
      <w:r>
        <w:rPr>
          <w:rFonts w:hint="default" w:ascii="Times New Roman" w:hAnsi="Times New Roman" w:eastAsia="仿宋_GB2312" w:cs="Times New Roman"/>
          <w:color w:val="000000" w:themeColor="text1"/>
          <w:szCs w:val="32"/>
          <w:highlight w:val="none"/>
          <w:shd w:val="clear" w:color="auto" w:fill="FFFFFF"/>
          <w:lang w:val="zh-CN"/>
          <w14:textFill>
            <w14:solidFill>
              <w14:schemeClr w14:val="tx1"/>
            </w14:solidFill>
          </w14:textFill>
        </w:rPr>
        <w:t>推动形成共建共治共享的社会治理格局。</w:t>
      </w:r>
    </w:p>
    <w:tbl>
      <w:tblPr>
        <w:tblStyle w:val="20"/>
        <w:tblpPr w:leftFromText="180" w:rightFromText="180" w:vertAnchor="text" w:horzAnchor="page" w:tblpX="1809" w:tblpY="302"/>
        <w:tblOverlap w:val="never"/>
        <w:tblW w:w="8301" w:type="dxa"/>
        <w:tblInd w:w="0" w:type="dxa"/>
        <w:shd w:val="clear" w:color="auto" w:fill="auto"/>
        <w:tblLayout w:type="fixed"/>
        <w:tblCellMar>
          <w:top w:w="0" w:type="dxa"/>
          <w:left w:w="0" w:type="dxa"/>
          <w:bottom w:w="0" w:type="dxa"/>
          <w:right w:w="0" w:type="dxa"/>
        </w:tblCellMar>
      </w:tblPr>
      <w:tblGrid>
        <w:gridCol w:w="8301"/>
      </w:tblGrid>
      <w:tr>
        <w:tblPrEx>
          <w:shd w:val="clear" w:color="auto" w:fill="auto"/>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148" w:name="_Toc25078"/>
            <w:r>
              <w:rPr>
                <w:rFonts w:hint="default" w:ascii="Times New Roman" w:hAnsi="Times New Roman" w:eastAsia="黑体" w:cs="Times New Roman"/>
                <w:b w:val="0"/>
                <w:bCs w:val="0"/>
                <w:i w:val="0"/>
                <w:color w:val="000000"/>
                <w:sz w:val="30"/>
                <w:szCs w:val="30"/>
                <w:u w:val="none"/>
                <w:lang w:val="en-US" w:eastAsia="zh-CN"/>
              </w:rPr>
              <w:t>社会治理系列模式创新提升工程</w:t>
            </w:r>
            <w:bookmarkEnd w:id="148"/>
          </w:p>
        </w:tc>
      </w:tr>
      <w:tr>
        <w:tblPrEx>
          <w:shd w:val="clear" w:color="auto" w:fill="auto"/>
          <w:tblCellMar>
            <w:top w:w="0" w:type="dxa"/>
            <w:left w:w="0" w:type="dxa"/>
            <w:bottom w:w="0" w:type="dxa"/>
            <w:right w:w="0" w:type="dxa"/>
          </w:tblCellMar>
        </w:tblPrEx>
        <w:trPr>
          <w:trHeight w:val="504"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pStyle w:val="14"/>
              <w:keepNext w:val="0"/>
              <w:keepLines w:val="0"/>
              <w:pageBreakBefore w:val="0"/>
              <w:widowControl w:val="0"/>
              <w:kinsoku/>
              <w:wordWrap/>
              <w:overflowPunct/>
              <w:topLinePunct w:val="0"/>
              <w:autoSpaceDE/>
              <w:autoSpaceDN/>
              <w:bidi w:val="0"/>
              <w:adjustRightInd/>
              <w:snapToGrid w:val="0"/>
              <w:spacing w:before="157" w:beforeLines="50" w:line="440" w:lineRule="exact"/>
              <w:ind w:firstLine="562" w:firstLineChars="200"/>
              <w:textAlignment w:val="auto"/>
              <w:rPr>
                <w:rFonts w:hint="default" w:ascii="Times New Roman" w:hAnsi="Times New Roman" w:eastAsia="仿宋_GB2312" w:cs="Times New Roman"/>
                <w:b/>
                <w:bCs/>
                <w:color w:val="000000" w:themeColor="text1"/>
                <w:sz w:val="28"/>
                <w:szCs w:val="28"/>
                <w:shd w:val="clear" w:color="auto" w:fill="FFFFFF"/>
                <w:lang w:val="en-US" w:eastAsia="zh-CN"/>
                <w14:textFill>
                  <w14:solidFill>
                    <w14:schemeClr w14:val="tx1"/>
                  </w14:solidFill>
                </w14:textFill>
              </w:rPr>
            </w:pPr>
            <w:r>
              <w:rPr>
                <w:rFonts w:hint="default" w:ascii="Times New Roman" w:hAnsi="Times New Roman" w:eastAsia="楷体_GB2312" w:cs="Times New Roman"/>
                <w:b/>
                <w:bCs/>
                <w:color w:val="000000" w:themeColor="text1"/>
                <w:sz w:val="28"/>
                <w:szCs w:val="28"/>
                <w:shd w:val="clear" w:color="auto" w:fill="FFFFFF"/>
                <w:lang w:val="en-US" w:eastAsia="zh-CN"/>
                <w14:textFill>
                  <w14:solidFill>
                    <w14:schemeClr w14:val="tx1"/>
                  </w14:solidFill>
                </w14:textFill>
              </w:rPr>
              <w:t>“一核三化四联”治理体系。</w:t>
            </w:r>
            <w:r>
              <w:rPr>
                <w:rFonts w:hint="default" w:ascii="Times New Roman" w:hAnsi="Times New Roman" w:eastAsia="仿宋_GB2312" w:cs="Times New Roman"/>
                <w:color w:val="000000" w:themeColor="text1"/>
                <w:sz w:val="28"/>
                <w:szCs w:val="28"/>
                <w:shd w:val="clear" w:color="auto" w:fill="FFFFFF"/>
                <w:lang w:val="en-US" w:eastAsia="zh-CN"/>
                <w14:textFill>
                  <w14:solidFill>
                    <w14:schemeClr w14:val="tx1"/>
                  </w14:solidFill>
                </w14:textFill>
              </w:rPr>
              <w:t>以党组织为核心，推进基层治理区域化、网格化、信息化建设，实现党群联心、社会联动、服务联通和民情联网。</w:t>
            </w:r>
          </w:p>
          <w:p>
            <w:pPr>
              <w:pStyle w:val="14"/>
              <w:keepNext w:val="0"/>
              <w:keepLines w:val="0"/>
              <w:pageBreakBefore w:val="0"/>
              <w:widowControl w:val="0"/>
              <w:kinsoku/>
              <w:wordWrap/>
              <w:overflowPunct/>
              <w:topLinePunct w:val="0"/>
              <w:autoSpaceDE/>
              <w:autoSpaceDN/>
              <w:bidi w:val="0"/>
              <w:adjustRightInd/>
              <w:snapToGrid w:val="0"/>
              <w:spacing w:line="440" w:lineRule="exact"/>
              <w:ind w:firstLine="562" w:firstLineChars="200"/>
              <w:textAlignment w:val="auto"/>
              <w:rPr>
                <w:rFonts w:hint="default" w:ascii="Times New Roman" w:hAnsi="Times New Roman" w:eastAsia="仿宋_GB2312" w:cs="Times New Roman"/>
                <w:color w:val="000000" w:themeColor="text1"/>
                <w:sz w:val="28"/>
                <w:szCs w:val="28"/>
                <w:shd w:val="clear" w:color="auto" w:fill="FFFFFF"/>
                <w:lang w:val="en-US" w:eastAsia="zh-CN"/>
                <w14:textFill>
                  <w14:solidFill>
                    <w14:schemeClr w14:val="tx1"/>
                  </w14:solidFill>
                </w14:textFill>
              </w:rPr>
            </w:pPr>
            <w:r>
              <w:rPr>
                <w:rFonts w:hint="default" w:ascii="Times New Roman" w:hAnsi="Times New Roman" w:eastAsia="楷体_GB2312" w:cs="Times New Roman"/>
                <w:b/>
                <w:bCs/>
                <w:color w:val="000000" w:themeColor="text1"/>
                <w:sz w:val="28"/>
                <w:szCs w:val="28"/>
                <w:shd w:val="clear" w:color="auto" w:fill="FFFFFF"/>
                <w:lang w:val="en-US" w:eastAsia="zh-CN"/>
                <w14:textFill>
                  <w14:solidFill>
                    <w14:schemeClr w14:val="tx1"/>
                  </w14:solidFill>
                </w14:textFill>
              </w:rPr>
              <w:t>“1+4+N”网格配置模式。</w:t>
            </w:r>
            <w:r>
              <w:rPr>
                <w:rFonts w:hint="default" w:ascii="Times New Roman" w:hAnsi="Times New Roman" w:eastAsia="仿宋_GB2312" w:cs="Times New Roman"/>
                <w:color w:val="000000" w:themeColor="text1"/>
                <w:sz w:val="28"/>
                <w:szCs w:val="28"/>
                <w:shd w:val="clear" w:color="auto" w:fill="FFFFFF"/>
                <w:lang w:val="en-US" w:eastAsia="zh-CN"/>
                <w14:textFill>
                  <w14:solidFill>
                    <w14:schemeClr w14:val="tx1"/>
                  </w14:solidFill>
                </w14:textFill>
              </w:rPr>
              <w:t>建立“一长四员（网格长+执法队员、社区民警、物业人员、信息员）+社会力量”工作体系，建立从社区到网格、从网格到楼栋、从楼栋到单元甚至更小层级之间的信息传输网络和服务管理网络。</w:t>
            </w:r>
          </w:p>
          <w:p>
            <w:pPr>
              <w:pStyle w:val="14"/>
              <w:keepNext w:val="0"/>
              <w:keepLines w:val="0"/>
              <w:pageBreakBefore w:val="0"/>
              <w:widowControl w:val="0"/>
              <w:kinsoku/>
              <w:wordWrap/>
              <w:overflowPunct/>
              <w:topLinePunct w:val="0"/>
              <w:autoSpaceDE/>
              <w:autoSpaceDN/>
              <w:bidi w:val="0"/>
              <w:adjustRightInd/>
              <w:spacing w:line="440" w:lineRule="exact"/>
              <w:ind w:firstLine="56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楷体_GB2312" w:cs="Times New Roman"/>
                <w:b/>
                <w:bCs/>
                <w:sz w:val="28"/>
                <w:szCs w:val="28"/>
                <w:lang w:eastAsia="zh-CN"/>
              </w:rPr>
              <w:t>“</w:t>
            </w:r>
            <w:r>
              <w:rPr>
                <w:rFonts w:hint="default" w:ascii="Times New Roman" w:hAnsi="Times New Roman" w:eastAsia="楷体_GB2312" w:cs="Times New Roman"/>
                <w:b/>
                <w:bCs/>
                <w:sz w:val="28"/>
                <w:szCs w:val="28"/>
              </w:rPr>
              <w:t>一网五统一</w:t>
            </w:r>
            <w:r>
              <w:rPr>
                <w:rFonts w:hint="default" w:ascii="Times New Roman" w:hAnsi="Times New Roman" w:eastAsia="楷体_GB2312" w:cs="Times New Roman"/>
                <w:b/>
                <w:bCs/>
                <w:sz w:val="28"/>
                <w:szCs w:val="28"/>
                <w:lang w:eastAsia="zh-CN"/>
              </w:rPr>
              <w:t>”</w:t>
            </w:r>
            <w:r>
              <w:rPr>
                <w:rFonts w:hint="default" w:ascii="Times New Roman" w:hAnsi="Times New Roman" w:eastAsia="楷体_GB2312" w:cs="Times New Roman"/>
                <w:b/>
                <w:bCs/>
                <w:sz w:val="28"/>
                <w:szCs w:val="28"/>
                <w:lang w:val="en-US" w:eastAsia="zh-CN"/>
              </w:rPr>
              <w:t>网格化管理模式。</w:t>
            </w:r>
            <w:r>
              <w:rPr>
                <w:rFonts w:hint="default" w:ascii="Times New Roman" w:hAnsi="Times New Roman" w:eastAsia="仿宋_GB2312" w:cs="Times New Roman"/>
                <w:sz w:val="28"/>
                <w:szCs w:val="28"/>
                <w:lang w:val="en-US" w:eastAsia="zh-CN"/>
              </w:rPr>
              <w:t>实现社会治理一张网+统一网格规划、统一资源整合、统一人员配备、统一信息采集、统一服务标准。</w:t>
            </w:r>
          </w:p>
          <w:p>
            <w:pPr>
              <w:pStyle w:val="14"/>
              <w:keepNext w:val="0"/>
              <w:keepLines w:val="0"/>
              <w:pageBreakBefore w:val="0"/>
              <w:widowControl w:val="0"/>
              <w:kinsoku/>
              <w:wordWrap/>
              <w:overflowPunct/>
              <w:topLinePunct w:val="0"/>
              <w:autoSpaceDE/>
              <w:autoSpaceDN/>
              <w:bidi w:val="0"/>
              <w:adjustRightInd/>
              <w:spacing w:line="440" w:lineRule="exact"/>
              <w:ind w:firstLine="56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楷体_GB2312" w:cs="Times New Roman"/>
                <w:b/>
                <w:bCs/>
                <w:color w:val="000000" w:themeColor="text1"/>
                <w:sz w:val="28"/>
                <w:szCs w:val="28"/>
                <w:shd w:val="clear" w:color="auto" w:fill="FFFFFF"/>
                <w:lang w:val="en-US" w:eastAsia="zh-CN"/>
                <w14:textFill>
                  <w14:solidFill>
                    <w14:schemeClr w14:val="tx1"/>
                  </w14:solidFill>
                </w14:textFill>
              </w:rPr>
              <w:t>“网格共治委员会”共治平台。</w:t>
            </w:r>
            <w:r>
              <w:rPr>
                <w:rFonts w:hint="default" w:ascii="Times New Roman" w:hAnsi="Times New Roman" w:eastAsia="仿宋_GB2312" w:cs="Times New Roman"/>
                <w:sz w:val="28"/>
                <w:szCs w:val="28"/>
                <w:lang w:val="en-US" w:eastAsia="zh-CN"/>
              </w:rPr>
              <w:t>整合网格员、小区业委会、物业、网格党支部、楼栋长、志愿者、驻网域单位（企业、社会组织等）等多方资源，以网格为单位成立网格共治委员会，建立网格共治共同体。</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color w:val="000000" w:themeColor="text1"/>
                <w:sz w:val="28"/>
                <w:szCs w:val="28"/>
                <w:shd w:val="clear" w:color="auto" w:fill="FFFFFF"/>
                <w:lang w:val="en-US" w:eastAsia="zh-CN"/>
                <w14:textFill>
                  <w14:solidFill>
                    <w14:schemeClr w14:val="tx1"/>
                  </w14:solidFill>
                </w14:textFill>
              </w:rPr>
            </w:pPr>
            <w:r>
              <w:rPr>
                <w:rFonts w:hint="default" w:ascii="Times New Roman" w:hAnsi="Times New Roman" w:eastAsia="楷体_GB2312" w:cs="Times New Roman"/>
                <w:b/>
                <w:bCs/>
                <w:color w:val="000000" w:themeColor="text1"/>
                <w:kern w:val="2"/>
                <w:sz w:val="28"/>
                <w:szCs w:val="28"/>
                <w:shd w:val="clear" w:color="auto" w:fill="FFFFFF"/>
                <w:lang w:val="zh-CN" w:eastAsia="zh-CN" w:bidi="ar-SA"/>
                <w14:textFill>
                  <w14:solidFill>
                    <w14:schemeClr w14:val="tx1"/>
                  </w14:solidFill>
                </w14:textFill>
              </w:rPr>
              <w:t>“两单五微”</w:t>
            </w:r>
            <w:r>
              <w:rPr>
                <w:rFonts w:hint="default" w:ascii="Times New Roman" w:hAnsi="Times New Roman" w:eastAsia="楷体_GB2312" w:cs="Times New Roman"/>
                <w:b/>
                <w:bCs/>
                <w:color w:val="000000" w:themeColor="text1"/>
                <w:kern w:val="2"/>
                <w:sz w:val="28"/>
                <w:szCs w:val="28"/>
                <w:shd w:val="clear" w:color="auto" w:fill="FFFFFF"/>
                <w:lang w:val="en-US" w:eastAsia="zh-CN" w:bidi="ar-SA"/>
                <w14:textFill>
                  <w14:solidFill>
                    <w14:schemeClr w14:val="tx1"/>
                  </w14:solidFill>
                </w14:textFill>
              </w:rPr>
              <w:t>工作模式</w:t>
            </w:r>
            <w:r>
              <w:rPr>
                <w:rFonts w:hint="default" w:ascii="Times New Roman" w:hAnsi="Times New Roman" w:eastAsia="楷体_GB2312" w:cs="Times New Roman"/>
                <w:b/>
                <w:bCs/>
                <w:color w:val="000000" w:themeColor="text1"/>
                <w:kern w:val="2"/>
                <w:sz w:val="28"/>
                <w:szCs w:val="28"/>
                <w:shd w:val="clear" w:color="auto" w:fill="FFFFFF"/>
                <w:lang w:val="zh-CN" w:eastAsia="zh-CN" w:bidi="ar-SA"/>
                <w14:textFill>
                  <w14:solidFill>
                    <w14:schemeClr w14:val="tx1"/>
                  </w14:solidFill>
                </w14:textFill>
              </w:rPr>
              <w:t>。</w:t>
            </w:r>
            <w:r>
              <w:rPr>
                <w:rFonts w:hint="default" w:ascii="Times New Roman" w:hAnsi="Times New Roman" w:eastAsia="仿宋_GB2312" w:cs="Times New Roman"/>
                <w:sz w:val="28"/>
                <w:szCs w:val="28"/>
                <w:lang w:val="zh-CN"/>
              </w:rPr>
              <w:t>摸清社区资源、群众需求“两个清单”，常态化推进微团队、微心愿、微实事、微创投、微网格“五微服务”。</w:t>
            </w:r>
          </w:p>
          <w:p>
            <w:pPr>
              <w:pStyle w:val="14"/>
              <w:keepNext w:val="0"/>
              <w:keepLines w:val="0"/>
              <w:pageBreakBefore w:val="0"/>
              <w:widowControl w:val="0"/>
              <w:kinsoku/>
              <w:wordWrap/>
              <w:overflowPunct/>
              <w:topLinePunct w:val="0"/>
              <w:autoSpaceDE/>
              <w:autoSpaceDN/>
              <w:bidi w:val="0"/>
              <w:adjustRightInd/>
              <w:snapToGrid w:val="0"/>
              <w:spacing w:after="157" w:afterLines="50"/>
              <w:ind w:firstLine="562"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b/>
                <w:bCs/>
                <w:color w:val="000000" w:themeColor="text1"/>
                <w:sz w:val="28"/>
                <w:szCs w:val="28"/>
                <w:shd w:val="clear" w:color="auto" w:fill="FFFFFF"/>
                <w:lang w:val="en-US" w:eastAsia="zh-CN"/>
                <w14:textFill>
                  <w14:solidFill>
                    <w14:schemeClr w14:val="tx1"/>
                  </w14:solidFill>
                </w14:textFill>
              </w:rPr>
              <w:t>“四步工作法”。</w:t>
            </w:r>
            <w:r>
              <w:rPr>
                <w:rFonts w:hint="default" w:ascii="Times New Roman" w:hAnsi="Times New Roman" w:eastAsia="仿宋_GB2312" w:cs="Times New Roman"/>
                <w:sz w:val="28"/>
                <w:szCs w:val="28"/>
                <w:lang w:val="en-US" w:eastAsia="zh-CN"/>
              </w:rPr>
              <w:t>突出问题导向，坚持</w:t>
            </w:r>
            <w:r>
              <w:rPr>
                <w:rFonts w:hint="default" w:ascii="Times New Roman" w:hAnsi="Times New Roman" w:eastAsia="仿宋_GB2312" w:cs="Times New Roman"/>
                <w:sz w:val="28"/>
                <w:szCs w:val="28"/>
                <w:lang w:eastAsia="zh-CN"/>
              </w:rPr>
              <w:t>基层出题、部门答题、联动解题、群众评分</w:t>
            </w:r>
            <w:r>
              <w:rPr>
                <w:rFonts w:hint="default" w:ascii="Times New Roman" w:hAnsi="Times New Roman" w:eastAsia="仿宋_GB2312" w:cs="Times New Roman"/>
                <w:sz w:val="28"/>
                <w:szCs w:val="28"/>
                <w:lang w:val="en-US" w:eastAsia="zh-CN"/>
              </w:rPr>
              <w:t>的工作方法</w:t>
            </w:r>
            <w:r>
              <w:rPr>
                <w:rFonts w:hint="default" w:ascii="Times New Roman" w:hAnsi="Times New Roman" w:eastAsia="仿宋_GB2312" w:cs="Times New Roman"/>
                <w:sz w:val="28"/>
                <w:szCs w:val="28"/>
                <w:lang w:eastAsia="zh-CN"/>
              </w:rPr>
              <w:t>。</w:t>
            </w:r>
          </w:p>
        </w:tc>
      </w:tr>
      <w:bookmarkEnd w:id="146"/>
      <w:bookmarkEnd w:id="147"/>
    </w:tbl>
    <w:p>
      <w:pPr>
        <w:pStyle w:val="2"/>
        <w:keepNext/>
        <w:keepLines/>
        <w:pageBreakBefore w:val="0"/>
        <w:widowControl w:val="0"/>
        <w:numPr>
          <w:ilvl w:val="0"/>
          <w:numId w:val="2"/>
        </w:numPr>
        <w:kinsoku/>
        <w:wordWrap/>
        <w:overflowPunct/>
        <w:topLinePunct w:val="0"/>
        <w:autoSpaceDE/>
        <w:autoSpaceDN/>
        <w:bidi w:val="0"/>
        <w:adjustRightInd/>
        <w:snapToGrid/>
        <w:spacing w:before="469" w:beforeLines="150" w:after="50" w:afterLines="50" w:line="560" w:lineRule="exact"/>
        <w:ind w:left="0" w:leftChars="0" w:firstLine="640" w:firstLineChars="200"/>
        <w:jc w:val="left"/>
        <w:textAlignment w:val="auto"/>
        <w:rPr>
          <w:rFonts w:hint="default" w:ascii="Times New Roman" w:hAnsi="Times New Roman" w:eastAsia="黑体" w:cs="Times New Roman"/>
          <w:b w:val="0"/>
          <w:sz w:val="32"/>
          <w:rtl w:val="0"/>
          <w:lang w:val="en-US" w:eastAsia="zh-CN"/>
        </w:rPr>
      </w:pPr>
      <w:bookmarkStart w:id="149" w:name="_Toc31645"/>
      <w:bookmarkStart w:id="150" w:name="_Toc32141"/>
      <w:r>
        <w:rPr>
          <w:rFonts w:hint="default" w:ascii="Times New Roman" w:hAnsi="Times New Roman" w:eastAsia="黑体" w:cs="Times New Roman"/>
          <w:b w:val="0"/>
          <w:sz w:val="32"/>
          <w:rtl w:val="0"/>
          <w:lang w:val="en-US" w:eastAsia="zh-CN"/>
        </w:rPr>
        <w:t xml:space="preserve">  </w:t>
      </w:r>
      <w:bookmarkStart w:id="151" w:name="_Toc3950"/>
      <w:bookmarkStart w:id="152" w:name="_Toc14099"/>
      <w:r>
        <w:rPr>
          <w:rFonts w:hint="default" w:ascii="Times New Roman" w:hAnsi="Times New Roman" w:eastAsia="黑体" w:cs="Times New Roman"/>
          <w:b w:val="0"/>
          <w:sz w:val="32"/>
          <w:rtl w:val="0"/>
          <w:lang w:val="en-US" w:eastAsia="zh-CN"/>
        </w:rPr>
        <w:t>以增加文化供给提高国民素质  打造文化强区</w:t>
      </w:r>
      <w:bookmarkEnd w:id="151"/>
      <w:bookmarkEnd w:id="152"/>
    </w:p>
    <w:bookmarkEnd w:id="149"/>
    <w:bookmarkEnd w:id="150"/>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坚持马克思主义在意识形态领域的指导地位，坚持以社会主义核心价值观引领文化建设，围绕举旗帜、聚民心、育新人、兴文化、展形象的使命任务，突出以文铸魂、以文兴城，</w:t>
      </w:r>
      <w:r>
        <w:rPr>
          <w:rFonts w:hint="default" w:ascii="Times New Roman" w:hAnsi="Times New Roman" w:eastAsia="仿宋_GB2312" w:cs="Times New Roman"/>
          <w:b w:val="0"/>
          <w:color w:val="000000" w:themeColor="text1"/>
          <w:kern w:val="0"/>
          <w:sz w:val="32"/>
          <w:szCs w:val="32"/>
          <w:shd w:val="clear" w:color="auto" w:fill="FFFFFF"/>
          <w:lang w:val="en-US" w:eastAsia="zh-CN" w:bidi="ar-SA"/>
          <w14:textFill>
            <w14:solidFill>
              <w14:schemeClr w14:val="tx1"/>
            </w14:solidFill>
          </w14:textFill>
        </w:rPr>
        <w:t>推进创新型</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文化强区建设。</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153" w:name="_Toc12248"/>
      <w:bookmarkStart w:id="154" w:name="_Toc32328"/>
      <w:r>
        <w:rPr>
          <w:rFonts w:hint="default" w:ascii="Times New Roman" w:hAnsi="Times New Roman" w:eastAsia="宋体" w:cs="Times New Roman"/>
          <w:sz w:val="32"/>
          <w:rtl w:val="0"/>
          <w:lang w:val="en-US" w:eastAsia="zh-CN"/>
        </w:rPr>
        <w:t>提高社会文明程度</w:t>
      </w:r>
      <w:bookmarkEnd w:id="153"/>
      <w:bookmarkEnd w:id="154"/>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以践行社会主义核心价值观为主题，深入实施铸魂工程和文明创建工程，加强思想道德建设，提高文明城市创建水平，加快形成适应新时代要求的思想观念、精神面貌、文明风尚、行为规范。</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践行社会主义核心价值观。</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深入开展习近平新时代中国特色社会主义思想学习教育，拓展新时代文明实践中心建设，打造网上理论传播矩阵。建设和完善一批社会主义核心价值观主题公园（广场）、主题文化长廊，创作一批反映社会主义核心价值观的优秀文艺作品。依托基层宣传文化阵地和爱国主义教育基地，运用升国旗仪式、成人仪式、入党入团入队仪式等礼仪制度传播核心价值观。利用文化馆、社交软件等搭建社会主义核心价值观学习交流平台，推动社会主义核心价值观融入百姓日常生活，提升社会文明水平、市民思想觉悟、道德水准、文明素养。开展培育践行社会主义核心价值观“主题季”等系列主题活动，引导社会主义核心价值观往深里走、往心里走、往实里走，努力使社会主义核心价值观融入个人行为规范和行业规范、社会治理和家风传承、企业文化中。</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加强思想道德建设。</w:t>
      </w:r>
      <w:r>
        <w:rPr>
          <w:rFonts w:hint="default" w:ascii="Times New Roman" w:hAnsi="Times New Roman" w:eastAsia="仿宋_GB2312" w:cs="Times New Roman"/>
          <w:color w:val="000000" w:themeColor="text1"/>
          <w:kern w:val="0"/>
          <w:sz w:val="32"/>
          <w:szCs w:val="32"/>
          <w:shd w:val="clear" w:color="auto" w:fill="FFFFFF"/>
          <w:lang w:val="en-US" w:eastAsia="zh-CN" w:bidi="ar-SA"/>
          <w14:textFill>
            <w14:solidFill>
              <w14:schemeClr w14:val="tx1"/>
            </w14:solidFill>
          </w14:textFill>
        </w:rPr>
        <w:t>深入贯彻《新时代公民道德建设实施纲要》，全面推进以社会公德、职业道德、家庭美德、个人品德教育为内容的公民道德建设工程，利用道德讲堂和公民道德宣传日、重大纪念日、节庆日活动等，用中华优秀传统文化教育引导人们爱国爱民，推动道德实践养成，构建体现时代特征的社会主义道德观念和行为规范。开展评选“道德模范”“我推荐我评议身边好人”系列活动，设立“瑶海好人”馆、“善行义举好人榜”等，推介先进典型，建立道德模范激励帮扶机制，使“好人有好报”“好人成名人”，示范引领城乡居民见贤思齐，奋发向上。积极开展关心下一代工作，保障青少年健康成长。加强未成年人思想道德建设，以弘扬优秀传统文化为抓手，以孝敬、友善、勤俭、诚信等为主要内容，开展“我们的节日”、“新时代好少年”、“系好人生第一颗扣子”等主题教育活动，加大“美德少年”培育力度。坚决维护青少年文化安全，以“扫黄打非·新风”集中行动为抓手，实施“绿网工程”“净网行动”，及时清除有害青少年健康成长的网络信息和垃圾，净化网络空间。</w:t>
      </w:r>
    </w:p>
    <w:p>
      <w:pPr>
        <w:pStyle w:val="5"/>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提高文明城市创建水平。</w:t>
      </w:r>
      <w:r>
        <w:rPr>
          <w:rFonts w:hint="default" w:ascii="Times New Roman" w:hAnsi="Times New Roman" w:eastAsia="仿宋_GB2312" w:cs="Times New Roman"/>
          <w:color w:val="000000" w:themeColor="text1"/>
          <w:kern w:val="0"/>
          <w:sz w:val="32"/>
          <w:szCs w:val="32"/>
          <w:shd w:val="clear" w:color="auto" w:fill="FFFFFF"/>
          <w:lang w:val="en-US" w:eastAsia="zh-CN" w:bidi="ar-SA"/>
          <w14:textFill>
            <w14:solidFill>
              <w14:schemeClr w14:val="tx1"/>
            </w14:solidFill>
          </w14:textFill>
        </w:rPr>
        <w:t>牢牢抓住市民素质提升这一根本目的，进一步激发广大市民的主人翁意识、家园情怀。深化以“全民参与、共建联创”为宗旨，建立文明创建常态长效机制，动员全社会多元主体从自身做起，创建一批文明行业、文明单位。深入推进文明创建与基层社区治理相结合，将文明创建融入社区治理“1＋8”体系机制，推进“城市管理补短板，文明创建再出发”专项行动和小单车、小区、小街巷、小犬只、小广告、小报亭、小行为“七小”专项提升工程。推进文明社区创建，评选文明家庭、星级文明户，建设和谐社区、美好家庭。开展节俭养德全民节约行动，倡导勤劳节俭、文明健康的社会风尚。探索“党建+志愿服务+社会治理”新模式，完善区级文明实践志愿服务信息平台，升级区、街志愿服务中心服务功能，壮大文明实践志愿服务队伍。</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155" w:name="_Toc530"/>
      <w:bookmarkStart w:id="156" w:name="_Toc20729"/>
      <w:r>
        <w:rPr>
          <w:rFonts w:hint="default" w:ascii="Times New Roman" w:hAnsi="Times New Roman" w:eastAsia="宋体" w:cs="Times New Roman"/>
          <w:sz w:val="32"/>
          <w:rtl w:val="0"/>
          <w:lang w:val="en-US" w:eastAsia="zh-CN"/>
        </w:rPr>
        <w:t>增加优质文化供给</w:t>
      </w:r>
      <w:bookmarkEnd w:id="155"/>
      <w:bookmarkEnd w:id="15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shd w:val="clear" w:color="auto" w:fill="FFFFFF"/>
          <w:rtl w:val="0"/>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32"/>
          <w:szCs w:val="32"/>
          <w:shd w:val="clear" w:color="auto" w:fill="FFFFFF"/>
          <w:rtl w:val="0"/>
          <w:lang w:val="en-US" w:eastAsia="zh-CN" w:bidi="ar-SA"/>
          <w14:textFill>
            <w14:solidFill>
              <w14:schemeClr w14:val="tx1"/>
            </w14:solidFill>
          </w14:textFill>
        </w:rPr>
        <w:t>统筹基本公共文化服务设施布局，合理配置公共文化资源，进一步完善公共文化设施建设，强化文化服务供需对接，满足人民群众不断增长的精神文化需要。</w:t>
      </w:r>
    </w:p>
    <w:p>
      <w:pPr>
        <w:pStyle w:val="7"/>
        <w:keepNext w:val="0"/>
        <w:keepLines w:val="0"/>
        <w:pageBreakBefore w:val="0"/>
        <w:widowControl w:val="0"/>
        <w:kinsoku/>
        <w:overflowPunct/>
        <w:autoSpaceDE/>
        <w:autoSpaceDN/>
        <w:bidi w:val="0"/>
        <w:adjustRightInd/>
        <w:snapToGrid/>
        <w:spacing w:line="560" w:lineRule="exact"/>
        <w:textAlignment w:val="auto"/>
        <w:rPr>
          <w:rFonts w:hint="default" w:ascii="Times New Roman" w:hAnsi="Times New Roman" w:cs="Times New Roman"/>
          <w:rtl w:val="0"/>
          <w:lang w:val="en-US" w:eastAsia="zh-CN"/>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完善基层公共文化设施。</w:t>
      </w:r>
      <w:r>
        <w:rPr>
          <w:rFonts w:hint="default" w:ascii="Times New Roman" w:hAnsi="Times New Roman" w:eastAsia="仿宋_GB2312" w:cs="Times New Roman"/>
          <w:color w:val="000000" w:themeColor="text1"/>
          <w:kern w:val="0"/>
          <w:sz w:val="32"/>
          <w:szCs w:val="32"/>
          <w:shd w:val="clear" w:color="auto" w:fill="FFFFFF"/>
          <w:rtl w:val="0"/>
          <w:lang w:val="en-US" w:eastAsia="zh-CN" w:bidi="ar-SA"/>
          <w14:textFill>
            <w14:solidFill>
              <w14:schemeClr w14:val="tx1"/>
            </w14:solidFill>
          </w14:textFill>
        </w:rPr>
        <w:t>继续深化以区文化馆为总馆、综合文化站为分馆、社区综合文化服务中心为支馆的层级联动服务模式，完善“一个总馆+多个分馆+若干个支馆”的三级公共文化服务网络，打通公共文化服务“最后一公里”。推进近现代工业博物馆</w:t>
      </w:r>
      <w:r>
        <w:rPr>
          <w:rFonts w:hint="eastAsia" w:ascii="Times New Roman" w:hAnsi="Times New Roman" w:eastAsia="仿宋_GB2312" w:cs="Times New Roman"/>
          <w:color w:val="000000" w:themeColor="text1"/>
          <w:kern w:val="0"/>
          <w:sz w:val="32"/>
          <w:szCs w:val="32"/>
          <w:shd w:val="clear" w:color="auto" w:fill="FFFFFF"/>
          <w:rtl w:val="0"/>
          <w:lang w:val="en-US" w:eastAsia="zh-CN" w:bidi="ar-SA"/>
          <w14:textFill>
            <w14:solidFill>
              <w14:schemeClr w14:val="tx1"/>
            </w14:solidFill>
          </w14:textFill>
        </w:rPr>
        <w:t>等重大文化设施项目</w:t>
      </w:r>
      <w:r>
        <w:rPr>
          <w:rFonts w:hint="default" w:ascii="Times New Roman" w:hAnsi="Times New Roman" w:eastAsia="仿宋_GB2312" w:cs="Times New Roman"/>
          <w:color w:val="000000" w:themeColor="text1"/>
          <w:kern w:val="0"/>
          <w:sz w:val="32"/>
          <w:szCs w:val="32"/>
          <w:shd w:val="clear" w:color="auto" w:fill="FFFFFF"/>
          <w:rtl w:val="0"/>
          <w:lang w:val="en-US" w:eastAsia="zh-CN" w:bidi="ar-SA"/>
          <w14:textFill>
            <w14:solidFill>
              <w14:schemeClr w14:val="tx1"/>
            </w14:solidFill>
          </w14:textFill>
        </w:rPr>
        <w:t>建设，全面提升文化服务功能。实施全媒体传播工程，构建全媒体传播体系，打造新型主流媒体，推动融媒体中心提质增效。继续加大对基层文化发展的扶持力度，统筹街镇开发区文化基础设施建设。加快建设市妇女儿童活动中心、区图书馆和各街道文化分馆等项目，推进社区公共文化设施与新开发小区同步规划、同步建设，充分满足群众文化需求。加强市青少年活动中心和留守儿童活动室等未成年人活动场所建设。实施瑶海区地方特色文化资源数据库建设工程，依托“安徽省公共文化云平台”，建设“数字图书馆”、“数字文化馆”，开拓居民文化生活新方式。</w:t>
      </w:r>
    </w:p>
    <w:p>
      <w:pPr>
        <w:keepNext w:val="0"/>
        <w:keepLines w:val="0"/>
        <w:pageBreakBefore w:val="0"/>
        <w:widowControl w:val="0"/>
        <w:kinsoku/>
        <w:overflowPunct/>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kern w:val="0"/>
          <w:sz w:val="32"/>
          <w:szCs w:val="32"/>
          <w:shd w:val="clear" w:color="auto" w:fill="FFFFFF"/>
          <w:rtl w:val="0"/>
          <w:lang w:val="en-US" w:eastAsia="zh-CN" w:bidi="ar-SA"/>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提升公共文化共建共享水平。</w:t>
      </w:r>
      <w:r>
        <w:rPr>
          <w:rFonts w:hint="default" w:ascii="Times New Roman" w:hAnsi="Times New Roman" w:eastAsia="仿宋_GB2312" w:cs="Times New Roman"/>
          <w:color w:val="000000" w:themeColor="text1"/>
          <w:kern w:val="0"/>
          <w:sz w:val="32"/>
          <w:szCs w:val="32"/>
          <w:shd w:val="clear" w:color="auto" w:fill="FFFFFF"/>
          <w:rtl w:val="0"/>
          <w:lang w:val="en-US" w:eastAsia="zh-CN" w:bidi="ar-SA"/>
          <w14:textFill>
            <w14:solidFill>
              <w14:schemeClr w14:val="tx1"/>
            </w14:solidFill>
          </w14:textFill>
        </w:rPr>
        <w:t>坚持政府主导、社会参与，发挥国有文化事业单位在城乡公共文化服务供给中的主渠道作用。完善免费开放经费保障机制，推进各城市阅读空间等文化场馆免费开放。加快建立国有文化机构和企事业单位文化资源的共建共享机制，支持社会各类文化机构参与提供公共文化产品和服务，吸引城乡居民参与到公共文化建设中来，健全公共文化参与机制，促进公共文化服务社会化、市场化、多元化。</w:t>
      </w:r>
    </w:p>
    <w:p>
      <w:pPr>
        <w:keepNext w:val="0"/>
        <w:keepLines w:val="0"/>
        <w:pageBreakBefore w:val="0"/>
        <w:widowControl w:val="0"/>
        <w:kinsoku/>
        <w:overflowPunct/>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FF"/>
          <w:sz w:val="32"/>
          <w:szCs w:val="32"/>
          <w:shd w:val="clear" w:color="auto" w:fill="FFFFFF"/>
          <w:lang w:val="en-US" w:eastAsia="zh-CN"/>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开展丰富多彩的文化活动。</w:t>
      </w:r>
      <w:r>
        <w:rPr>
          <w:rFonts w:hint="default" w:ascii="Times New Roman" w:hAnsi="Times New Roman" w:eastAsia="仿宋_GB2312" w:cs="Times New Roman"/>
          <w:color w:val="000000" w:themeColor="text1"/>
          <w:kern w:val="0"/>
          <w:sz w:val="32"/>
          <w:szCs w:val="32"/>
          <w:shd w:val="clear" w:color="auto" w:fill="FFFFFF"/>
          <w:rtl w:val="0"/>
          <w:lang w:val="en-US" w:eastAsia="zh-CN" w:bidi="ar-SA"/>
          <w14:textFill>
            <w14:solidFill>
              <w14:schemeClr w14:val="tx1"/>
            </w14:solidFill>
          </w14:textFill>
        </w:rPr>
        <w:t>把群众需要不需要、满意不满意作为发展公共文化服务的出发点、落脚点，根据城乡居民生产生活规律和对服务时间地点、内容方式的真实期盼，提高文化服务供给的精准性。</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加强</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区文化馆</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和各</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分馆</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的</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文化</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活动组织和创新功能，</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全面承担文化艺术辅导培训、文化活动实施、文化项目承办、文化精品创作、特色文化建设等职能。培育、挑选精品节目参加省市文艺会演比赛、合肥市“玉兰杯”戏曲大赛、合肥市全民文化活动季、文化进万家等活动。</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持续推进文化惠民工程。</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常态化举办“社区大舞台”专场文艺演出、“梨园风采展”社区戏曲展、经典电影进社区、“书香瑶海”全民阅读月等特色文化活动，</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让群众共享文化成果</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p>
    <w:p>
      <w:pPr>
        <w:keepNext w:val="0"/>
        <w:keepLines w:val="0"/>
        <w:pageBreakBefore w:val="0"/>
        <w:widowControl w:val="0"/>
        <w:kinsoku/>
        <w:overflowPunct/>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打造特色文化品牌。</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围绕老工业基地、安徽时尚街区、“一里三公”墓等资源，</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充分挖掘</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工业文化、时尚文化、历史文化等文化</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底蕴和内涵，</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推进</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创作</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一批</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精品化、富有原创力的</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特色</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文化产品，形成一批精品力作。推动</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文化主体</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提升品质、扩大影响，积极参选、参评国家</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和省市</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级重大赛事和重点节展活动。引进和举办一批具有影响力的特色品牌活动，支持时尚产品“首发”、精品剧目“首演”、艺术作品“首展”，搭建多元文化交流平台，扩大品牌影响力。充分利用互联网的优势，整合</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全区</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文化旅游景点</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和特色文化品牌</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，进行产品包装、文化设计、品牌营销等运作，提高传播速度</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和广度，提升知名度。</w:t>
      </w:r>
    </w:p>
    <w:p>
      <w:pPr>
        <w:keepNext w:val="0"/>
        <w:keepLines w:val="0"/>
        <w:pageBreakBefore w:val="0"/>
        <w:widowControl w:val="0"/>
        <w:kinsoku/>
        <w:overflowPunct/>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bookmarkStart w:id="157" w:name="_Toc24401"/>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加强文化遗产保护利用。</w:t>
      </w:r>
      <w:bookmarkEnd w:id="157"/>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保护历史文物资源，推进非物质文化遗产项目保护和传承，建设完备的文化遗产保护传承体系。整合、保护和利用好我区各类非物质文化遗产，开展</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非遗</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作品展、</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非遗</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进校园、</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非遗</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手工</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体验</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等</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活动</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支持非物质文化遗产传承机构开展保护性活动、宣传推介活动，推动非遗项目的活态传承、体验与传播，提高保护传承水平，促进瑶海区非物质文化遗产保护事业深入发展。加大对非物质文化遗产代表性传承人的扶持力度，实施非物质文化遗产传承人群培训计划，加强传承人梯队建设。</w:t>
      </w:r>
    </w:p>
    <w:p>
      <w:pPr>
        <w:pStyle w:val="2"/>
        <w:keepNext/>
        <w:keepLines/>
        <w:pageBreakBefore w:val="0"/>
        <w:widowControl w:val="0"/>
        <w:numPr>
          <w:ilvl w:val="0"/>
          <w:numId w:val="2"/>
        </w:numPr>
        <w:kinsoku/>
        <w:wordWrap/>
        <w:overflowPunct/>
        <w:topLinePunct w:val="0"/>
        <w:autoSpaceDE/>
        <w:autoSpaceDN/>
        <w:bidi w:val="0"/>
        <w:adjustRightInd/>
        <w:snapToGrid/>
        <w:spacing w:before="313" w:beforeLines="100" w:after="50" w:afterLines="50" w:line="560" w:lineRule="exact"/>
        <w:ind w:left="0" w:leftChars="0" w:firstLine="640" w:firstLineChars="200"/>
        <w:jc w:val="left"/>
        <w:textAlignment w:val="auto"/>
        <w:rPr>
          <w:rFonts w:hint="default" w:ascii="Times New Roman" w:hAnsi="Times New Roman" w:eastAsia="黑体" w:cs="Times New Roman"/>
          <w:b w:val="0"/>
          <w:sz w:val="32"/>
          <w:rtl w:val="0"/>
          <w:lang w:val="en-US" w:eastAsia="zh-CN"/>
        </w:rPr>
      </w:pPr>
      <w:bookmarkStart w:id="158" w:name="_Toc3785"/>
      <w:r>
        <w:rPr>
          <w:rFonts w:hint="default" w:ascii="Times New Roman" w:hAnsi="Times New Roman" w:eastAsia="黑体" w:cs="Times New Roman"/>
          <w:b w:val="0"/>
          <w:sz w:val="32"/>
          <w:rtl w:val="0"/>
          <w:lang w:val="en-US" w:eastAsia="zh-CN"/>
        </w:rPr>
        <w:t xml:space="preserve">  </w:t>
      </w:r>
      <w:bookmarkStart w:id="159" w:name="_Toc10030"/>
      <w:bookmarkStart w:id="160" w:name="_Toc11498"/>
      <w:r>
        <w:rPr>
          <w:rFonts w:hint="default" w:ascii="Times New Roman" w:hAnsi="Times New Roman" w:eastAsia="黑体" w:cs="Times New Roman"/>
          <w:b w:val="0"/>
          <w:sz w:val="32"/>
          <w:rtl w:val="0"/>
          <w:lang w:val="en-US" w:eastAsia="zh-CN"/>
        </w:rPr>
        <w:t>以改善生态环境质量践行绿色发展理念  打造美丽瑶海</w:t>
      </w:r>
      <w:bookmarkEnd w:id="159"/>
      <w:bookmarkEnd w:id="160"/>
    </w:p>
    <w:bookmarkEnd w:id="158"/>
    <w:p>
      <w:pPr>
        <w:pStyle w:val="25"/>
        <w:pageBreakBefore w:val="0"/>
        <w:kinsoku/>
        <w:overflowPunct/>
        <w:autoSpaceDE/>
        <w:autoSpaceDN/>
        <w:bidi w:val="0"/>
        <w:adjustRightInd/>
        <w:spacing w:line="560" w:lineRule="exact"/>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坚持绿水青山就是金山银山理念，深入实施可持续发展战略，严格落实“三线一单”保护制度，</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推动建设环巢湖生态示范区</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加快生产生活方式绿色转型步伐，</w:t>
      </w:r>
      <w:r>
        <w:rPr>
          <w:rFonts w:hint="default" w:ascii="Times New Roman" w:hAnsi="Times New Roman" w:eastAsia="仿宋_GB2312" w:cs="Times New Roman"/>
          <w:color w:val="000000" w:themeColor="text1"/>
          <w:sz w:val="32"/>
          <w:szCs w:val="32"/>
          <w14:textFill>
            <w14:solidFill>
              <w14:schemeClr w14:val="tx1"/>
            </w14:solidFill>
          </w14:textFill>
        </w:rPr>
        <w:t>构建生态文明体系，建设人与自然和谐共生的现代化</w:t>
      </w:r>
      <w:r>
        <w:rPr>
          <w:rFonts w:hint="eastAsia" w:eastAsia="仿宋_GB2312" w:cs="Times New Roman"/>
          <w:color w:val="000000" w:themeColor="text1"/>
          <w:sz w:val="32"/>
          <w:szCs w:val="32"/>
          <w:lang w:val="en-US" w:eastAsia="zh-CN"/>
          <w14:textFill>
            <w14:solidFill>
              <w14:schemeClr w14:val="tx1"/>
            </w14:solidFill>
          </w14:textFill>
        </w:rPr>
        <w:t>瑶海</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3"/>
        <w:keepNext w:val="0"/>
        <w:keepLines w:val="0"/>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bookmarkStart w:id="161" w:name="_Toc19885"/>
      <w:bookmarkStart w:id="162" w:name="_Toc16818"/>
      <w:r>
        <w:rPr>
          <w:rFonts w:hint="default" w:ascii="Times New Roman" w:hAnsi="Times New Roman" w:eastAsia="宋体" w:cs="Times New Roman"/>
          <w:sz w:val="32"/>
          <w:rtl w:val="0"/>
          <w:lang w:val="en-US" w:eastAsia="zh-CN"/>
        </w:rPr>
        <w:t xml:space="preserve"> </w:t>
      </w:r>
      <w:bookmarkStart w:id="163" w:name="_Toc30266"/>
      <w:bookmarkStart w:id="164" w:name="_Toc498"/>
      <w:r>
        <w:rPr>
          <w:rFonts w:hint="default" w:ascii="Times New Roman" w:hAnsi="Times New Roman" w:eastAsia="宋体" w:cs="Times New Roman"/>
          <w:sz w:val="32"/>
          <w:rtl w:val="0"/>
          <w:lang w:val="en-US" w:eastAsia="zh-CN"/>
        </w:rPr>
        <w:t>改善生态环境质量</w:t>
      </w:r>
      <w:bookmarkEnd w:id="163"/>
      <w:bookmarkEnd w:id="164"/>
    </w:p>
    <w:bookmarkEnd w:id="161"/>
    <w:bookmarkEnd w:id="162"/>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组织实施生态环境提升工程，坚决打好碧水、蓝天、净土三大攻坚战，落实</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河长制</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排长制</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林长制</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等工作体系，构建大环保工作格局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全力打赢蓝天保卫战。</w:t>
      </w:r>
      <w:r>
        <w:rPr>
          <w:rFonts w:hint="default" w:ascii="Times New Roman" w:hAnsi="Times New Roman" w:eastAsia="仿宋_GB2312" w:cs="Times New Roman"/>
          <w:color w:val="000000" w:themeColor="text1"/>
          <w:sz w:val="32"/>
          <w:szCs w:val="32"/>
          <w14:textFill>
            <w14:solidFill>
              <w14:schemeClr w14:val="tx1"/>
            </w14:solidFill>
          </w14:textFill>
        </w:rPr>
        <w:t>以空气质量网格化监管平台和各街、镇、开发区大气小型监测站为依托，实时检测，准确判断，迅速处置。强化道路洒水降尘、建筑工地喷淋降尘、拆建及慢行系统改造湿法作业，落实秋冬季重污染天气应急管控预案，建立联合执法长效机制。充分发挥部门主管职责，落实属地主体责任，网格化严控秸秆、垃圾焚烧等污染点源</w:t>
      </w:r>
      <w:r>
        <w:rPr>
          <w:rFonts w:hint="eastAsia"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严格落实24小时值班巡查制度，建立考核长效机制，进一步实现空气质量持续改善。全面落实大气污染防治日巡查、周通报、月调度，严格落实巡查曝光整改销号机制。</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十四五</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期间，</w:t>
      </w:r>
      <w:r>
        <w:rPr>
          <w:rFonts w:hint="default" w:ascii="Times New Roman" w:hAnsi="Times New Roman" w:eastAsia="仿宋_GB2312" w:cs="Times New Roman"/>
          <w:color w:val="000000" w:themeColor="text1"/>
          <w:sz w:val="32"/>
          <w:szCs w:val="32"/>
          <w14:textFill>
            <w14:solidFill>
              <w14:schemeClr w14:val="tx1"/>
            </w14:solidFill>
          </w14:textFill>
        </w:rPr>
        <w:t>空气</w:t>
      </w:r>
      <w:r>
        <w:rPr>
          <w:rFonts w:hint="eastAsia" w:eastAsia="仿宋_GB2312" w:cs="Times New Roman"/>
          <w:color w:val="000000" w:themeColor="text1"/>
          <w:sz w:val="32"/>
          <w:szCs w:val="32"/>
          <w:lang w:val="en-US" w:eastAsia="zh-CN"/>
          <w14:textFill>
            <w14:solidFill>
              <w14:schemeClr w14:val="tx1"/>
            </w14:solidFill>
          </w14:textFill>
        </w:rPr>
        <w:t>质量</w:t>
      </w:r>
      <w:r>
        <w:rPr>
          <w:rFonts w:hint="default" w:ascii="Times New Roman" w:hAnsi="Times New Roman" w:eastAsia="仿宋_GB2312" w:cs="Times New Roman"/>
          <w:color w:val="000000" w:themeColor="text1"/>
          <w:sz w:val="32"/>
          <w:szCs w:val="32"/>
          <w14:textFill>
            <w14:solidFill>
              <w14:schemeClr w14:val="tx1"/>
            </w14:solidFill>
          </w14:textFill>
        </w:rPr>
        <w:t>优良天数比率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明显提高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深入落实碧水攻坚战。</w:t>
      </w:r>
      <w:r>
        <w:rPr>
          <w:rFonts w:hint="default" w:ascii="Times New Roman" w:hAnsi="Times New Roman" w:eastAsia="仿宋_GB2312" w:cs="Times New Roman"/>
          <w:color w:val="000000" w:themeColor="text1"/>
          <w:sz w:val="32"/>
          <w:szCs w:val="32"/>
          <w14:textFill>
            <w14:solidFill>
              <w14:schemeClr w14:val="tx1"/>
            </w14:solidFill>
          </w14:textFill>
        </w:rPr>
        <w:t>坚持以水质改善为目标，全面落实河长常态巡查机制等</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zh-CN"/>
          <w14:textFill>
            <w14:solidFill>
              <w14:schemeClr w14:val="tx1"/>
            </w14:solidFill>
          </w14:textFill>
        </w:rPr>
        <w:t>五</w:t>
      </w:r>
      <w:r>
        <w:rPr>
          <w:rFonts w:hint="default" w:ascii="Times New Roman" w:hAnsi="Times New Roman" w:eastAsia="仿宋_GB2312" w:cs="Times New Roman"/>
          <w:color w:val="000000" w:themeColor="text1"/>
          <w:sz w:val="32"/>
          <w:szCs w:val="32"/>
          <w14:textFill>
            <w14:solidFill>
              <w14:schemeClr w14:val="tx1"/>
            </w14:solidFill>
          </w14:textFill>
        </w:rPr>
        <w:t>项机制</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，不断完善河长制工作体系。</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全面推进辖区内雨污混接普查和整改力度，督促企事业单位履行内部雨污混接整改主体责任。加强菜市场、专业市场、老旧小区等雨污分流整治，完善雨污排水管网体系，实施一批水体达标整治工程。发挥各级河长巡河职责，建立高效有力的问题</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纠查</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、解决机制，真正实现从“环境面貌巡河”到“查工程查水质”的转变，确保二十埠河、南淝河水质持续稳定达标。</w:t>
      </w:r>
      <w:r>
        <w:rPr>
          <w:rFonts w:hint="default" w:ascii="Times New Roman" w:hAnsi="Times New Roman" w:eastAsia="仿宋_GB2312" w:cs="Times New Roman"/>
          <w:color w:val="000000" w:themeColor="text1"/>
          <w:sz w:val="32"/>
          <w:szCs w:val="32"/>
          <w14:textFill>
            <w14:solidFill>
              <w14:schemeClr w14:val="tx1"/>
            </w14:solidFill>
          </w14:textFill>
        </w:rPr>
        <w:t>加强水质监测预警，</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提高水质监测预警分析能力，密切关注河流水质变化情况，及时分析原因、明确责任，强化执法监督。加强与上下游、市级部门对接，争取政策支持和资金保障。到2025年，地表水达到或好于ш类水体比例明显提高。</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color w:val="000000" w:themeColor="text1"/>
          <w:kern w:val="0"/>
          <w:sz w:val="32"/>
          <w:szCs w:val="32"/>
          <w:highlight w:val="none"/>
          <w:shd w:val="clear" w:color="auto" w:fill="FFFFFF"/>
          <w:rtl w:val="0"/>
          <w:lang w:val="en-US" w:eastAsia="zh-CN" w:bidi="ar-SA"/>
          <w14:textFill>
            <w14:solidFill>
              <w14:schemeClr w14:val="tx1"/>
            </w14:solidFill>
          </w14:textFill>
        </w:rPr>
        <w:t>扎实推进净土持久战。</w:t>
      </w:r>
      <w:r>
        <w:rPr>
          <w:rFonts w:hint="default" w:ascii="Times New Roman" w:hAnsi="Times New Roman" w:eastAsia="仿宋_GB2312" w:cs="Times New Roman"/>
          <w:color w:val="000000" w:themeColor="text1"/>
          <w:sz w:val="32"/>
          <w:szCs w:val="32"/>
          <w14:textFill>
            <w14:solidFill>
              <w14:schemeClr w14:val="tx1"/>
            </w14:solidFill>
          </w14:textFill>
        </w:rPr>
        <w:t>坚持以污染治理为突破，协助推动各类生态修复项目，建立土壤污染防治新机制。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深入</w:t>
      </w:r>
      <w:r>
        <w:rPr>
          <w:rFonts w:hint="default" w:ascii="Times New Roman" w:hAnsi="Times New Roman" w:eastAsia="仿宋_GB2312" w:cs="Times New Roman"/>
          <w:color w:val="000000" w:themeColor="text1"/>
          <w:sz w:val="32"/>
          <w:szCs w:val="32"/>
          <w14:textFill>
            <w14:solidFill>
              <w14:schemeClr w14:val="tx1"/>
            </w14:solidFill>
          </w14:textFill>
        </w:rPr>
        <w:t>落实土壤环境保护措施，夯实土壤污染防治监管责任，推进土地安全使用。加强在产企业土壤污染防治，强化未污染土壤保护，深入推进重金属污染防治，持续加大固体废物环境监管。</w:t>
      </w:r>
    </w:p>
    <w:tbl>
      <w:tblPr>
        <w:tblStyle w:val="20"/>
        <w:tblpPr w:leftFromText="180" w:rightFromText="180" w:vertAnchor="text" w:horzAnchor="page" w:tblpX="1805" w:tblpY="302"/>
        <w:tblOverlap w:val="never"/>
        <w:tblW w:w="8305" w:type="dxa"/>
        <w:tblInd w:w="0" w:type="dxa"/>
        <w:shd w:val="clear" w:color="auto" w:fill="auto"/>
        <w:tblLayout w:type="fixed"/>
        <w:tblCellMar>
          <w:top w:w="0" w:type="dxa"/>
          <w:left w:w="0" w:type="dxa"/>
          <w:bottom w:w="0" w:type="dxa"/>
          <w:right w:w="0" w:type="dxa"/>
        </w:tblCellMar>
      </w:tblPr>
      <w:tblGrid>
        <w:gridCol w:w="8305"/>
      </w:tblGrid>
      <w:tr>
        <w:tblPrEx>
          <w:shd w:val="clear" w:color="auto" w:fill="auto"/>
          <w:tblCellMar>
            <w:top w:w="0" w:type="dxa"/>
            <w:left w:w="0" w:type="dxa"/>
            <w:bottom w:w="0" w:type="dxa"/>
            <w:right w:w="0" w:type="dxa"/>
          </w:tblCellMar>
        </w:tblPrEx>
        <w:trPr>
          <w:trHeight w:val="567" w:hRule="atLeast"/>
        </w:trPr>
        <w:tc>
          <w:tcPr>
            <w:tcW w:w="830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ind w:left="0" w:leftChars="0" w:firstLine="397" w:firstLineChars="0"/>
              <w:jc w:val="center"/>
              <w:textAlignment w:val="auto"/>
              <w:outlineLvl w:val="2"/>
              <w:rPr>
                <w:rFonts w:hint="default" w:ascii="Times New Roman" w:hAnsi="Times New Roman" w:eastAsia="宋体" w:cs="Times New Roman"/>
                <w:i w:val="0"/>
                <w:color w:val="000000"/>
                <w:sz w:val="22"/>
                <w:szCs w:val="22"/>
                <w:u w:val="none"/>
              </w:rPr>
            </w:pPr>
            <w:bookmarkStart w:id="165" w:name="_Toc31507"/>
            <w:r>
              <w:rPr>
                <w:rFonts w:hint="default" w:ascii="Times New Roman" w:hAnsi="Times New Roman" w:eastAsia="黑体" w:cs="Times New Roman"/>
                <w:b w:val="0"/>
                <w:bCs w:val="0"/>
                <w:i w:val="0"/>
                <w:color w:val="000000"/>
                <w:sz w:val="30"/>
                <w:szCs w:val="30"/>
                <w:u w:val="none"/>
                <w:lang w:val="en-US" w:eastAsia="zh-CN"/>
              </w:rPr>
              <w:t>生态</w:t>
            </w:r>
            <w:r>
              <w:rPr>
                <w:rFonts w:hint="default" w:ascii="Times New Roman" w:hAnsi="Times New Roman" w:eastAsia="黑体" w:cs="Times New Roman"/>
                <w:b w:val="0"/>
                <w:bCs w:val="0"/>
                <w:i w:val="0"/>
                <w:color w:val="000000"/>
                <w:sz w:val="30"/>
                <w:szCs w:val="30"/>
                <w:u w:val="none"/>
              </w:rPr>
              <w:t>环境治理</w:t>
            </w:r>
            <w:r>
              <w:rPr>
                <w:rFonts w:hint="default" w:ascii="Times New Roman" w:hAnsi="Times New Roman" w:eastAsia="黑体" w:cs="Times New Roman"/>
                <w:b w:val="0"/>
                <w:bCs w:val="0"/>
                <w:i w:val="0"/>
                <w:color w:val="000000"/>
                <w:sz w:val="30"/>
                <w:szCs w:val="30"/>
                <w:u w:val="none"/>
                <w:lang w:val="en-US" w:eastAsia="zh-CN"/>
              </w:rPr>
              <w:t>重大</w:t>
            </w:r>
            <w:r>
              <w:rPr>
                <w:rFonts w:hint="default" w:ascii="Times New Roman" w:hAnsi="Times New Roman" w:eastAsia="黑体" w:cs="Times New Roman"/>
                <w:b w:val="0"/>
                <w:bCs w:val="0"/>
                <w:i w:val="0"/>
                <w:color w:val="000000"/>
                <w:sz w:val="30"/>
                <w:szCs w:val="30"/>
                <w:u w:val="none"/>
              </w:rPr>
              <w:t>工程项目</w:t>
            </w:r>
            <w:bookmarkEnd w:id="165"/>
          </w:p>
        </w:tc>
      </w:tr>
      <w:tr>
        <w:tblPrEx>
          <w:tblCellMar>
            <w:top w:w="0" w:type="dxa"/>
            <w:left w:w="0" w:type="dxa"/>
            <w:bottom w:w="0" w:type="dxa"/>
            <w:right w:w="0" w:type="dxa"/>
          </w:tblCellMar>
        </w:tblPrEx>
        <w:trPr>
          <w:trHeight w:val="567" w:hRule="atLeast"/>
        </w:trPr>
        <w:tc>
          <w:tcPr>
            <w:tcW w:w="830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line="440" w:lineRule="exact"/>
              <w:ind w:firstLine="562" w:firstLineChars="200"/>
              <w:textAlignment w:val="auto"/>
              <w:rPr>
                <w:rFonts w:hint="default" w:ascii="Times New Roman" w:hAnsi="Times New Roman" w:eastAsia="仿宋_GB2312" w:cs="Times New Roman"/>
                <w:b w:val="0"/>
                <w:bCs w:val="0"/>
                <w:sz w:val="28"/>
                <w:szCs w:val="36"/>
                <w:vertAlign w:val="baseline"/>
                <w:lang w:val="en-US" w:eastAsia="zh-CN"/>
              </w:rPr>
            </w:pPr>
            <w:r>
              <w:rPr>
                <w:rFonts w:hint="default" w:ascii="Times New Roman" w:hAnsi="Times New Roman" w:eastAsia="楷体_GB2312" w:cs="Times New Roman"/>
                <w:b/>
                <w:bCs/>
                <w:sz w:val="28"/>
                <w:szCs w:val="36"/>
                <w:vertAlign w:val="baseline"/>
                <w:lang w:val="en-US" w:eastAsia="zh-CN"/>
              </w:rPr>
              <w:t>大气污染综合治理项目。</w:t>
            </w:r>
            <w:r>
              <w:rPr>
                <w:rFonts w:hint="default" w:ascii="Times New Roman" w:hAnsi="Times New Roman" w:eastAsia="仿宋_GB2312" w:cs="Times New Roman"/>
                <w:b w:val="0"/>
                <w:bCs w:val="0"/>
                <w:sz w:val="28"/>
                <w:szCs w:val="36"/>
                <w:vertAlign w:val="baseline"/>
                <w:lang w:val="en-US" w:eastAsia="zh-CN"/>
              </w:rPr>
              <w:t>完成瑶海区乡镇（街道）大气小型标准站项目建设，将采集到的数据传输到智能环保平台，实现对空气质量的实时监测和远程监控。</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default" w:ascii="Times New Roman" w:hAnsi="Times New Roman" w:eastAsia="仿宋_GB2312" w:cs="Times New Roman"/>
                <w:b w:val="0"/>
                <w:bCs w:val="0"/>
                <w:sz w:val="28"/>
                <w:szCs w:val="36"/>
                <w:vertAlign w:val="baseline"/>
                <w:lang w:val="en-US" w:eastAsia="zh-CN"/>
              </w:rPr>
            </w:pPr>
            <w:r>
              <w:rPr>
                <w:rFonts w:hint="default" w:ascii="Times New Roman" w:hAnsi="Times New Roman" w:eastAsia="楷体_GB2312" w:cs="Times New Roman"/>
                <w:b/>
                <w:bCs/>
                <w:sz w:val="28"/>
                <w:szCs w:val="36"/>
                <w:vertAlign w:val="baseline"/>
                <w:lang w:val="en-US" w:eastAsia="zh-CN"/>
              </w:rPr>
              <w:t>水环境综合治理工程。</w:t>
            </w:r>
            <w:r>
              <w:rPr>
                <w:rFonts w:hint="default" w:ascii="Times New Roman" w:hAnsi="Times New Roman" w:eastAsia="仿宋_GB2312" w:cs="Times New Roman"/>
                <w:b w:val="0"/>
                <w:bCs w:val="0"/>
                <w:sz w:val="28"/>
                <w:szCs w:val="36"/>
                <w:vertAlign w:val="baseline"/>
                <w:lang w:val="en-US" w:eastAsia="zh-CN"/>
              </w:rPr>
              <w:t>开展菜市场、专业市场、城市综合体、老旧小区等雨污分流整治；续建临泉路、郎溪路、裕溪路等调蓄池，推进南淝河、二十埠河、板桥河、小板桥河初期雨水调蓄工程建设；扩建朱砖井污水处理厂，开展南淝河流域排污口整改工程、瑶海区雨污水管网完善工程、排水系统雨污混接改造工程、二十埠河水质提升工程、小板桥河水体达标整治工程、二十埠河生态修复工程等一批涉水项目。</w:t>
            </w:r>
          </w:p>
          <w:p>
            <w:pPr>
              <w:keepNext w:val="0"/>
              <w:keepLines w:val="0"/>
              <w:pageBreakBefore w:val="0"/>
              <w:widowControl w:val="0"/>
              <w:kinsoku/>
              <w:wordWrap/>
              <w:overflowPunct/>
              <w:topLinePunct w:val="0"/>
              <w:autoSpaceDE/>
              <w:autoSpaceDN/>
              <w:bidi w:val="0"/>
              <w:adjustRightInd/>
              <w:snapToGrid/>
              <w:spacing w:after="157" w:afterLines="50" w:line="440" w:lineRule="exact"/>
              <w:ind w:firstLine="562" w:firstLineChars="200"/>
              <w:textAlignment w:val="auto"/>
              <w:rPr>
                <w:rFonts w:hint="default" w:ascii="Times New Roman" w:hAnsi="Times New Roman" w:eastAsia="宋体" w:cs="Times New Roman"/>
                <w:i w:val="0"/>
                <w:color w:val="000000"/>
                <w:sz w:val="22"/>
                <w:szCs w:val="22"/>
                <w:u w:val="none"/>
                <w:lang w:val="en-US"/>
              </w:rPr>
            </w:pPr>
            <w:r>
              <w:rPr>
                <w:rFonts w:hint="default" w:ascii="Times New Roman" w:hAnsi="Times New Roman" w:eastAsia="楷体_GB2312" w:cs="Times New Roman"/>
                <w:b/>
                <w:bCs/>
                <w:sz w:val="28"/>
                <w:szCs w:val="36"/>
                <w:vertAlign w:val="baseline"/>
                <w:lang w:val="en-US" w:eastAsia="zh-CN"/>
              </w:rPr>
              <w:t>土壤污染治理项目。</w:t>
            </w:r>
            <w:r>
              <w:rPr>
                <w:rFonts w:hint="eastAsia" w:ascii="Times New Roman" w:hAnsi="Times New Roman" w:eastAsia="仿宋_GB2312" w:cs="Times New Roman"/>
                <w:b w:val="0"/>
                <w:bCs w:val="0"/>
                <w:sz w:val="28"/>
                <w:szCs w:val="36"/>
                <w:vertAlign w:val="baseline"/>
                <w:lang w:val="en-US" w:eastAsia="zh-CN"/>
              </w:rPr>
              <w:t>与</w:t>
            </w:r>
            <w:r>
              <w:rPr>
                <w:rFonts w:hint="default" w:ascii="Times New Roman" w:hAnsi="Times New Roman" w:eastAsia="仿宋_GB2312" w:cs="Times New Roman"/>
                <w:b w:val="0"/>
                <w:bCs w:val="0"/>
                <w:sz w:val="28"/>
                <w:szCs w:val="36"/>
                <w:vertAlign w:val="baseline"/>
                <w:lang w:val="en-US" w:eastAsia="zh-CN"/>
              </w:rPr>
              <w:t>市级部门</w:t>
            </w:r>
            <w:r>
              <w:rPr>
                <w:rFonts w:hint="eastAsia" w:ascii="Times New Roman" w:hAnsi="Times New Roman" w:eastAsia="仿宋_GB2312" w:cs="Times New Roman"/>
                <w:b w:val="0"/>
                <w:bCs w:val="0"/>
                <w:sz w:val="28"/>
                <w:szCs w:val="36"/>
                <w:vertAlign w:val="baseline"/>
                <w:lang w:val="en-US" w:eastAsia="zh-CN"/>
              </w:rPr>
              <w:t>协力</w:t>
            </w:r>
            <w:r>
              <w:rPr>
                <w:rFonts w:hint="default" w:ascii="Times New Roman" w:hAnsi="Times New Roman" w:eastAsia="仿宋_GB2312" w:cs="Times New Roman"/>
                <w:b w:val="0"/>
                <w:bCs w:val="0"/>
                <w:sz w:val="28"/>
                <w:szCs w:val="36"/>
                <w:vertAlign w:val="baseline"/>
                <w:lang w:val="en-US" w:eastAsia="zh-CN"/>
              </w:rPr>
              <w:t>推进</w:t>
            </w:r>
            <w:r>
              <w:rPr>
                <w:rFonts w:hint="eastAsia" w:ascii="Times New Roman" w:hAnsi="Times New Roman" w:eastAsia="仿宋_GB2312" w:cs="Times New Roman"/>
                <w:b w:val="0"/>
                <w:bCs w:val="0"/>
                <w:sz w:val="28"/>
                <w:szCs w:val="36"/>
                <w:vertAlign w:val="baseline"/>
                <w:lang w:val="en-US" w:eastAsia="zh-CN"/>
              </w:rPr>
              <w:t>辖区</w:t>
            </w:r>
            <w:r>
              <w:rPr>
                <w:rFonts w:hint="default" w:ascii="Times New Roman" w:hAnsi="Times New Roman" w:eastAsia="仿宋_GB2312" w:cs="Times New Roman"/>
                <w:b w:val="0"/>
                <w:bCs w:val="0"/>
                <w:sz w:val="28"/>
                <w:szCs w:val="36"/>
                <w:vertAlign w:val="baseline"/>
                <w:lang w:val="en-US" w:eastAsia="zh-CN"/>
              </w:rPr>
              <w:t>用地土壤环境基础数据库和土壤污染状况可视化管理平台建设，推动污染土壤治理。</w:t>
            </w:r>
          </w:p>
        </w:tc>
      </w:tr>
    </w:tbl>
    <w:p>
      <w:pPr>
        <w:pStyle w:val="3"/>
        <w:keepNext/>
        <w:keepLines/>
        <w:pageBreakBefore w:val="0"/>
        <w:widowControl w:val="0"/>
        <w:numPr>
          <w:ilvl w:val="0"/>
          <w:numId w:val="3"/>
        </w:numPr>
        <w:kinsoku/>
        <w:wordWrap/>
        <w:overflowPunct/>
        <w:topLinePunct w:val="0"/>
        <w:autoSpaceDE/>
        <w:autoSpaceDN/>
        <w:bidi w:val="0"/>
        <w:adjustRightInd/>
        <w:snapToGrid/>
        <w:spacing w:before="313" w:beforeLines="10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166" w:name="_Toc14163"/>
      <w:bookmarkStart w:id="167" w:name="_Toc31831"/>
      <w:r>
        <w:rPr>
          <w:rFonts w:hint="default" w:ascii="Times New Roman" w:hAnsi="Times New Roman" w:eastAsia="宋体" w:cs="Times New Roman"/>
          <w:sz w:val="32"/>
          <w:rtl w:val="0"/>
          <w:lang w:val="en-US" w:eastAsia="zh-CN"/>
        </w:rPr>
        <w:t>增强可持续发展能力</w:t>
      </w:r>
      <w:bookmarkEnd w:id="166"/>
      <w:bookmarkEnd w:id="167"/>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加强水生态、林地等生态环境修复，防治水土流失，</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保护生物多样性，</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不断提升我区生态系统的质量和</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可持续性</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推进国家低碳试点城市建设。</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加快能源结构调整，发展绿色能源，建设清洁低碳、安全高效的现代能源体系。大力发展绿色建筑，新建民用建筑实现</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100%</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按照绿色建筑标准设计建造。推</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进</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垃圾减量化、资源化，加快构建废旧物资循环利用体系。</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加强宣传推广，倡导低碳生活，提高居民低碳意识。到</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2025年</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帮扶3家</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以上</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企业开展绿色、环保、低碳、节能、节约资源等产品认证与认可</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推进资源节约集约利用。</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严守生态保护红线、环境质量底线资源利用上限</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转变传统消费方式</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培育生态消费、绿色消费理念</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强化约束性指标管理，实行能源和水资源消耗、建设用地等总量和强度双控行动。实施全民节能行动计划。落实《国家节水行动安徽省实施方案》</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实行最严格的水资源管理制度，</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加强再生水利用，</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推进</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海绵城市</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建设。坚持最严格的节约用地制度，优化建设用地结构。</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到2025年，节水型公共机构建成率达90%，节水小区建成率达50%。</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加强生态保护与修复。</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推深做实林长制改革，进一步完善保障机制，加快林长制改革区建设。加强湿地水源调蓄、水生植物修复、生物链恢复等工作，强化湿地保护与利用，充分发挥其水质净化、调节气候、保护生物多样性等功能。加强古树名木保护，严管公共绿化和林地征占用，加强林地火灾和林业病虫害监测防治。到2025年，全区</w:t>
      </w:r>
      <w:r>
        <w:rPr>
          <w:rFonts w:hint="eastAsia" w:eastAsia="仿宋_GB2312" w:cs="Times New Roman"/>
          <w:color w:val="000000" w:themeColor="text1"/>
          <w:sz w:val="32"/>
          <w:szCs w:val="32"/>
          <w:shd w:val="clear" w:color="auto" w:fill="FFFFFF"/>
          <w:lang w:val="en-US" w:eastAsia="zh-CN"/>
          <w14:textFill>
            <w14:solidFill>
              <w14:schemeClr w14:val="tx1"/>
            </w14:solidFill>
          </w14:textFill>
        </w:rPr>
        <w:t>森林覆盖率达到4.8%，</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湿地保护率达40%，森林火灾损失率和有害生物成灾率控制在5‰以内。</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推行绿色生活方式。</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大力推广节能家电、高效照明产品、节水器具、</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绿</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色建材、生物基可降解聚酯等绿色产品。落实新能源汽车购置的补贴、税收优惠政策</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加大新能源汽车推广力度。推广环境标志产品</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鼓励使用低挥发性有机物含量的涂料、干洗机。鼓励选购节水龙头、节水马桶、节水洗衣机等节水产品。统筹开展节约型机关、绿色家庭、绿色学校、绿色社区、绿色出行、绿色商场等创建行动。培育宣传一批成效突出、特点鲜明的绿色生活优秀典型</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广泛宣传推广简约适度、绿色低碳、文明</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健康的生活</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理念和生活方式</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形成崇尚绿色生活的社会氛围</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p>
    <w:p>
      <w:pPr>
        <w:pStyle w:val="2"/>
        <w:keepNext/>
        <w:keepLines/>
        <w:pageBreakBefore w:val="0"/>
        <w:widowControl w:val="0"/>
        <w:numPr>
          <w:ilvl w:val="0"/>
          <w:numId w:val="2"/>
        </w:numPr>
        <w:kinsoku/>
        <w:wordWrap/>
        <w:overflowPunct/>
        <w:topLinePunct w:val="0"/>
        <w:autoSpaceDE/>
        <w:autoSpaceDN/>
        <w:bidi w:val="0"/>
        <w:adjustRightInd/>
        <w:snapToGrid/>
        <w:spacing w:before="313" w:beforeLines="100" w:after="50" w:afterLines="50" w:line="560" w:lineRule="exact"/>
        <w:ind w:left="0" w:leftChars="0" w:firstLine="640" w:firstLineChars="200"/>
        <w:jc w:val="left"/>
        <w:textAlignment w:val="auto"/>
        <w:rPr>
          <w:rFonts w:hint="default" w:ascii="Times New Roman" w:hAnsi="Times New Roman" w:eastAsia="黑体" w:cs="Times New Roman"/>
          <w:b w:val="0"/>
          <w:sz w:val="32"/>
          <w:rtl w:val="0"/>
          <w:lang w:val="en-US" w:eastAsia="zh-CN"/>
        </w:rPr>
      </w:pPr>
      <w:bookmarkStart w:id="168" w:name="_Toc25240"/>
      <w:bookmarkStart w:id="169" w:name="_Toc15080"/>
      <w:r>
        <w:rPr>
          <w:rFonts w:hint="default" w:ascii="Times New Roman" w:hAnsi="Times New Roman" w:eastAsia="黑体" w:cs="Times New Roman"/>
          <w:b w:val="0"/>
          <w:sz w:val="32"/>
          <w:rtl w:val="0"/>
          <w:lang w:val="en-US" w:eastAsia="zh-CN"/>
        </w:rPr>
        <w:t xml:space="preserve">  </w:t>
      </w:r>
      <w:bookmarkStart w:id="170" w:name="_Toc16285"/>
      <w:bookmarkStart w:id="171" w:name="_Toc22467"/>
      <w:r>
        <w:rPr>
          <w:rFonts w:hint="default" w:ascii="Times New Roman" w:hAnsi="Times New Roman" w:eastAsia="黑体" w:cs="Times New Roman"/>
          <w:b w:val="0"/>
          <w:sz w:val="32"/>
          <w:rtl w:val="0"/>
          <w:lang w:val="en-US" w:eastAsia="zh-CN"/>
        </w:rPr>
        <w:t>以长三角G60科创走廊产业合作示范园为主平台  开拓开放合作新局面</w:t>
      </w:r>
      <w:bookmarkEnd w:id="170"/>
      <w:bookmarkEnd w:id="171"/>
    </w:p>
    <w:bookmarkEnd w:id="168"/>
    <w:bookmarkEnd w:id="169"/>
    <w:p>
      <w:pPr>
        <w:pStyle w:val="25"/>
        <w:pageBreakBefore w:val="0"/>
        <w:kinsoku/>
        <w:overflowPunct/>
        <w:autoSpaceDE/>
        <w:autoSpaceDN/>
        <w:bidi w:val="0"/>
        <w:adjustRightInd/>
        <w:spacing w:line="560" w:lineRule="exact"/>
        <w:ind w:firstLine="64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抢抓长三角一体化高质量发展机遇，深化区域合作，推动更大范围、更宽领域、更深层次的对外开放，全力打造内陆开放新高地。</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172" w:name="_Toc7151"/>
      <w:bookmarkStart w:id="173" w:name="_Toc30787"/>
      <w:r>
        <w:rPr>
          <w:rFonts w:hint="default" w:ascii="Times New Roman" w:hAnsi="Times New Roman" w:eastAsia="宋体" w:cs="Times New Roman"/>
          <w:sz w:val="32"/>
          <w:rtl w:val="0"/>
          <w:lang w:val="en-US" w:eastAsia="zh-CN"/>
        </w:rPr>
        <w:t>加速产业发展融入</w:t>
      </w:r>
      <w:bookmarkEnd w:id="172"/>
      <w:bookmarkEnd w:id="173"/>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打造产业发展合作品牌，以长三角G60科创走廊物联网产业合作示范园为载体，加强物联网、大数据、5G、区块链等应用发展，助力合肥市创建长三角综合性国家产业创新中心，打造成长三角城市物联网合作共建的新典范。以龙岗开发区为主要载体，</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积极</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承接沪宁杭产业转移和科技成果转化，助力合肥市打造长三角科技成果产业化基地。</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174" w:name="_Toc24472"/>
      <w:bookmarkStart w:id="175" w:name="_Toc19753"/>
      <w:r>
        <w:rPr>
          <w:rFonts w:hint="default" w:ascii="Times New Roman" w:hAnsi="Times New Roman" w:eastAsia="宋体" w:cs="Times New Roman"/>
          <w:sz w:val="32"/>
          <w:rtl w:val="0"/>
          <w:lang w:val="en-US" w:eastAsia="zh-CN"/>
        </w:rPr>
        <w:t>加速市场要素融入</w:t>
      </w:r>
      <w:bookmarkEnd w:id="174"/>
      <w:bookmarkEnd w:id="175"/>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b w:val="0"/>
          <w:color w:val="000000" w:themeColor="text1"/>
          <w:kern w:val="0"/>
          <w:sz w:val="32"/>
          <w:szCs w:val="32"/>
          <w:rtl w:val="0"/>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借鉴合作共建成功经验，以</w:t>
      </w:r>
      <w:r>
        <w:rPr>
          <w:rFonts w:hint="default" w:ascii="Times New Roman" w:hAnsi="Times New Roman" w:eastAsia="仿宋_GB2312" w:cs="Times New Roman"/>
          <w:color w:val="000000" w:themeColor="text1"/>
          <w:sz w:val="32"/>
          <w:szCs w:val="32"/>
          <w:lang w:val="zh-CN"/>
          <w14:textFill>
            <w14:solidFill>
              <w14:schemeClr w14:val="tx1"/>
            </w14:solidFill>
          </w14:textFill>
        </w:rPr>
        <w:t>“结对</w:t>
      </w:r>
      <w:r>
        <w:rPr>
          <w:rFonts w:hint="default" w:ascii="Times New Roman" w:hAnsi="Times New Roman" w:eastAsia="仿宋_GB2312" w:cs="Times New Roman"/>
          <w:color w:val="000000" w:themeColor="text1"/>
          <w:sz w:val="32"/>
          <w:szCs w:val="32"/>
          <w14:textFill>
            <w14:solidFill>
              <w14:schemeClr w14:val="tx1"/>
            </w14:solidFill>
          </w14:textFill>
        </w:rPr>
        <w:t>合作</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为突破口，加强与长三角县（市、区）和开发园区的对接结对，签订主题性战略合作协议，创新合作机制，打开合作局面。加强人力资源协作，参与长三角要素市场同城化建设，积极吸引沪苏浙民间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优质</w:t>
      </w:r>
      <w:r>
        <w:rPr>
          <w:rFonts w:hint="default" w:ascii="Times New Roman" w:hAnsi="Times New Roman" w:eastAsia="仿宋_GB2312" w:cs="Times New Roman"/>
          <w:color w:val="000000" w:themeColor="text1"/>
          <w:sz w:val="32"/>
          <w:szCs w:val="32"/>
          <w14:textFill>
            <w14:solidFill>
              <w14:schemeClr w14:val="tx1"/>
            </w14:solidFill>
          </w14:textFill>
        </w:rPr>
        <w:t>资本，努力在信用贷款、信用保险、股权质押、知识产权质押、创业投资等领域能够代表合肥与沪宁杭等中心城市率先实现同城化，协同建设统一开放的要素市场。</w:t>
      </w:r>
    </w:p>
    <w:p>
      <w:pPr>
        <w:pStyle w:val="3"/>
        <w:keepNext w:val="0"/>
        <w:keepLines w:val="0"/>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bookmarkStart w:id="176" w:name="bookmark32"/>
      <w:bookmarkEnd w:id="176"/>
      <w:bookmarkStart w:id="177" w:name="_Toc15617"/>
      <w:r>
        <w:rPr>
          <w:rFonts w:hint="default" w:ascii="Times New Roman" w:hAnsi="Times New Roman" w:eastAsia="宋体" w:cs="Times New Roman"/>
          <w:sz w:val="32"/>
          <w:rtl w:val="0"/>
          <w:lang w:val="en-US" w:eastAsia="zh-CN"/>
        </w:rPr>
        <w:t xml:space="preserve"> </w:t>
      </w:r>
      <w:bookmarkStart w:id="178" w:name="_Toc8752"/>
      <w:bookmarkStart w:id="179" w:name="_Toc32570"/>
      <w:r>
        <w:rPr>
          <w:rFonts w:hint="default" w:ascii="Times New Roman" w:hAnsi="Times New Roman" w:eastAsia="宋体" w:cs="Times New Roman"/>
          <w:sz w:val="32"/>
          <w:rtl w:val="0"/>
          <w:lang w:val="en-US" w:eastAsia="zh-CN"/>
        </w:rPr>
        <w:t>加速优质服务共享</w:t>
      </w:r>
      <w:bookmarkEnd w:id="178"/>
      <w:bookmarkEnd w:id="179"/>
    </w:p>
    <w:p>
      <w:pPr>
        <w:keepNext w:val="0"/>
        <w:keepLines w:val="0"/>
        <w:pageBreakBefore w:val="0"/>
        <w:widowControl w:val="0"/>
        <w:numPr>
          <w:ilvl w:val="0"/>
          <w:numId w:val="0"/>
        </w:numPr>
        <w:kinsoku/>
        <w:wordWrap/>
        <w:overflowPunct/>
        <w:topLinePunct w:val="0"/>
        <w:autoSpaceDE/>
        <w:autoSpaceDN/>
        <w:bidi w:val="0"/>
        <w:adjustRightInd/>
        <w:snapToGrid/>
        <w:spacing w:before="50" w:beforeLines="50" w:after="50" w:afterLines="50"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color w:val="000000" w:themeColor="text1"/>
          <w:kern w:val="0"/>
          <w:sz w:val="32"/>
          <w:szCs w:val="32"/>
          <w:lang w:val="en-US" w:eastAsia="zh-CN" w:bidi="ar-SA"/>
          <w14:textFill>
            <w14:solidFill>
              <w14:schemeClr w14:val="tx1"/>
            </w14:solidFill>
          </w14:textFill>
        </w:rPr>
        <w:t>推动与长三角优质教育资源合作共享，引进南京、上海等城市优质教育资源。探索以社会保障卡为载体建立居民服务“一卡通”，推动交通出行、旅游观光、文化体验等率先实现同城待遇。落实长三角医保一体化政策，深化与上海、南京等地知名医院的合作，共建区域医疗中心。拓展长三角“一网通办”服务内容，实现我区长三角服务专窗更多服务事项的“一地认证、全网通办，异地可办，就近办理”。推进社会保险异地办理，开展异地结算试点。发挥静安养亲苑入选首批长三角异地养老机构品牌效应，加强养老服务设施建设，促进异地养老。</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180" w:name="_Toc11105"/>
      <w:bookmarkStart w:id="181" w:name="_Toc6891"/>
      <w:r>
        <w:rPr>
          <w:rFonts w:hint="default" w:ascii="Times New Roman" w:hAnsi="Times New Roman" w:eastAsia="宋体" w:cs="Times New Roman"/>
          <w:sz w:val="32"/>
          <w:rtl w:val="0"/>
          <w:lang w:val="en-US" w:eastAsia="zh-CN"/>
        </w:rPr>
        <w:t>加大招商引资力度</w:t>
      </w:r>
      <w:bookmarkEnd w:id="180"/>
      <w:bookmarkEnd w:id="181"/>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围绕产业链部署创新链、围绕创新链布局产业链，有效发挥链长作用，构建</w:t>
      </w:r>
      <w:r>
        <w:rPr>
          <w:rFonts w:hint="default" w:ascii="Times New Roman" w:hAnsi="Times New Roman" w:eastAsia="方正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头部企业</w:t>
      </w:r>
      <w:r>
        <w:rPr>
          <w:rFonts w:hint="default" w:ascii="Times New Roman" w:hAnsi="Times New Roman" w:eastAsia="方正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产业链</w:t>
      </w:r>
      <w:r>
        <w:rPr>
          <w:rFonts w:hint="default" w:ascii="Times New Roman" w:hAnsi="Times New Roman" w:eastAsia="方正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产业集群</w:t>
      </w:r>
      <w:r>
        <w:rPr>
          <w:rFonts w:hint="default" w:ascii="Times New Roman" w:hAnsi="Times New Roman" w:eastAsia="方正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产业基地</w:t>
      </w:r>
      <w:r>
        <w:rPr>
          <w:rFonts w:hint="default" w:ascii="Times New Roman" w:hAnsi="Times New Roman" w:eastAsia="方正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招商引资新模式。以</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建链补链强链</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为抓手，围绕重点产业、重点企业进行产业链细分，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重点招引产业链关键环节项目，</w:t>
      </w:r>
      <w:r>
        <w:rPr>
          <w:rFonts w:hint="default" w:ascii="Times New Roman" w:hAnsi="Times New Roman" w:eastAsia="仿宋_GB2312" w:cs="Times New Roman"/>
          <w:color w:val="000000" w:themeColor="text1"/>
          <w:sz w:val="32"/>
          <w:szCs w:val="32"/>
          <w14:textFill>
            <w14:solidFill>
              <w14:schemeClr w14:val="tx1"/>
            </w14:solidFill>
          </w14:textFill>
        </w:rPr>
        <w:t>形成上中下游配套的产业集群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统筹整合全区招商力量、资源，着力于载体资源、产业政策、项目需求等信息精准对接，</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提高招商精准性</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发挥</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地方资源特色、市场成熟度等</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优势</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紧盯国内外500强、行业100强以及央企、知名民企和上市公司，</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争取</w:t>
      </w:r>
      <w:r>
        <w:rPr>
          <w:rFonts w:hint="default" w:ascii="Times New Roman" w:hAnsi="Times New Roman" w:eastAsia="仿宋_GB2312" w:cs="Times New Roman"/>
          <w:color w:val="000000" w:themeColor="text1"/>
          <w:sz w:val="32"/>
          <w:szCs w:val="32"/>
          <w14:textFill>
            <w14:solidFill>
              <w14:schemeClr w14:val="tx1"/>
            </w14:solidFill>
          </w14:textFill>
        </w:rPr>
        <w:t>引进</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一批</w:t>
      </w:r>
      <w:r>
        <w:rPr>
          <w:rFonts w:hint="default" w:ascii="Times New Roman" w:hAnsi="Times New Roman" w:eastAsia="仿宋_GB2312" w:cs="Times New Roman"/>
          <w:color w:val="000000" w:themeColor="text1"/>
          <w:sz w:val="32"/>
          <w:szCs w:val="32"/>
          <w14:textFill>
            <w14:solidFill>
              <w14:schemeClr w14:val="tx1"/>
            </w14:solidFill>
          </w14:textFill>
        </w:rPr>
        <w:t>重大项目</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。加强招商队伍建设，提高优质项目辨识能力，引进潜力企业加以培育。</w:t>
      </w:r>
      <w:r>
        <w:rPr>
          <w:rFonts w:hint="default" w:ascii="Times New Roman" w:hAnsi="Times New Roman" w:eastAsia="仿宋_GB2312" w:cs="Times New Roman"/>
          <w:color w:val="000000" w:themeColor="text1"/>
          <w:sz w:val="32"/>
          <w:szCs w:val="32"/>
          <w14:textFill>
            <w14:solidFill>
              <w14:schemeClr w14:val="tx1"/>
            </w14:solidFill>
          </w14:textFill>
        </w:rPr>
        <w:t>加大</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腾空</w:t>
      </w:r>
      <w:r>
        <w:rPr>
          <w:rFonts w:hint="default" w:ascii="Times New Roman" w:hAnsi="Times New Roman" w:eastAsia="仿宋_GB2312" w:cs="Times New Roman"/>
          <w:color w:val="000000" w:themeColor="text1"/>
          <w:sz w:val="32"/>
          <w:szCs w:val="32"/>
          <w14:textFill>
            <w14:solidFill>
              <w14:schemeClr w14:val="tx1"/>
            </w14:solidFill>
          </w14:textFill>
        </w:rPr>
        <w:t>地块招</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商推介力度，高效利用零星用地、空置楼宇等载体，推动主导产业集聚发展。探索市场化招商模式，搭建市场化专业招商平台。</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313" w:beforeLines="100" w:after="50" w:afterLines="50" w:line="560" w:lineRule="exact"/>
        <w:ind w:left="0" w:leftChars="0" w:firstLine="640" w:firstLineChars="200"/>
        <w:jc w:val="left"/>
        <w:textAlignment w:val="auto"/>
        <w:rPr>
          <w:rFonts w:hint="default" w:ascii="Times New Roman" w:hAnsi="Times New Roman" w:eastAsia="黑体" w:cs="Times New Roman"/>
          <w:b w:val="0"/>
          <w:sz w:val="32"/>
          <w:rtl w:val="0"/>
          <w:lang w:val="en-US" w:eastAsia="zh-CN"/>
        </w:rPr>
      </w:pPr>
      <w:bookmarkStart w:id="182" w:name="_Toc8661"/>
      <w:r>
        <w:rPr>
          <w:rFonts w:hint="default" w:ascii="Times New Roman" w:hAnsi="Times New Roman" w:eastAsia="黑体" w:cs="Times New Roman"/>
          <w:b w:val="0"/>
          <w:sz w:val="32"/>
          <w:rtl w:val="0"/>
          <w:lang w:val="en-US" w:eastAsia="zh-CN"/>
        </w:rPr>
        <w:t xml:space="preserve">  </w:t>
      </w:r>
      <w:bookmarkStart w:id="183" w:name="_Toc28629"/>
      <w:bookmarkStart w:id="184" w:name="_Toc9622"/>
      <w:r>
        <w:rPr>
          <w:rFonts w:hint="default" w:ascii="Times New Roman" w:hAnsi="Times New Roman" w:eastAsia="黑体" w:cs="Times New Roman"/>
          <w:b w:val="0"/>
          <w:sz w:val="32"/>
          <w:rtl w:val="0"/>
          <w:lang w:val="en-US" w:eastAsia="zh-CN"/>
        </w:rPr>
        <w:t>以筑牢瑶海安全屏障防范化解重大风险  打造平安瑶海</w:t>
      </w:r>
      <w:bookmarkEnd w:id="183"/>
      <w:bookmarkEnd w:id="184"/>
    </w:p>
    <w:bookmarkEnd w:id="182"/>
    <w:p>
      <w:pPr>
        <w:pStyle w:val="25"/>
        <w:pageBreakBefore w:val="0"/>
        <w:kinsoku/>
        <w:overflowPunct/>
        <w:autoSpaceDE/>
        <w:autoSpaceDN/>
        <w:bidi w:val="0"/>
        <w:adjustRightInd/>
        <w:spacing w:line="560" w:lineRule="exact"/>
        <w:ind w:firstLine="641"/>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践行</w:t>
      </w:r>
      <w:r>
        <w:rPr>
          <w:rFonts w:hint="default" w:ascii="Times New Roman" w:hAnsi="Times New Roman" w:eastAsia="仿宋_GB2312" w:cs="Times New Roman"/>
          <w:color w:val="000000" w:themeColor="text1"/>
          <w:sz w:val="32"/>
          <w:szCs w:val="32"/>
          <w14:textFill>
            <w14:solidFill>
              <w14:schemeClr w14:val="tx1"/>
            </w14:solidFill>
          </w14:textFill>
        </w:rPr>
        <w:t>总体国家安全观，全面落实依法治国方略，不断健全防范化解重大风险体制机制，显著增强突发公共事件应急能力，筑牢瑶海安全屏障。</w:t>
      </w:r>
    </w:p>
    <w:bookmarkEnd w:id="44"/>
    <w:bookmarkEnd w:id="45"/>
    <w:bookmarkEnd w:id="177"/>
    <w:p>
      <w:pPr>
        <w:pStyle w:val="3"/>
        <w:keepNext w:val="0"/>
        <w:keepLines w:val="0"/>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bookmarkStart w:id="185" w:name="_Toc5819"/>
      <w:bookmarkStart w:id="186" w:name="_Toc30337"/>
      <w:bookmarkStart w:id="187" w:name="_Toc5048"/>
      <w:r>
        <w:rPr>
          <w:rFonts w:hint="default" w:ascii="Times New Roman" w:hAnsi="Times New Roman" w:eastAsia="宋体" w:cs="Times New Roman"/>
          <w:sz w:val="32"/>
          <w:rtl w:val="0"/>
          <w:lang w:val="en-US" w:eastAsia="zh-CN"/>
        </w:rPr>
        <w:t xml:space="preserve"> </w:t>
      </w:r>
      <w:bookmarkStart w:id="188" w:name="_Toc18833"/>
      <w:bookmarkStart w:id="189" w:name="_Toc21006"/>
      <w:r>
        <w:rPr>
          <w:rFonts w:hint="default" w:ascii="Times New Roman" w:hAnsi="Times New Roman" w:eastAsia="宋体" w:cs="Times New Roman"/>
          <w:sz w:val="32"/>
          <w:rtl w:val="0"/>
          <w:lang w:val="en-US" w:eastAsia="zh-CN"/>
        </w:rPr>
        <w:t>维护国家安全和政治稳定</w:t>
      </w:r>
      <w:bookmarkEnd w:id="188"/>
      <w:bookmarkEnd w:id="189"/>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把维护国家安全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和</w:t>
      </w:r>
      <w:r>
        <w:rPr>
          <w:rFonts w:hint="default" w:ascii="Times New Roman" w:hAnsi="Times New Roman" w:eastAsia="仿宋_GB2312" w:cs="Times New Roman"/>
          <w:color w:val="000000" w:themeColor="text1"/>
          <w:sz w:val="32"/>
          <w:szCs w:val="32"/>
          <w14:textFill>
            <w14:solidFill>
              <w14:schemeClr w14:val="tx1"/>
            </w14:solidFill>
          </w14:textFill>
        </w:rPr>
        <w:t>政治</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稳定</w:t>
      </w:r>
      <w:r>
        <w:rPr>
          <w:rFonts w:hint="default" w:ascii="Times New Roman" w:hAnsi="Times New Roman" w:eastAsia="仿宋_GB2312" w:cs="Times New Roman"/>
          <w:color w:val="000000" w:themeColor="text1"/>
          <w:sz w:val="32"/>
          <w:szCs w:val="32"/>
          <w14:textFill>
            <w14:solidFill>
              <w14:schemeClr w14:val="tx1"/>
            </w14:solidFill>
          </w14:textFill>
        </w:rPr>
        <w:t>放在第一位，加强国家安全体系和能力建设</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提高对各种矛盾问题预测预警预防能力</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增强全民国家安全意识。</w:t>
      </w:r>
      <w:r>
        <w:rPr>
          <w:rFonts w:hint="default" w:ascii="Times New Roman" w:hAnsi="Times New Roman" w:eastAsia="仿宋_GB2312" w:cs="Times New Roman"/>
          <w:color w:val="000000" w:themeColor="text1"/>
          <w:sz w:val="32"/>
          <w:szCs w:val="32"/>
          <w14:textFill>
            <w14:solidFill>
              <w14:schemeClr w14:val="tx1"/>
            </w14:solidFill>
          </w14:textFill>
        </w:rPr>
        <w:t>坚持党对国家安全工作</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的集中</w:t>
      </w:r>
      <w:r>
        <w:rPr>
          <w:rFonts w:hint="default" w:ascii="Times New Roman" w:hAnsi="Times New Roman" w:eastAsia="仿宋_GB2312" w:cs="Times New Roman"/>
          <w:color w:val="000000" w:themeColor="text1"/>
          <w:sz w:val="32"/>
          <w:szCs w:val="32"/>
          <w14:textFill>
            <w14:solidFill>
              <w14:schemeClr w14:val="tx1"/>
            </w14:solidFill>
          </w14:textFill>
        </w:rPr>
        <w:t>统一领导，强化维护政治安全。建立健全情报信息网络，深入开展国家安全宣传教育</w:t>
      </w:r>
      <w:r>
        <w:rPr>
          <w:rFonts w:hint="eastAsia"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巩固国家安全人民防线。建立健全反奸防谍责任体系，防范打击宗教极端活动、民族分裂活动，严密防范境外宗教渗透活动。</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防范打击暴力恐怖活动。</w:t>
      </w:r>
      <w:r>
        <w:rPr>
          <w:rFonts w:hint="default" w:ascii="Times New Roman" w:hAnsi="Times New Roman" w:eastAsia="仿宋_GB2312" w:cs="Times New Roman"/>
          <w:color w:val="000000" w:themeColor="text1"/>
          <w:sz w:val="32"/>
          <w:szCs w:val="32"/>
          <w14:textFill>
            <w14:solidFill>
              <w14:schemeClr w14:val="tx1"/>
            </w14:solidFill>
          </w14:textFill>
        </w:rPr>
        <w:t>加强情报信息、侦查打击、基础防范等工作，提高防范和预警能力。加强反恐力量建设，搞好反恐实战演练，增强公安民警防暴处突能力。完善组织体系，强化协调配合，加强危险物品管控，认真落实危爆物品储存场所治安防范要求。加大枪支弹药管控，提升打击涉枪犯罪能力。</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防范打击邪教组织违法犯罪。</w:t>
      </w:r>
      <w:r>
        <w:rPr>
          <w:rFonts w:hint="default" w:ascii="Times New Roman" w:hAnsi="Times New Roman" w:eastAsia="仿宋_GB2312" w:cs="Times New Roman"/>
          <w:color w:val="000000" w:themeColor="text1"/>
          <w:sz w:val="32"/>
          <w:szCs w:val="32"/>
          <w14:textFill>
            <w14:solidFill>
              <w14:schemeClr w14:val="tx1"/>
            </w14:solidFill>
          </w14:textFill>
        </w:rPr>
        <w:t>落实党政</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一把手</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主体责任，健全党内定期汇报和情况通报制度。继续深入推进创无示范工程，加强宗教管理，创建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无邪教社区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。坚持动态管理，深入开展创无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回头看</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活动，以</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回归社会工程</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为载体，加强后续巩固帮教工作机制建设。</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促进国防建设和经济建设同步提升。</w:t>
      </w:r>
      <w:r>
        <w:rPr>
          <w:rFonts w:hint="default" w:ascii="Times New Roman" w:hAnsi="Times New Roman" w:eastAsia="仿宋_GB2312" w:cs="Times New Roman"/>
          <w:color w:val="000000" w:themeColor="text1"/>
          <w:sz w:val="32"/>
          <w:szCs w:val="32"/>
          <w14:textFill>
            <w14:solidFill>
              <w14:schemeClr w14:val="tx1"/>
            </w14:solidFill>
          </w14:textFill>
        </w:rPr>
        <w:t>贯彻习近平强军思想，贯彻新时代军事战略方针，支持国防和军队建设，加强民兵预备役建设。完善新时代国防动员体系，强化全民国防教育，巩固军政军民团结，强化退役军人服务保障，扎实做好武警、双拥、人民防空等工作。突出军民融合深度发展，深化资源要素共享，强化政策制度协调，推动重点区域、重点领域、新兴领域协调发展，加强军民科技协同创新。</w:t>
      </w:r>
    </w:p>
    <w:p>
      <w:pPr>
        <w:pStyle w:val="3"/>
        <w:keepNext/>
        <w:keepLines/>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2"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190" w:name="_Toc12676"/>
      <w:bookmarkStart w:id="191" w:name="_Toc30257"/>
      <w:r>
        <w:rPr>
          <w:rFonts w:hint="default" w:ascii="Times New Roman" w:hAnsi="Times New Roman" w:eastAsia="宋体" w:cs="Times New Roman"/>
          <w:sz w:val="32"/>
          <w:rtl w:val="0"/>
          <w:lang w:val="en-US" w:eastAsia="zh-CN"/>
        </w:rPr>
        <w:t>确保经济发展安全</w:t>
      </w:r>
      <w:bookmarkEnd w:id="190"/>
      <w:bookmarkEnd w:id="191"/>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加强经济安全风险预警、防控机制和能力建设，增强产业体系</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金融体系</w:t>
      </w:r>
      <w:r>
        <w:rPr>
          <w:rFonts w:hint="default" w:ascii="Times New Roman" w:hAnsi="Times New Roman" w:eastAsia="仿宋_GB2312" w:cs="Times New Roman"/>
          <w:color w:val="000000" w:themeColor="text1"/>
          <w:sz w:val="32"/>
          <w:szCs w:val="32"/>
          <w14:textFill>
            <w14:solidFill>
              <w14:schemeClr w14:val="tx1"/>
            </w14:solidFill>
          </w14:textFill>
        </w:rPr>
        <w:t>抗冲击能力</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守住不发生系统性风险底线。</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持续推进安全生产“铸安”行动。</w:t>
      </w:r>
      <w:r>
        <w:rPr>
          <w:rFonts w:hint="default" w:ascii="Times New Roman" w:hAnsi="Times New Roman" w:eastAsia="仿宋_GB2312" w:cs="Times New Roman"/>
          <w:color w:val="000000" w:themeColor="text1"/>
          <w:sz w:val="32"/>
          <w:szCs w:val="32"/>
          <w14:textFill>
            <w14:solidFill>
              <w14:schemeClr w14:val="tx1"/>
            </w14:solidFill>
          </w14:textFill>
        </w:rPr>
        <w:t>进一步强化重点时段安全生产责任和意识，紧盯春节、五一、国庆等重点时段，全面排查道路交通、建筑施工、危险化学品、人员密集场所、工贸、养老机构等行业领域安全风险与隐患，有效防范</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遏制各类事故发生</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确保安全生产事故起数和死亡人数“双下降”</w:t>
      </w:r>
      <w:r>
        <w:rPr>
          <w:rFonts w:hint="eastAsia" w:eastAsia="仿宋_GB2312" w:cs="Times New Roman"/>
          <w:color w:val="000000" w:themeColor="text1"/>
          <w:sz w:val="32"/>
          <w:szCs w:val="32"/>
          <w:lang w:val="en-US" w:eastAsia="zh-CN"/>
          <w14:textFill>
            <w14:solidFill>
              <w14:schemeClr w14:val="tx1"/>
            </w14:solidFill>
          </w14:textFill>
        </w:rPr>
        <w:t>，为合肥市</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创建国家安全发展示范城市</w:t>
      </w:r>
      <w:r>
        <w:rPr>
          <w:rFonts w:hint="eastAsia" w:eastAsia="仿宋_GB2312" w:cs="Times New Roman"/>
          <w:color w:val="000000" w:themeColor="text1"/>
          <w:sz w:val="32"/>
          <w:szCs w:val="32"/>
          <w:lang w:val="en-US" w:eastAsia="zh-CN"/>
          <w14:textFill>
            <w14:solidFill>
              <w14:schemeClr w14:val="tx1"/>
            </w14:solidFill>
          </w14:textFill>
        </w:rPr>
        <w:t>贡献重要力量</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防范化解债务、金融等重大风险。</w:t>
      </w:r>
      <w:r>
        <w:rPr>
          <w:rFonts w:hint="default" w:ascii="Times New Roman" w:hAnsi="Times New Roman" w:eastAsia="仿宋_GB2312" w:cs="Times New Roman"/>
          <w:color w:val="000000" w:themeColor="text1"/>
          <w:sz w:val="32"/>
          <w:szCs w:val="32"/>
          <w:rtl w:val="0"/>
          <w:lang w:val="en-US" w:eastAsia="zh-CN"/>
          <w14:textFill>
            <w14:solidFill>
              <w14:schemeClr w14:val="tx1"/>
            </w14:solidFill>
          </w14:textFill>
        </w:rPr>
        <w:t>深入落实市防范化解重大风险“1+9+N”方案体系，</w:t>
      </w:r>
      <w:r>
        <w:rPr>
          <w:rFonts w:hint="default" w:ascii="Times New Roman" w:hAnsi="Times New Roman" w:eastAsia="仿宋_GB2312" w:cs="Times New Roman"/>
          <w:color w:val="000000" w:themeColor="text1"/>
          <w:sz w:val="32"/>
          <w:szCs w:val="32"/>
          <w14:textFill>
            <w14:solidFill>
              <w14:schemeClr w14:val="tx1"/>
            </w14:solidFill>
          </w14:textFill>
        </w:rPr>
        <w:t>严格执行地方政府债务限额管理和预算管理制度，精确测算年度政府债务还本付息额，建立偿债准备金，做好政府债务还本付息预算保障工作。规范政府举债融资行为，严控规模，合理发债，在债务限额内举债，债务风险总体安全可控。加强地方金融机构不良资产压降、非法违规金融活动打击力度，坚决守住不发生系统性风险底线。</w:t>
      </w:r>
    </w:p>
    <w:p>
      <w:pPr>
        <w:pStyle w:val="3"/>
        <w:keepNext w:val="0"/>
        <w:keepLines w:val="0"/>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192" w:name="_Toc8278"/>
      <w:bookmarkStart w:id="193" w:name="_Toc6882"/>
      <w:r>
        <w:rPr>
          <w:rFonts w:hint="default" w:ascii="Times New Roman" w:hAnsi="Times New Roman" w:eastAsia="宋体" w:cs="Times New Roman"/>
          <w:sz w:val="32"/>
          <w:rtl w:val="0"/>
          <w:lang w:val="en-US" w:eastAsia="zh-CN"/>
        </w:rPr>
        <w:t>保障人民生命安全</w:t>
      </w:r>
      <w:bookmarkEnd w:id="192"/>
      <w:bookmarkEnd w:id="193"/>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坚持人民至上、生命至上，把保护人民生命安全摆在首位，全面加强应急管理体系建设</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提高公共安全保障能力。</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提升基础设施抗灾能力。</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立足于防大汛，细化防范措施，常态化做好防汛抗旱工作。</w:t>
      </w:r>
      <w:r>
        <w:rPr>
          <w:rFonts w:hint="default" w:ascii="Times New Roman" w:hAnsi="Times New Roman" w:eastAsia="仿宋_GB2312" w:cs="Times New Roman"/>
          <w:color w:val="000000" w:themeColor="text1"/>
          <w:sz w:val="32"/>
          <w:szCs w:val="32"/>
          <w14:textFill>
            <w14:solidFill>
              <w14:schemeClr w14:val="tx1"/>
            </w14:solidFill>
          </w14:textFill>
        </w:rPr>
        <w:t>加强地质灾害、气象灾害等自然灾害综合防范基础设施建设，完善公共消防设施、应急广播体系等建设。对学校、医院、养老机构等公共基础设施及危旧房屋进行风险防御评估，明确预防重点。</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推进应急避难场所建设。</w:t>
      </w:r>
      <w:r>
        <w:rPr>
          <w:rFonts w:hint="default" w:ascii="Times New Roman" w:hAnsi="Times New Roman" w:eastAsia="仿宋_GB2312" w:cs="Times New Roman"/>
          <w:color w:val="000000" w:themeColor="text1"/>
          <w:sz w:val="32"/>
          <w:szCs w:val="32"/>
          <w14:textFill>
            <w14:solidFill>
              <w14:schemeClr w14:val="tx1"/>
            </w14:solidFill>
          </w14:textFill>
        </w:rPr>
        <w:t>根据人口分布、城市布局、灾害特征，完善建设覆盖一定范围，具备应急避险、临时安置、应急指挥和救援功能的大型综合应急避难场所。充分利用公园、广场、学校、人防工程等公共服务设施，因地制宜完善建设应急避难场所，为受灾群众提供就近就便的安置服务。</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加强应急管理体系建设。</w:t>
      </w:r>
      <w:r>
        <w:rPr>
          <w:rFonts w:hint="default" w:ascii="Times New Roman" w:hAnsi="Times New Roman" w:eastAsia="仿宋_GB2312" w:cs="Times New Roman"/>
          <w:color w:val="000000" w:themeColor="text1"/>
          <w:sz w:val="32"/>
          <w:szCs w:val="32"/>
          <w:rtl w:val="0"/>
          <w:lang w:val="en-US" w:eastAsia="zh-CN"/>
          <w14:textFill>
            <w14:solidFill>
              <w14:schemeClr w14:val="tx1"/>
            </w14:solidFill>
          </w14:textFill>
        </w:rPr>
        <w:t>加强应急管理组织协调，建立健全本区各级统一的应急管理组织指挥体系。</w:t>
      </w:r>
      <w:r>
        <w:rPr>
          <w:rFonts w:hint="default" w:ascii="Times New Roman" w:hAnsi="Times New Roman" w:eastAsia="仿宋_GB2312" w:cs="Times New Roman"/>
          <w:color w:val="000000" w:themeColor="text1"/>
          <w:sz w:val="32"/>
          <w:szCs w:val="32"/>
          <w14:textFill>
            <w14:solidFill>
              <w14:schemeClr w14:val="tx1"/>
            </w14:solidFill>
          </w14:textFill>
        </w:rPr>
        <w:t>加快应急指挥综合监管平台建设，</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实现集安全态势、应急指挥、防灾减灾、企业监管、动态监管等功能于一体，纵向打通预防、准备、处置、评估、改进等各个环节</w:t>
      </w:r>
      <w:r>
        <w:rPr>
          <w:rFonts w:hint="default" w:ascii="Times New Roman" w:hAnsi="Times New Roman" w:eastAsia="仿宋_GB2312" w:cs="Times New Roman"/>
          <w:color w:val="000000" w:themeColor="text1"/>
          <w:sz w:val="32"/>
          <w:szCs w:val="32"/>
          <w14:textFill>
            <w14:solidFill>
              <w14:schemeClr w14:val="tx1"/>
            </w14:solidFill>
          </w14:textFill>
        </w:rPr>
        <w:t>。完善属地管理工作体制，落实灾区统一指挥事故救援、防灾减灾、灾害救助等应急处置责任。完善应急预案体系和演练方案，加强应急救援队伍建设，加强应急救援保障工作，</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加快</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应急物资储备基地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建设</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实现有场地设施、有装备物资、有工作制度。对接</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城市大脑</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强化5G、北斗导航等新技术应用，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提升</w:t>
      </w:r>
      <w:r>
        <w:rPr>
          <w:rFonts w:hint="default" w:ascii="Times New Roman" w:hAnsi="Times New Roman" w:eastAsia="仿宋_GB2312" w:cs="Times New Roman"/>
          <w:color w:val="000000" w:themeColor="text1"/>
          <w:sz w:val="32"/>
          <w:szCs w:val="32"/>
          <w14:textFill>
            <w14:solidFill>
              <w14:schemeClr w14:val="tx1"/>
            </w14:solidFill>
          </w14:textFill>
        </w:rPr>
        <w:t>应急指挥平台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效能</w:t>
      </w:r>
      <w:r>
        <w:rPr>
          <w:rFonts w:hint="default" w:ascii="Times New Roman" w:hAnsi="Times New Roman" w:eastAsia="仿宋_GB2312" w:cs="Times New Roman"/>
          <w:color w:val="000000" w:themeColor="text1"/>
          <w:sz w:val="32"/>
          <w:szCs w:val="32"/>
          <w14:textFill>
            <w14:solidFill>
              <w14:schemeClr w14:val="tx1"/>
            </w14:solidFill>
          </w14:textFill>
        </w:rPr>
        <w:t>。完善应急救援社会化有偿服务、物资装备征用补偿、救援人员人身安全保险和伤亡抚恤政策。</w:t>
      </w:r>
    </w:p>
    <w:p>
      <w:pPr>
        <w:pStyle w:val="3"/>
        <w:keepNext w:val="0"/>
        <w:keepLines w:val="0"/>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194" w:name="_Toc25770"/>
      <w:bookmarkStart w:id="195" w:name="_Toc14613"/>
      <w:r>
        <w:rPr>
          <w:rFonts w:hint="default" w:ascii="Times New Roman" w:hAnsi="Times New Roman" w:eastAsia="宋体" w:cs="Times New Roman"/>
          <w:sz w:val="32"/>
          <w:rtl w:val="0"/>
          <w:lang w:val="en-US" w:eastAsia="zh-CN"/>
        </w:rPr>
        <w:t>保持社会稳定和安全</w:t>
      </w:r>
      <w:bookmarkEnd w:id="194"/>
      <w:bookmarkEnd w:id="195"/>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正确处理新形势下人民内部矛盾，坚持和发展新时代</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枫桥经验</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持续开展群众安全感和政法满意度“双提升”工作，</w:t>
      </w:r>
      <w:r>
        <w:rPr>
          <w:rFonts w:hint="default" w:ascii="Times New Roman" w:hAnsi="Times New Roman" w:eastAsia="仿宋_GB2312" w:cs="Times New Roman"/>
          <w:color w:val="000000" w:themeColor="text1"/>
          <w:sz w:val="32"/>
          <w:szCs w:val="32"/>
          <w14:textFill>
            <w14:solidFill>
              <w14:schemeClr w14:val="tx1"/>
            </w14:solidFill>
          </w14:textFill>
        </w:rPr>
        <w:t>保持社会和谐稳定。</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完善立体化治安防控体系。</w:t>
      </w:r>
      <w:r>
        <w:rPr>
          <w:rFonts w:hint="default" w:ascii="Times New Roman" w:hAnsi="Times New Roman" w:eastAsia="仿宋_GB2312" w:cs="Times New Roman"/>
          <w:color w:val="000000" w:themeColor="text1"/>
          <w:sz w:val="32"/>
          <w:szCs w:val="32"/>
          <w14:textFill>
            <w14:solidFill>
              <w14:schemeClr w14:val="tx1"/>
            </w14:solidFill>
          </w14:textFill>
        </w:rPr>
        <w:t>全面建成以圈层查控、单元防控、要素管控为主体的治安体系，推动构建环区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治安防控识别圈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完善天网工程</w:t>
      </w:r>
      <w:r>
        <w:rPr>
          <w:rFonts w:hint="default" w:ascii="Times New Roman" w:hAnsi="Times New Roman" w:eastAsia="仿宋_GB2312" w:cs="Times New Roman"/>
          <w:color w:val="000000" w:themeColor="text1"/>
          <w:sz w:val="32"/>
          <w:szCs w:val="32"/>
          <w14:textFill>
            <w14:solidFill>
              <w14:schemeClr w14:val="tx1"/>
            </w14:solidFill>
          </w14:textFill>
        </w:rPr>
        <w:t>建设，加强智慧街面巡防。</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推动基层综治中心建设，实现街道、社区全覆盖。对接综治管理网格，</w:t>
      </w:r>
      <w:r>
        <w:rPr>
          <w:rFonts w:hint="default" w:ascii="Times New Roman" w:hAnsi="Times New Roman" w:eastAsia="仿宋_GB2312" w:cs="Times New Roman"/>
          <w:color w:val="000000" w:themeColor="text1"/>
          <w:sz w:val="32"/>
          <w:szCs w:val="32"/>
          <w14:textFill>
            <w14:solidFill>
              <w14:schemeClr w14:val="tx1"/>
            </w14:solidFill>
          </w14:textFill>
        </w:rPr>
        <w:t>推进智慧平安小区建设</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强化社区警务建设，加强派出所、警务辅助力量、群防群治力量建设，进一步完善防控感知体系建设。</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到2025年，智慧平安小区覆盖率达到100%。</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打击各类违法犯罪活动。</w:t>
      </w:r>
      <w:r>
        <w:rPr>
          <w:rFonts w:hint="default" w:ascii="Times New Roman" w:hAnsi="Times New Roman" w:eastAsia="仿宋_GB2312" w:cs="Times New Roman"/>
          <w:color w:val="000000" w:themeColor="text1"/>
          <w:sz w:val="32"/>
          <w:szCs w:val="32"/>
          <w14:textFill>
            <w14:solidFill>
              <w14:schemeClr w14:val="tx1"/>
            </w14:solidFill>
          </w14:textFill>
        </w:rPr>
        <w:t>打好扫黑除恶专项斗争持久战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始终保持依法严打高压态势，持续提升打击能力水平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坚持把源头治理作为治本之策，持续深化重点行业领域整治，持续防范和整治“村霸”问题，</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实现长效常治</w:t>
      </w:r>
      <w:r>
        <w:rPr>
          <w:rFonts w:hint="default" w:ascii="Times New Roman" w:hAnsi="Times New Roman" w:eastAsia="仿宋_GB2312" w:cs="Times New Roman"/>
          <w:color w:val="000000" w:themeColor="text1"/>
          <w:sz w:val="32"/>
          <w:szCs w:val="32"/>
          <w14:textFill>
            <w14:solidFill>
              <w14:schemeClr w14:val="tx1"/>
            </w14:solidFill>
          </w14:textFill>
        </w:rPr>
        <w:t>。严厉打击</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盗抢骗</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等多发性侵财犯罪和新型网络电信诈骗犯罪。完善</w:t>
      </w:r>
      <w:r>
        <w:rPr>
          <w:rFonts w:hint="default" w:ascii="Times New Roman" w:hAnsi="Times New Roman" w:eastAsia="方正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推磨转圈</w:t>
      </w:r>
      <w:r>
        <w:rPr>
          <w:rFonts w:hint="default" w:ascii="Times New Roman" w:hAnsi="Times New Roman" w:eastAsia="方正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治安乱点清查机制，进一步整治涉黄、涉赌等突出问题。</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推进“前哨”系统建设。</w:t>
      </w:r>
      <w:r>
        <w:rPr>
          <w:rFonts w:hint="default" w:ascii="Times New Roman" w:hAnsi="Times New Roman" w:eastAsia="仿宋_GB2312" w:cs="Times New Roman"/>
          <w:color w:val="000000" w:themeColor="text1"/>
          <w:sz w:val="32"/>
          <w:szCs w:val="32"/>
          <w14:textFill>
            <w14:solidFill>
              <w14:schemeClr w14:val="tx1"/>
            </w14:solidFill>
          </w14:textFill>
        </w:rPr>
        <w:t>全面提升我区中小学校、幼儿园等重点部位安全防护能力，有效防范应对个人极端暴力犯罪，深化拓展防范个人极端事件</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前哨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系统建设应用，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争取</w:t>
      </w:r>
      <w:r>
        <w:rPr>
          <w:rFonts w:hint="default" w:ascii="Times New Roman" w:hAnsi="Times New Roman" w:eastAsia="仿宋_GB2312" w:cs="Times New Roman"/>
          <w:color w:val="000000" w:themeColor="text1"/>
          <w:sz w:val="32"/>
          <w:szCs w:val="32"/>
          <w14:textFill>
            <w14:solidFill>
              <w14:schemeClr w14:val="tx1"/>
            </w14:solidFill>
          </w14:textFill>
        </w:rPr>
        <w:t>实现全区教育部门登记注册的中小学校、幼儿园全覆盖，并视情延伸至车站、医院、广场、商贸中心区等人员密集部位和场所。</w:t>
      </w:r>
    </w:p>
    <w:p>
      <w:pPr>
        <w:pStyle w:val="25"/>
        <w:pageBreakBefore w:val="0"/>
        <w:numPr>
          <w:ilvl w:val="0"/>
          <w:numId w:val="0"/>
        </w:numPr>
        <w:kinsoku/>
        <w:overflowPunct/>
        <w:autoSpaceDE/>
        <w:autoSpaceDN/>
        <w:bidi w:val="0"/>
        <w:adjustRightInd/>
        <w:spacing w:line="560" w:lineRule="exact"/>
        <w:ind w:firstLine="643" w:firstLineChars="200"/>
        <w:textAlignment w:val="auto"/>
        <w:outlineLvl w:val="9"/>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b/>
          <w:bCs/>
          <w:color w:val="000000" w:themeColor="text1"/>
          <w:kern w:val="0"/>
          <w:sz w:val="32"/>
          <w:szCs w:val="32"/>
          <w:shd w:val="clear" w:color="auto" w:fill="FFFFFF"/>
          <w:rtl w:val="0"/>
          <w:lang w:val="en-US" w:eastAsia="zh-CN" w:bidi="ar-SA"/>
          <w14:textFill>
            <w14:solidFill>
              <w14:schemeClr w14:val="tx1"/>
            </w14:solidFill>
          </w14:textFill>
        </w:rPr>
        <w:t>有效化解社会矛盾。</w:t>
      </w:r>
      <w:r>
        <w:rPr>
          <w:rFonts w:hint="default" w:ascii="Times New Roman" w:hAnsi="Times New Roman" w:eastAsia="仿宋_GB2312" w:cs="Times New Roman"/>
          <w:color w:val="000000" w:themeColor="text1"/>
          <w:sz w:val="32"/>
          <w:szCs w:val="32"/>
          <w14:textFill>
            <w14:solidFill>
              <w14:schemeClr w14:val="tx1"/>
            </w14:solidFill>
          </w14:textFill>
        </w:rPr>
        <w:t>严格落实领导包案接访和重大决策社会稳定风险评估制度，完善社会矛盾排查预警和调处化解综合机制，强化多元矛盾纠纷化解体系建设工作，打造新时代</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枫桥经验</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瑶海版。继续开展好</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三无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人民满意窗口</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等</w:t>
      </w:r>
      <w:r>
        <w:rPr>
          <w:rFonts w:hint="default" w:ascii="Times New Roman" w:hAnsi="Times New Roman" w:eastAsia="仿宋_GB2312" w:cs="Times New Roman"/>
          <w:color w:val="000000" w:themeColor="text1"/>
          <w:sz w:val="32"/>
          <w:szCs w:val="32"/>
          <w14:textFill>
            <w14:solidFill>
              <w14:schemeClr w14:val="tx1"/>
            </w14:solidFill>
          </w14:textFill>
        </w:rPr>
        <w:t>创建活动，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做好</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四最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四下基层</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等试点工作，</w:t>
      </w:r>
      <w:r>
        <w:rPr>
          <w:rFonts w:hint="default" w:ascii="Times New Roman" w:hAnsi="Times New Roman" w:eastAsia="仿宋_GB2312" w:cs="Times New Roman"/>
          <w:color w:val="000000" w:themeColor="text1"/>
          <w:sz w:val="32"/>
          <w:szCs w:val="32"/>
          <w14:textFill>
            <w14:solidFill>
              <w14:schemeClr w14:val="tx1"/>
            </w14:solidFill>
          </w14:textFill>
        </w:rPr>
        <w:t>打好信访突出问题化解攻坚战，加强信访工作源头预防，切实做好涉军群体政策落实、走访慰问、帮扶解困等工作，继续推进信警联治、街所联动机制融合。</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建设基层法律服务中心，提供法律援助，以法律手段化解矛盾纠纷。</w:t>
      </w:r>
      <w:r>
        <w:rPr>
          <w:rFonts w:hint="default" w:ascii="Times New Roman" w:hAnsi="Times New Roman" w:eastAsia="仿宋_GB2312" w:cs="Times New Roman"/>
          <w:color w:val="000000" w:themeColor="text1"/>
          <w:sz w:val="32"/>
          <w:szCs w:val="32"/>
          <w14:textFill>
            <w14:solidFill>
              <w14:schemeClr w14:val="tx1"/>
            </w14:solidFill>
          </w14:textFill>
        </w:rPr>
        <w:t>健全社会心理服务体系和疏导机制、危机干预机制，进一步加强专职人民调解员队伍建设。</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十四五</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期间，“三无”信访街镇、社区达标率</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均完成市下达任务</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p>
    <w:p>
      <w:pPr>
        <w:pStyle w:val="2"/>
        <w:keepNext/>
        <w:keepLines/>
        <w:pageBreakBefore w:val="0"/>
        <w:widowControl w:val="0"/>
        <w:numPr>
          <w:ilvl w:val="0"/>
          <w:numId w:val="2"/>
        </w:numPr>
        <w:kinsoku/>
        <w:wordWrap/>
        <w:overflowPunct/>
        <w:topLinePunct w:val="0"/>
        <w:autoSpaceDE/>
        <w:autoSpaceDN/>
        <w:bidi w:val="0"/>
        <w:adjustRightInd/>
        <w:snapToGrid/>
        <w:spacing w:before="313" w:beforeLines="100" w:after="50" w:afterLines="50" w:line="560" w:lineRule="exact"/>
        <w:ind w:left="0" w:leftChars="0" w:firstLine="640" w:firstLineChars="200"/>
        <w:jc w:val="left"/>
        <w:textAlignment w:val="auto"/>
        <w:rPr>
          <w:rFonts w:hint="default" w:ascii="Times New Roman" w:hAnsi="Times New Roman" w:eastAsia="黑体" w:cs="Times New Roman"/>
          <w:b w:val="0"/>
          <w:sz w:val="32"/>
          <w:rtl w:val="0"/>
          <w:lang w:val="en-US" w:eastAsia="zh-CN"/>
        </w:rPr>
      </w:pPr>
      <w:r>
        <w:rPr>
          <w:rFonts w:hint="default" w:ascii="Times New Roman" w:hAnsi="Times New Roman" w:eastAsia="黑体" w:cs="Times New Roman"/>
          <w:b w:val="0"/>
          <w:sz w:val="32"/>
          <w:rtl w:val="0"/>
          <w:lang w:val="en-US" w:eastAsia="zh-CN"/>
        </w:rPr>
        <w:t xml:space="preserve">  </w:t>
      </w:r>
      <w:bookmarkStart w:id="196" w:name="_Toc21961"/>
      <w:bookmarkStart w:id="197" w:name="_Toc913"/>
      <w:bookmarkStart w:id="198" w:name="_Toc31764"/>
      <w:r>
        <w:rPr>
          <w:rFonts w:hint="default" w:ascii="Times New Roman" w:hAnsi="Times New Roman" w:eastAsia="黑体" w:cs="Times New Roman"/>
          <w:b w:val="0"/>
          <w:sz w:val="32"/>
          <w:rtl w:val="0"/>
          <w:lang w:val="en-US" w:eastAsia="zh-CN"/>
        </w:rPr>
        <w:t>加强民主政治建设  营造公平正义法治环境</w:t>
      </w:r>
      <w:bookmarkEnd w:id="196"/>
      <w:bookmarkEnd w:id="197"/>
      <w:bookmarkEnd w:id="198"/>
    </w:p>
    <w:p>
      <w:pPr>
        <w:pStyle w:val="25"/>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sz w:val="32"/>
          <w:szCs w:val="32"/>
          <w:rtl w:val="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rtl w:val="0"/>
          <w:lang w:val="en-US" w:eastAsia="zh-CN"/>
          <w14:textFill>
            <w14:solidFill>
              <w14:schemeClr w14:val="tx1"/>
            </w14:solidFill>
          </w14:textFill>
        </w:rPr>
        <w:t>坚持党的领导、人民</w:t>
      </w:r>
      <w:r>
        <w:rPr>
          <w:rFonts w:hint="eastAsia" w:eastAsia="仿宋_GB2312" w:cs="Times New Roman"/>
          <w:color w:val="000000" w:themeColor="text1"/>
          <w:sz w:val="32"/>
          <w:szCs w:val="32"/>
          <w:rtl w:val="0"/>
          <w:lang w:val="en-US" w:eastAsia="zh-CN"/>
          <w14:textFill>
            <w14:solidFill>
              <w14:schemeClr w14:val="tx1"/>
            </w14:solidFill>
          </w14:textFill>
        </w:rPr>
        <w:t>当家作主</w:t>
      </w:r>
      <w:r>
        <w:rPr>
          <w:rFonts w:hint="default" w:ascii="Times New Roman" w:hAnsi="Times New Roman" w:eastAsia="仿宋_GB2312" w:cs="Times New Roman"/>
          <w:color w:val="000000" w:themeColor="text1"/>
          <w:sz w:val="32"/>
          <w:szCs w:val="32"/>
          <w:rtl w:val="0"/>
          <w:lang w:val="en-US" w:eastAsia="zh-CN"/>
          <w14:textFill>
            <w14:solidFill>
              <w14:schemeClr w14:val="tx1"/>
            </w14:solidFill>
          </w14:textFill>
        </w:rPr>
        <w:t>、依法治国有机统一，发扬社会主义民主，全面推进法治瑶海建设，更好体现人民意志、保障人民权益，激发人民创造，更加注重维护社会公平正义，全面提升民主法治化水平。</w:t>
      </w:r>
    </w:p>
    <w:p>
      <w:pPr>
        <w:pStyle w:val="3"/>
        <w:keepNext w:val="0"/>
        <w:keepLines w:val="0"/>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3" w:firstLineChars="0"/>
        <w:jc w:val="center"/>
        <w:textAlignment w:val="auto"/>
        <w:rPr>
          <w:rFonts w:hint="default" w:ascii="Times New Roman" w:hAnsi="Times New Roman" w:eastAsia="宋体" w:cs="Times New Roman"/>
          <w:b/>
          <w:bCs w:val="0"/>
          <w:kern w:val="2"/>
          <w:sz w:val="32"/>
          <w:szCs w:val="32"/>
          <w:rtl w:val="0"/>
          <w:lang w:val="en-US" w:eastAsia="zh-CN" w:bidi="ar-SA"/>
        </w:rPr>
      </w:pPr>
      <w:r>
        <w:rPr>
          <w:rFonts w:hint="default" w:ascii="Times New Roman" w:hAnsi="Times New Roman" w:eastAsia="宋体" w:cs="Times New Roman"/>
          <w:b/>
          <w:bCs w:val="0"/>
          <w:kern w:val="2"/>
          <w:sz w:val="32"/>
          <w:szCs w:val="32"/>
          <w:rtl w:val="0"/>
          <w:lang w:val="en-US" w:eastAsia="zh-CN" w:bidi="ar-SA"/>
        </w:rPr>
        <w:t xml:space="preserve"> </w:t>
      </w:r>
      <w:bookmarkStart w:id="199" w:name="_Toc18231"/>
      <w:bookmarkStart w:id="200" w:name="_Toc17046"/>
      <w:bookmarkStart w:id="201" w:name="_Toc1579"/>
      <w:r>
        <w:rPr>
          <w:rFonts w:hint="default" w:ascii="Times New Roman" w:hAnsi="Times New Roman" w:eastAsia="宋体" w:cs="Times New Roman"/>
          <w:b/>
          <w:bCs w:val="0"/>
          <w:kern w:val="2"/>
          <w:sz w:val="32"/>
          <w:szCs w:val="32"/>
          <w:rtl w:val="0"/>
          <w:lang w:val="en-US" w:eastAsia="zh-CN" w:bidi="ar-SA"/>
        </w:rPr>
        <w:t>全面推进社会主义政治建设</w:t>
      </w:r>
      <w:bookmarkEnd w:id="199"/>
      <w:bookmarkEnd w:id="200"/>
      <w:bookmarkEnd w:id="201"/>
    </w:p>
    <w:p>
      <w:pPr>
        <w:pStyle w:val="26"/>
        <w:pageBreakBefore w:val="0"/>
        <w:widowControl w:val="0"/>
        <w:kinsoku/>
        <w:wordWrap/>
        <w:overflowPunct/>
        <w:topLinePunct w:val="0"/>
        <w:autoSpaceDE/>
        <w:autoSpaceDN/>
        <w:bidi w:val="0"/>
        <w:adjustRightInd/>
        <w:snapToGrid/>
        <w:spacing w:line="560" w:lineRule="exact"/>
        <w:ind w:firstLine="640" w:firstLineChars="200"/>
        <w:rPr>
          <w:rFonts w:hint="default" w:ascii="Times New Roman" w:hAnsi="Times New Roman" w:cs="Times New Roman"/>
          <w:b w:val="0"/>
          <w:color w:val="auto"/>
          <w:kern w:val="0"/>
          <w:sz w:val="32"/>
          <w:szCs w:val="32"/>
          <w:highlight w:val="none"/>
          <w:rtl w:val="0"/>
          <w:lang w:val="en-US" w:eastAsia="zh-CN" w:bidi="ar-SA"/>
        </w:rPr>
      </w:pPr>
      <w:r>
        <w:rPr>
          <w:rFonts w:hint="default" w:ascii="Times New Roman" w:hAnsi="Times New Roman" w:eastAsia="仿宋_GB2312" w:cs="Times New Roman"/>
          <w:b w:val="0"/>
          <w:color w:val="auto"/>
          <w:kern w:val="2"/>
          <w:sz w:val="32"/>
          <w:szCs w:val="32"/>
          <w:highlight w:val="none"/>
          <w:rtl w:val="0"/>
          <w:lang w:val="en-US" w:eastAsia="zh-CN" w:bidi="ar-SA"/>
        </w:rPr>
        <w:t>坚持党的领导、人民当家作主、依法治国有机统一，坚持和完善人民代表大会制度，坚持和完善中国共产党领导的多党合作和政治协商制度，全面贯彻党的民族政策，全面贯彻党的宗教工作基本方针，健全基层群众自治制度，发挥工会、共青团、妇联等人民团体作用，完善大统战工作格局，全面贯彻党的侨务政策。</w:t>
      </w:r>
      <w:r>
        <w:rPr>
          <w:rFonts w:hint="default" w:ascii="Times New Roman" w:hAnsi="Times New Roman" w:eastAsia="仿宋_GB2312" w:cs="Times New Roman"/>
          <w:b w:val="0"/>
          <w:color w:val="auto"/>
          <w:kern w:val="0"/>
          <w:sz w:val="32"/>
          <w:szCs w:val="32"/>
          <w:highlight w:val="none"/>
          <w:rtl w:val="0"/>
          <w:lang w:val="en-US" w:eastAsia="zh-CN" w:bidi="ar-SA"/>
        </w:rPr>
        <w:t>全面落实新时代党的组织路线，落实好干部标准，提高各级领导班子和干部适应新时代新要求，抓改革、促发展、保稳定水平和专业化能力</w:t>
      </w:r>
      <w:r>
        <w:rPr>
          <w:rFonts w:hint="default" w:ascii="Times New Roman" w:hAnsi="Times New Roman" w:cs="Times New Roman"/>
          <w:b w:val="0"/>
          <w:color w:val="auto"/>
          <w:kern w:val="0"/>
          <w:sz w:val="32"/>
          <w:szCs w:val="32"/>
          <w:highlight w:val="none"/>
          <w:rtl w:val="0"/>
          <w:lang w:val="en-US" w:eastAsia="zh-CN" w:bidi="ar-SA"/>
        </w:rPr>
        <w:t>。</w:t>
      </w:r>
    </w:p>
    <w:p>
      <w:pPr>
        <w:pStyle w:val="3"/>
        <w:keepNext w:val="0"/>
        <w:keepLines w:val="0"/>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3" w:firstLineChars="0"/>
        <w:jc w:val="center"/>
        <w:textAlignment w:val="auto"/>
        <w:rPr>
          <w:rFonts w:hint="default" w:ascii="Times New Roman" w:hAnsi="Times New Roman" w:eastAsia="宋体" w:cs="Times New Roman"/>
          <w:b/>
          <w:bCs w:val="0"/>
          <w:kern w:val="2"/>
          <w:sz w:val="32"/>
          <w:szCs w:val="32"/>
          <w:rtl w:val="0"/>
          <w:lang w:val="en-US" w:eastAsia="zh-CN" w:bidi="ar-SA"/>
        </w:rPr>
      </w:pPr>
      <w:r>
        <w:rPr>
          <w:rFonts w:hint="default" w:ascii="Times New Roman" w:hAnsi="Times New Roman" w:eastAsia="宋体" w:cs="Times New Roman"/>
          <w:b/>
          <w:bCs w:val="0"/>
          <w:kern w:val="2"/>
          <w:sz w:val="32"/>
          <w:szCs w:val="32"/>
          <w:rtl w:val="0"/>
          <w:lang w:val="en-US" w:eastAsia="zh-CN" w:bidi="ar-SA"/>
        </w:rPr>
        <w:t xml:space="preserve"> </w:t>
      </w:r>
      <w:bookmarkStart w:id="202" w:name="_Toc10817"/>
      <w:bookmarkStart w:id="203" w:name="_Toc23300"/>
      <w:bookmarkStart w:id="204" w:name="_Toc21503"/>
      <w:r>
        <w:rPr>
          <w:rFonts w:hint="default" w:ascii="Times New Roman" w:hAnsi="Times New Roman" w:eastAsia="宋体" w:cs="Times New Roman"/>
          <w:b/>
          <w:bCs w:val="0"/>
          <w:kern w:val="2"/>
          <w:sz w:val="32"/>
          <w:szCs w:val="32"/>
          <w:rtl w:val="0"/>
          <w:lang w:val="en-US" w:eastAsia="zh-CN" w:bidi="ar-SA"/>
        </w:rPr>
        <w:t>全面推进法治瑶海建设</w:t>
      </w:r>
      <w:bookmarkEnd w:id="202"/>
      <w:bookmarkEnd w:id="203"/>
      <w:bookmarkEnd w:id="204"/>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50" w:beforeLines="50" w:after="50" w:afterLines="50" w:line="560" w:lineRule="exact"/>
        <w:ind w:firstLine="640" w:firstLineChars="200"/>
        <w:jc w:val="both"/>
        <w:textAlignment w:val="auto"/>
        <w:outlineLvl w:val="9"/>
        <w:rPr>
          <w:rFonts w:hint="default" w:ascii="Times New Roman" w:hAnsi="Times New Roman" w:eastAsia="宋体" w:cs="Times New Roman"/>
          <w:b/>
          <w:bCs w:val="0"/>
          <w:kern w:val="2"/>
          <w:sz w:val="32"/>
          <w:szCs w:val="32"/>
          <w:rtl w:val="0"/>
          <w:lang w:val="en-US" w:eastAsia="zh-CN" w:bidi="ar-SA"/>
        </w:rPr>
      </w:pPr>
      <w:r>
        <w:rPr>
          <w:rFonts w:hint="default" w:ascii="Times New Roman" w:hAnsi="Times New Roman" w:eastAsia="仿宋_GB2312" w:cs="Times New Roman"/>
          <w:b w:val="0"/>
          <w:color w:val="auto"/>
          <w:kern w:val="0"/>
          <w:sz w:val="32"/>
          <w:szCs w:val="32"/>
          <w:highlight w:val="none"/>
          <w:rtl w:val="0"/>
          <w:lang w:val="en-US" w:eastAsia="zh-CN" w:bidi="ar-SA"/>
        </w:rPr>
        <w:t>坚持法治瑶海、法治政府、法治社会一体化建设，提高依法行政水平。依法全面正确履行政府职能，加快法治政府建设。严格执行政府权力清单和责任清单制度。进一步健全依法决策机制，进一步深化行政执法体制改革，强化审计、监察等专项监督。打造社会主义法治工作队伍，全面提高依法执政能力和水平。促进司法公正，推进司法体制机制改革，培育发展公共法律服务组织，全面提升新时代公共法律服务的能力和水平，促进公共法律服务多元化、专业化的均衡发展。提升全民法治意识，把法治教育纳入国民教育体系，深入开展全民法治宣传教育，深入实施“八五”普法规划，落实普法责任制。加强检察院、法院建设</w:t>
      </w:r>
      <w:bookmarkStart w:id="205" w:name="_Toc3910"/>
      <w:r>
        <w:rPr>
          <w:rFonts w:hint="default" w:ascii="Times New Roman" w:hAnsi="Times New Roman" w:eastAsia="仿宋_GB2312" w:cs="Times New Roman"/>
          <w:b w:val="0"/>
          <w:color w:val="auto"/>
          <w:kern w:val="0"/>
          <w:sz w:val="32"/>
          <w:szCs w:val="32"/>
          <w:highlight w:val="none"/>
          <w:rtl w:val="0"/>
          <w:lang w:val="en-US" w:eastAsia="zh-CN" w:bidi="ar-SA"/>
        </w:rPr>
        <w:t>，完善监察权、审判权、检察权运行和监督机制，提高依法行政水平。</w:t>
      </w:r>
    </w:p>
    <w:bookmarkEnd w:id="205"/>
    <w:p>
      <w:pPr>
        <w:pStyle w:val="2"/>
        <w:keepNext/>
        <w:keepLines/>
        <w:pageBreakBefore w:val="0"/>
        <w:widowControl w:val="0"/>
        <w:numPr>
          <w:ilvl w:val="0"/>
          <w:numId w:val="2"/>
        </w:numPr>
        <w:kinsoku/>
        <w:wordWrap/>
        <w:overflowPunct/>
        <w:topLinePunct w:val="0"/>
        <w:autoSpaceDE/>
        <w:autoSpaceDN/>
        <w:bidi w:val="0"/>
        <w:adjustRightInd/>
        <w:snapToGrid/>
        <w:spacing w:before="313" w:beforeLines="100" w:after="50" w:afterLines="50" w:line="560" w:lineRule="exact"/>
        <w:ind w:left="0" w:leftChars="0" w:firstLine="640" w:firstLineChars="200"/>
        <w:jc w:val="left"/>
        <w:textAlignment w:val="auto"/>
        <w:rPr>
          <w:rFonts w:hint="default" w:ascii="Times New Roman" w:hAnsi="Times New Roman" w:eastAsia="黑体" w:cs="Times New Roman"/>
          <w:b w:val="0"/>
          <w:sz w:val="32"/>
          <w:rtl w:val="0"/>
          <w:lang w:val="en-US" w:eastAsia="zh-CN"/>
        </w:rPr>
      </w:pPr>
      <w:r>
        <w:rPr>
          <w:rFonts w:hint="default" w:ascii="Times New Roman" w:hAnsi="Times New Roman" w:eastAsia="黑体" w:cs="Times New Roman"/>
          <w:b w:val="0"/>
          <w:sz w:val="32"/>
          <w:rtl w:val="0"/>
          <w:lang w:val="en-US" w:eastAsia="zh-CN"/>
        </w:rPr>
        <w:t xml:space="preserve">  </w:t>
      </w:r>
      <w:bookmarkStart w:id="206" w:name="_Toc9058"/>
      <w:bookmarkStart w:id="207" w:name="_Toc22350"/>
      <w:r>
        <w:rPr>
          <w:rFonts w:hint="default" w:ascii="Times New Roman" w:hAnsi="Times New Roman" w:eastAsia="黑体" w:cs="Times New Roman"/>
          <w:b w:val="0"/>
          <w:sz w:val="32"/>
          <w:rtl w:val="0"/>
          <w:lang w:val="en-US" w:eastAsia="zh-CN"/>
        </w:rPr>
        <w:t>切实加强规划实施与保障  确保规划目标顺利实现</w:t>
      </w:r>
      <w:bookmarkEnd w:id="206"/>
      <w:bookmarkEnd w:id="207"/>
    </w:p>
    <w:p>
      <w:pPr>
        <w:pStyle w:val="25"/>
        <w:pageBreakBefore w:val="0"/>
        <w:kinsoku/>
        <w:overflowPunct/>
        <w:autoSpaceDE/>
        <w:autoSpaceDN/>
        <w:bidi w:val="0"/>
        <w:adjustRightInd/>
        <w:spacing w:line="560" w:lineRule="exact"/>
        <w:ind w:firstLine="64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实现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十四五</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规划和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2035</w:t>
      </w:r>
      <w:r>
        <w:rPr>
          <w:rFonts w:hint="default" w:ascii="Times New Roman" w:hAnsi="Times New Roman" w:eastAsia="仿宋_GB2312" w:cs="Times New Roman"/>
          <w:color w:val="000000" w:themeColor="text1"/>
          <w:sz w:val="32"/>
          <w:szCs w:val="32"/>
          <w14:textFill>
            <w14:solidFill>
              <w14:schemeClr w14:val="tx1"/>
            </w14:solidFill>
          </w14:textFill>
        </w:rPr>
        <w:t>年远景目标，必须坚持党的全面领导，充分调动一切积极因素，广泛团结一切可以团结的力量，形成推动</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发展的强大</w:t>
      </w:r>
      <w:r>
        <w:rPr>
          <w:rFonts w:hint="default" w:ascii="Times New Roman" w:hAnsi="Times New Roman" w:eastAsia="仿宋_GB2312" w:cs="Times New Roman"/>
          <w:color w:val="000000" w:themeColor="text1"/>
          <w:sz w:val="32"/>
          <w:szCs w:val="32"/>
          <w14:textFill>
            <w14:solidFill>
              <w14:schemeClr w14:val="tx1"/>
            </w14:solidFill>
          </w14:textFill>
        </w:rPr>
        <w:t>合力。</w:t>
      </w:r>
    </w:p>
    <w:bookmarkEnd w:id="185"/>
    <w:bookmarkEnd w:id="186"/>
    <w:bookmarkEnd w:id="187"/>
    <w:p>
      <w:pPr>
        <w:pStyle w:val="3"/>
        <w:keepNext w:val="0"/>
        <w:keepLines w:val="0"/>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208" w:name="_Toc13663"/>
      <w:bookmarkStart w:id="209" w:name="_Toc18743"/>
      <w:r>
        <w:rPr>
          <w:rFonts w:hint="default" w:ascii="Times New Roman" w:hAnsi="Times New Roman" w:eastAsia="宋体" w:cs="Times New Roman"/>
          <w:sz w:val="32"/>
          <w:rtl w:val="0"/>
          <w:lang w:val="en-US" w:eastAsia="zh-CN"/>
        </w:rPr>
        <w:t>加强党的全面领导</w:t>
      </w:r>
      <w:bookmarkEnd w:id="208"/>
      <w:bookmarkEnd w:id="209"/>
    </w:p>
    <w:p>
      <w:pPr>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eastAsia="仿宋_GB2312" w:cs="Times New Roman"/>
          <w:color w:val="000000" w:themeColor="text1"/>
          <w:kern w:val="0"/>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SA"/>
          <w14:textFill>
            <w14:solidFill>
              <w14:schemeClr w14:val="tx1"/>
            </w14:solidFill>
          </w14:textFill>
        </w:rPr>
        <w:t>贯彻党把方向、谋大局、定政策、促改革的要求，认真学习习近平新时代中国特色社会主义思想，把贯彻习近平总书记考察安徽重要讲话指示精神作为重大政治任务和重要政治责任，增强“四个意识”、坚定“四个自信”、做到“两个维护”，坚持区委常委会会前学习制度，抓牢中心组理论学习等各层级学习制度，</w:t>
      </w:r>
      <w:r>
        <w:rPr>
          <w:rFonts w:ascii="Times New Roman" w:hAnsi="Times New Roman" w:eastAsia="仿宋_GB2312" w:cs="Times New Roman"/>
          <w:sz w:val="32"/>
          <w:szCs w:val="32"/>
        </w:rPr>
        <w:t>全面贯彻新时代党的组织路线</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color w:val="000000" w:themeColor="text1"/>
          <w:kern w:val="0"/>
          <w:sz w:val="32"/>
          <w:szCs w:val="32"/>
          <w:lang w:val="en-US" w:eastAsia="zh-CN" w:bidi="ar-SA"/>
          <w14:textFill>
            <w14:solidFill>
              <w14:schemeClr w14:val="tx1"/>
            </w14:solidFill>
          </w14:textFill>
        </w:rPr>
        <w:t>完善上下贯通、执行</w:t>
      </w:r>
      <w:r>
        <w:rPr>
          <w:rFonts w:hint="default" w:ascii="Times New Roman" w:hAnsi="Times New Roman" w:eastAsia="仿宋_GB2312" w:cs="Times New Roman"/>
          <w:color w:val="000000" w:themeColor="text1"/>
          <w:kern w:val="0"/>
          <w:sz w:val="32"/>
          <w:szCs w:val="32"/>
          <w:highlight w:val="none"/>
          <w:lang w:val="en-US" w:eastAsia="zh-CN" w:bidi="ar-SA"/>
          <w14:textFill>
            <w14:solidFill>
              <w14:schemeClr w14:val="tx1"/>
            </w14:solidFill>
          </w14:textFill>
        </w:rPr>
        <w:t>有力的组织</w:t>
      </w:r>
      <w:r>
        <w:rPr>
          <w:rFonts w:hint="default" w:ascii="Times New Roman" w:hAnsi="Times New Roman" w:eastAsia="仿宋_GB2312" w:cs="Times New Roman"/>
          <w:color w:val="000000" w:themeColor="text1"/>
          <w:kern w:val="0"/>
          <w:sz w:val="32"/>
          <w:szCs w:val="32"/>
          <w:lang w:val="en-US" w:eastAsia="zh-CN" w:bidi="ar-SA"/>
          <w14:textFill>
            <w14:solidFill>
              <w14:schemeClr w14:val="tx1"/>
            </w14:solidFill>
          </w14:textFill>
        </w:rPr>
        <w:t>体系，落实好干部标准，强化干部激励约束，改进高质量发展的政绩考核，充分发挥“指挥棒”作用</w:t>
      </w: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SA"/>
          <w14:textFill>
            <w14:solidFill>
              <w14:schemeClr w14:val="tx1"/>
            </w14:solidFill>
          </w14:textFill>
        </w:rPr>
        <w:t>把党的领导落实到“十四五”规划实施的各领域和全过程。</w:t>
      </w:r>
    </w:p>
    <w:p>
      <w:pPr>
        <w:pStyle w:val="3"/>
        <w:keepNext w:val="0"/>
        <w:keepLines w:val="0"/>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bookmarkStart w:id="210" w:name="_Toc19311"/>
      <w:bookmarkStart w:id="211" w:name="_Toc527"/>
      <w:bookmarkStart w:id="212" w:name="_Toc1366"/>
      <w:bookmarkStart w:id="213" w:name="_Toc30903"/>
      <w:bookmarkStart w:id="214" w:name="_Toc29501"/>
      <w:bookmarkStart w:id="215" w:name="_Toc3177"/>
      <w:r>
        <w:rPr>
          <w:rFonts w:hint="default" w:ascii="Times New Roman" w:hAnsi="Times New Roman" w:eastAsia="宋体" w:cs="Times New Roman"/>
          <w:sz w:val="32"/>
          <w:rtl w:val="0"/>
          <w:lang w:val="en-US" w:eastAsia="zh-CN"/>
        </w:rPr>
        <w:t xml:space="preserve"> </w:t>
      </w:r>
      <w:bookmarkStart w:id="216" w:name="_Toc31792"/>
      <w:bookmarkStart w:id="217" w:name="_Toc30540"/>
      <w:r>
        <w:rPr>
          <w:rFonts w:hint="default" w:ascii="Times New Roman" w:hAnsi="Times New Roman" w:eastAsia="宋体" w:cs="Times New Roman"/>
          <w:sz w:val="32"/>
          <w:rtl w:val="0"/>
          <w:lang w:val="en-US" w:eastAsia="zh-CN"/>
        </w:rPr>
        <w:t>引导社会广泛参与</w:t>
      </w:r>
      <w:bookmarkEnd w:id="216"/>
      <w:bookmarkEnd w:id="217"/>
    </w:p>
    <w:bookmarkEnd w:id="210"/>
    <w:bookmarkEnd w:id="211"/>
    <w:bookmarkEnd w:id="212"/>
    <w:bookmarkEnd w:id="213"/>
    <w:bookmarkEnd w:id="214"/>
    <w:bookmarkEnd w:id="215"/>
    <w:p>
      <w:pPr>
        <w:keepNext w:val="0"/>
        <w:keepLines w:val="0"/>
        <w:pageBreakBefore w:val="0"/>
        <w:numPr>
          <w:ilvl w:val="0"/>
          <w:numId w:val="0"/>
        </w:numPr>
        <w:kinsoku/>
        <w:overflowPunct/>
        <w:autoSpaceDE/>
        <w:autoSpaceDN/>
        <w:bidi w:val="0"/>
        <w:adjustRightInd/>
        <w:snapToGrid w:val="0"/>
        <w:spacing w:line="560" w:lineRule="exact"/>
        <w:ind w:firstLine="640" w:firstLineChars="200"/>
        <w:textAlignment w:val="auto"/>
        <w:outlineLvl w:val="9"/>
        <w:rPr>
          <w:rFonts w:hint="default" w:ascii="Times New Roman" w:hAnsi="Times New Roman" w:eastAsia="仿宋_GB2312" w:cs="Times New Roman"/>
          <w:color w:val="000000" w:themeColor="text1"/>
          <w:kern w:val="0"/>
          <w:sz w:val="32"/>
          <w:szCs w:val="32"/>
          <w:lang w:val="en-US" w:eastAsia="zh-CN" w:bidi="ar-SA"/>
          <w14:textFill>
            <w14:solidFill>
              <w14:schemeClr w14:val="tx1"/>
            </w14:solidFill>
          </w14:textFill>
        </w:rPr>
      </w:pPr>
      <w:r>
        <w:rPr>
          <w:rFonts w:hint="default" w:ascii="Times New Roman" w:hAnsi="Times New Roman" w:eastAsia="仿宋_GB2312" w:cs="Times New Roman"/>
          <w:b w:val="0"/>
          <w:color w:val="000000" w:themeColor="text1"/>
          <w:kern w:val="0"/>
          <w:sz w:val="32"/>
          <w:szCs w:val="32"/>
          <w:lang w:val="en-US" w:eastAsia="zh-CN" w:bidi="ar-SA"/>
          <w14:textFill>
            <w14:solidFill>
              <w14:schemeClr w14:val="tx1"/>
            </w14:solidFill>
          </w14:textFill>
        </w:rPr>
        <w:t>面向社会、面向群众，充分运用广播电视、</w:t>
      </w:r>
      <w:r>
        <w:rPr>
          <w:rFonts w:hint="default" w:ascii="Times New Roman" w:hAnsi="Times New Roman" w:eastAsia="仿宋_GB2312" w:cs="Times New Roman"/>
          <w:b w:val="0"/>
          <w:color w:val="000000" w:themeColor="text1"/>
          <w:kern w:val="0"/>
          <w:sz w:val="32"/>
          <w:szCs w:val="32"/>
          <w:highlight w:val="none"/>
          <w:lang w:val="en-US" w:eastAsia="zh-CN" w:bidi="ar-SA"/>
          <w14:textFill>
            <w14:solidFill>
              <w14:schemeClr w14:val="tx1"/>
            </w14:solidFill>
          </w14:textFill>
        </w:rPr>
        <w:t>报刊杂志</w:t>
      </w:r>
      <w:r>
        <w:rPr>
          <w:rFonts w:hint="default" w:ascii="Times New Roman" w:hAnsi="Times New Roman" w:eastAsia="仿宋_GB2312" w:cs="Times New Roman"/>
          <w:b w:val="0"/>
          <w:color w:val="000000" w:themeColor="text1"/>
          <w:kern w:val="0"/>
          <w:sz w:val="32"/>
          <w:szCs w:val="32"/>
          <w:lang w:val="en-US" w:eastAsia="zh-CN" w:bidi="ar-SA"/>
          <w14:textFill>
            <w14:solidFill>
              <w14:schemeClr w14:val="tx1"/>
            </w14:solidFill>
          </w14:textFill>
        </w:rPr>
        <w:t>、互联网和微信公众号、《向东看 新瑶海》等媒体平台，公开规划实施信息，深入宣传规划的发展思路、奋斗目标、主要任务和重大政策等，加强规划实施情况和发展成果的宣传推广，汇聚社会各方面力量和智慧，激发社会各界投身全区经济社会发展的积极性、自觉性和创造性，形成群策群力、共建共享的生动局面。</w:t>
      </w:r>
    </w:p>
    <w:p>
      <w:pPr>
        <w:pStyle w:val="3"/>
        <w:keepNext/>
        <w:keepLines w:val="0"/>
        <w:pageBreakBefore w:val="0"/>
        <w:widowControl w:val="0"/>
        <w:numPr>
          <w:ilvl w:val="0"/>
          <w:numId w:val="3"/>
        </w:numPr>
        <w:kinsoku/>
        <w:wordWrap/>
        <w:overflowPunct/>
        <w:topLinePunct w:val="0"/>
        <w:autoSpaceDE/>
        <w:autoSpaceDN/>
        <w:bidi w:val="0"/>
        <w:adjustRightInd/>
        <w:snapToGrid/>
        <w:spacing w:before="50" w:beforeLines="50" w:after="50" w:afterLines="50" w:line="560" w:lineRule="exact"/>
        <w:ind w:left="0" w:leftChars="0" w:firstLine="403" w:firstLineChars="0"/>
        <w:jc w:val="center"/>
        <w:textAlignment w:val="auto"/>
        <w:rPr>
          <w:rFonts w:hint="default" w:ascii="Times New Roman" w:hAnsi="Times New Roman" w:eastAsia="宋体" w:cs="Times New Roman"/>
          <w:sz w:val="32"/>
          <w:rtl w:val="0"/>
          <w:lang w:val="en-US" w:eastAsia="zh-CN"/>
        </w:rPr>
      </w:pPr>
      <w:r>
        <w:rPr>
          <w:rFonts w:hint="default" w:ascii="Times New Roman" w:hAnsi="Times New Roman" w:eastAsia="宋体" w:cs="Times New Roman"/>
          <w:sz w:val="32"/>
          <w:rtl w:val="0"/>
          <w:lang w:val="en-US" w:eastAsia="zh-CN"/>
        </w:rPr>
        <w:t xml:space="preserve"> </w:t>
      </w:r>
      <w:bookmarkStart w:id="218" w:name="_Toc5261"/>
      <w:bookmarkStart w:id="219" w:name="_Toc24153"/>
      <w:r>
        <w:rPr>
          <w:rFonts w:hint="default" w:ascii="Times New Roman" w:hAnsi="Times New Roman" w:eastAsia="宋体" w:cs="Times New Roman"/>
          <w:sz w:val="32"/>
          <w:rtl w:val="0"/>
          <w:lang w:val="en-US" w:eastAsia="zh-CN"/>
        </w:rPr>
        <w:t>严格评估督导</w:t>
      </w:r>
      <w:bookmarkEnd w:id="218"/>
      <w:bookmarkEnd w:id="21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color w:val="000000" w:themeColor="text1"/>
          <w:kern w:val="0"/>
          <w:sz w:val="32"/>
          <w:szCs w:val="32"/>
          <w:rtl w:val="0"/>
          <w:lang w:val="en-US" w:eastAsia="zh-CN" w:bidi="ar-SA"/>
          <w14:textFill>
            <w14:solidFill>
              <w14:schemeClr w14:val="tx1"/>
            </w14:solidFill>
          </w14:textFill>
        </w:rPr>
      </w:pPr>
      <w:r>
        <w:rPr>
          <w:rFonts w:hint="default" w:ascii="Times New Roman" w:hAnsi="Times New Roman" w:eastAsia="仿宋_GB2312" w:cs="Times New Roman"/>
          <w:b w:val="0"/>
          <w:color w:val="000000" w:themeColor="text1"/>
          <w:kern w:val="0"/>
          <w:sz w:val="32"/>
          <w:szCs w:val="32"/>
          <w:rtl w:val="0"/>
          <w:lang w:val="en-US" w:eastAsia="zh-CN" w:bidi="ar-SA"/>
          <w14:textFill>
            <w14:solidFill>
              <w14:schemeClr w14:val="tx1"/>
            </w14:solidFill>
          </w14:textFill>
        </w:rPr>
        <w:t>加强规划任务落实和评估考核，提升规划实施监测和评估能力，在规划实施年度、中期、末期，组织开展年度计划评估、中期评估和总结评估，并提请区人大常委会审议。引入第三方评估，作为规划评估考核的重要参考，完善规划实施监督制度，发挥行政监察、组织人事、统计审计等部门的监督作用，完善政府向人大报告和政协沟通机制，发挥社会各界对规划实施的监督作用。</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auto"/>
        <w:outlineLvl w:val="9"/>
        <w:rPr>
          <w:rFonts w:hint="default" w:ascii="Times New Roman" w:hAnsi="Times New Roman" w:eastAsia="仿宋_GB2312" w:cs="Times New Roman"/>
          <w:kern w:val="0"/>
          <w:sz w:val="32"/>
          <w:szCs w:val="32"/>
          <w:highlight w:val="none"/>
          <w:shd w:val="clear" w:color="auto" w:fill="FFFFFF"/>
          <w:lang w:val="en-US" w:eastAsia="zh-CN"/>
        </w:rPr>
      </w:pPr>
    </w:p>
    <w:p>
      <w:pPr>
        <w:pStyle w:val="14"/>
        <w:rPr>
          <w:rFonts w:hint="default" w:ascii="Times New Roman" w:hAnsi="Times New Roman" w:eastAsia="仿宋_GB2312" w:cs="Times New Roman"/>
          <w:b w:val="0"/>
          <w:color w:val="000000" w:themeColor="text1"/>
          <w:kern w:val="0"/>
          <w:sz w:val="32"/>
          <w:szCs w:val="32"/>
          <w:rtl w:val="0"/>
          <w:lang w:val="en-US" w:eastAsia="zh-CN" w:bidi="ar-SA"/>
          <w14:textFill>
            <w14:solidFill>
              <w14:schemeClr w14:val="tx1"/>
            </w14:solidFill>
          </w14:textFill>
        </w:rPr>
      </w:pPr>
    </w:p>
    <w:sectPr>
      <w:pgSz w:w="11906" w:h="16838"/>
      <w:pgMar w:top="1440" w:right="1800" w:bottom="1440" w:left="1800" w:header="851" w:footer="113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2A25D22-B24D-4C2E-8034-6F6048CCE91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48C992BD-C014-4D35-8521-6DC452606F4F}"/>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3" w:fontKey="{018F445F-F661-474D-9050-74E8AF3B8FE4}"/>
  </w:font>
  <w:font w:name="Cambria">
    <w:panose1 w:val="02040503050406030204"/>
    <w:charset w:val="00"/>
    <w:family w:val="roman"/>
    <w:pitch w:val="default"/>
    <w:sig w:usb0="E00006FF" w:usb1="420024FF" w:usb2="02000000" w:usb3="00000000" w:csb0="2000019F" w:csb1="00000000"/>
  </w:font>
  <w:font w:name="方正仿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00000001" w:usb1="08000000" w:usb2="00000000" w:usb3="00000000" w:csb0="00040000" w:csb1="00000000"/>
    <w:embedRegular r:id="rId4" w:fontKey="{F2E86D71-6CA4-48A3-A432-920F43BE940A}"/>
  </w:font>
  <w:font w:name="楷体_GB2312">
    <w:panose1 w:val="02010609030101010101"/>
    <w:charset w:val="86"/>
    <w:family w:val="modern"/>
    <w:pitch w:val="default"/>
    <w:sig w:usb0="00000001" w:usb1="080E0000" w:usb2="00000000" w:usb3="00000000" w:csb0="00040000" w:csb1="00000000"/>
    <w:embedRegular r:id="rId5" w:fontKey="{54FEE09C-E9A8-4795-B063-5D77CECCC44D}"/>
  </w:font>
  <w:font w:name="方正仿宋_GB2312">
    <w:panose1 w:val="02000000000000000000"/>
    <w:charset w:val="86"/>
    <w:family w:val="auto"/>
    <w:pitch w:val="default"/>
    <w:sig w:usb0="A00002BF" w:usb1="184F6CFA" w:usb2="00000012" w:usb3="00000000" w:csb0="00040001" w:csb1="00000000"/>
    <w:embedRegular r:id="rId6" w:fontKey="{505EC724-8821-48A8-A69F-5029817D6D7A}"/>
  </w:font>
  <w:font w:name="Heiti SC Light">
    <w:altName w:val="黑体"/>
    <w:panose1 w:val="02000000000000000000"/>
    <w:charset w:val="50"/>
    <w:family w:val="auto"/>
    <w:pitch w:val="default"/>
    <w:sig w:usb0="00000000" w:usb1="00000000" w:usb2="00000010" w:usb3="00000000" w:csb0="003E0000" w:csb1="00000000"/>
    <w:embedRegular r:id="rId7" w:fontKey="{F1377A3C-CA86-4C5D-BCCE-D3B08F9BE53E}"/>
  </w:font>
  <w:font w:name="楷体">
    <w:panose1 w:val="02010609060101010101"/>
    <w:charset w:val="86"/>
    <w:family w:val="modern"/>
    <w:pitch w:val="default"/>
    <w:sig w:usb0="800002BF" w:usb1="38CF7CFA" w:usb2="00000016" w:usb3="00000000" w:csb0="00040001" w:csb1="00000000"/>
    <w:embedRegular r:id="rId8" w:fontKey="{02A8CEE0-1CFD-4D26-9122-230667C2417E}"/>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仿宋_GB2312" w:cs="Times New Roman"/>
        <w:kern w:val="2"/>
        <w:sz w:val="18"/>
        <w:szCs w:val="18"/>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rPr>
                              <w:sz w:val="28"/>
                              <w:szCs w:val="32"/>
                            </w:rPr>
                          </w:pPr>
                          <w:r>
                            <w:rPr>
                              <w:sz w:val="28"/>
                              <w:szCs w:val="32"/>
                            </w:rPr>
                            <w:fldChar w:fldCharType="begin"/>
                          </w:r>
                          <w:r>
                            <w:rPr>
                              <w:sz w:val="28"/>
                              <w:szCs w:val="32"/>
                            </w:rPr>
                            <w:instrText xml:space="preserve"> PAGE  \* MERGEFORMAT </w:instrText>
                          </w:r>
                          <w:r>
                            <w:rPr>
                              <w:sz w:val="28"/>
                              <w:szCs w:val="32"/>
                            </w:rPr>
                            <w:fldChar w:fldCharType="separate"/>
                          </w:r>
                          <w:r>
                            <w:rPr>
                              <w:sz w:val="28"/>
                              <w:szCs w:val="32"/>
                            </w:rPr>
                            <w:t>1</w:t>
                          </w:r>
                          <w:r>
                            <w:rPr>
                              <w:sz w:val="28"/>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1"/>
                      <w:rPr>
                        <w:sz w:val="28"/>
                        <w:szCs w:val="32"/>
                      </w:rPr>
                    </w:pPr>
                    <w:r>
                      <w:rPr>
                        <w:sz w:val="28"/>
                        <w:szCs w:val="32"/>
                      </w:rPr>
                      <w:fldChar w:fldCharType="begin"/>
                    </w:r>
                    <w:r>
                      <w:rPr>
                        <w:sz w:val="28"/>
                        <w:szCs w:val="32"/>
                      </w:rPr>
                      <w:instrText xml:space="preserve"> PAGE  \* MERGEFORMAT </w:instrText>
                    </w:r>
                    <w:r>
                      <w:rPr>
                        <w:sz w:val="28"/>
                        <w:szCs w:val="32"/>
                      </w:rPr>
                      <w:fldChar w:fldCharType="separate"/>
                    </w:r>
                    <w:r>
                      <w:rPr>
                        <w:sz w:val="28"/>
                        <w:szCs w:val="32"/>
                      </w:rPr>
                      <w:t>1</w:t>
                    </w:r>
                    <w:r>
                      <w:rPr>
                        <w:sz w:val="28"/>
                        <w:szCs w:val="3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仿宋_GB2312"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仿宋_GB2312"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仿宋_GB2312" w:cs="Times New Roman"/>
        <w:kern w:val="2"/>
        <w:sz w:val="18"/>
        <w:szCs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77F416"/>
    <w:multiLevelType w:val="singleLevel"/>
    <w:tmpl w:val="9B77F416"/>
    <w:lvl w:ilvl="0" w:tentative="0">
      <w:start w:val="1"/>
      <w:numFmt w:val="decimal"/>
      <w:suff w:val="nothing"/>
      <w:lvlText w:val="     专栏%1  "/>
      <w:lvlJc w:val="center"/>
      <w:pPr>
        <w:tabs>
          <w:tab w:val="left" w:pos="0"/>
        </w:tabs>
        <w:ind w:left="0" w:firstLine="397"/>
      </w:pPr>
      <w:rPr>
        <w:rFonts w:hint="default" w:ascii="黑体" w:hAnsi="黑体" w:eastAsia="黑体" w:cs="黑体"/>
        <w:b w:val="0"/>
        <w:bCs/>
        <w:sz w:val="30"/>
      </w:rPr>
    </w:lvl>
  </w:abstractNum>
  <w:abstractNum w:abstractNumId="1">
    <w:nsid w:val="CCE53466"/>
    <w:multiLevelType w:val="multilevel"/>
    <w:tmpl w:val="CCE53466"/>
    <w:lvl w:ilvl="0" w:tentative="0">
      <w:start w:val="1"/>
      <w:numFmt w:val="chineseCounting"/>
      <w:suff w:val="nothing"/>
      <w:lvlText w:val="第%1章 "/>
      <w:lvlJc w:val="left"/>
      <w:pPr>
        <w:ind w:left="432" w:hanging="432"/>
      </w:pPr>
      <w:rPr>
        <w:rFonts w:hint="eastAsia"/>
      </w:rPr>
    </w:lvl>
    <w:lvl w:ilvl="1" w:tentative="0">
      <w:start w:val="1"/>
      <w:numFmt w:val="decimal"/>
      <w:isLgl/>
      <w:lvlText w:val="%1.%2."/>
      <w:lvlJc w:val="left"/>
      <w:pPr>
        <w:ind w:left="575" w:hanging="575"/>
      </w:pPr>
      <w:rPr>
        <w:rFonts w:hint="eastAsia"/>
      </w:rPr>
    </w:lvl>
    <w:lvl w:ilvl="2" w:tentative="0">
      <w:start w:val="1"/>
      <w:numFmt w:val="decimal"/>
      <w:pStyle w:val="4"/>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2">
    <w:nsid w:val="E81AA256"/>
    <w:multiLevelType w:val="multilevel"/>
    <w:tmpl w:val="E81AA256"/>
    <w:lvl w:ilvl="0" w:tentative="0">
      <w:start w:val="1"/>
      <w:numFmt w:val="chineseCounting"/>
      <w:suff w:val="nothing"/>
      <w:lvlText w:val="第%1节 "/>
      <w:lvlJc w:val="left"/>
      <w:pPr>
        <w:tabs>
          <w:tab w:val="left" w:pos="0"/>
        </w:tabs>
        <w:ind w:left="0" w:firstLine="402"/>
      </w:pPr>
      <w:rPr>
        <w:rFonts w:hint="eastAsia" w:ascii="宋体" w:hAnsi="宋体" w:eastAsia="宋体" w:cs="宋体"/>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1FDAB1CD"/>
    <w:multiLevelType w:val="singleLevel"/>
    <w:tmpl w:val="1FDAB1CD"/>
    <w:lvl w:ilvl="0" w:tentative="0">
      <w:start w:val="1"/>
      <w:numFmt w:val="chineseCounting"/>
      <w:suff w:val="nothing"/>
      <w:lvlText w:val="第%1章"/>
      <w:lvlJc w:val="left"/>
      <w:pPr>
        <w:tabs>
          <w:tab w:val="left" w:pos="0"/>
        </w:tabs>
        <w:ind w:left="0" w:firstLine="397"/>
      </w:pPr>
      <w:rPr>
        <w:rFonts w:hint="eastAsia" w:ascii="宋体" w:hAnsi="宋体" w:eastAsia="黑体" w:cs="宋体"/>
        <w:sz w:val="32"/>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saveSubset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20AE4"/>
    <w:rsid w:val="0016055B"/>
    <w:rsid w:val="002F287D"/>
    <w:rsid w:val="00456217"/>
    <w:rsid w:val="004B7214"/>
    <w:rsid w:val="005C1BDA"/>
    <w:rsid w:val="00B24E75"/>
    <w:rsid w:val="00D60A26"/>
    <w:rsid w:val="00D65011"/>
    <w:rsid w:val="0136320F"/>
    <w:rsid w:val="01406C19"/>
    <w:rsid w:val="01507D51"/>
    <w:rsid w:val="01DB6806"/>
    <w:rsid w:val="01EA267E"/>
    <w:rsid w:val="025073CC"/>
    <w:rsid w:val="02881E9A"/>
    <w:rsid w:val="02A93FF8"/>
    <w:rsid w:val="02F1618B"/>
    <w:rsid w:val="03280E8E"/>
    <w:rsid w:val="03B31256"/>
    <w:rsid w:val="03FD65B2"/>
    <w:rsid w:val="04467DC0"/>
    <w:rsid w:val="045C3B7D"/>
    <w:rsid w:val="047E0937"/>
    <w:rsid w:val="048214F9"/>
    <w:rsid w:val="04BD20AF"/>
    <w:rsid w:val="04E866FA"/>
    <w:rsid w:val="0515045A"/>
    <w:rsid w:val="0521162F"/>
    <w:rsid w:val="05996EA4"/>
    <w:rsid w:val="0673297C"/>
    <w:rsid w:val="068501DC"/>
    <w:rsid w:val="06B92DCB"/>
    <w:rsid w:val="070F122E"/>
    <w:rsid w:val="076218FB"/>
    <w:rsid w:val="076724C3"/>
    <w:rsid w:val="08404E45"/>
    <w:rsid w:val="08EB3D02"/>
    <w:rsid w:val="091252BA"/>
    <w:rsid w:val="091478A1"/>
    <w:rsid w:val="09207C08"/>
    <w:rsid w:val="09702DFE"/>
    <w:rsid w:val="09881DD2"/>
    <w:rsid w:val="099E3FD4"/>
    <w:rsid w:val="09DA637B"/>
    <w:rsid w:val="0A0F591F"/>
    <w:rsid w:val="0A204251"/>
    <w:rsid w:val="0A497C0A"/>
    <w:rsid w:val="0A7E30D6"/>
    <w:rsid w:val="0ABC15ED"/>
    <w:rsid w:val="0AC02897"/>
    <w:rsid w:val="0B1763AE"/>
    <w:rsid w:val="0B235363"/>
    <w:rsid w:val="0B274BDA"/>
    <w:rsid w:val="0B5771DD"/>
    <w:rsid w:val="0B5E2E6F"/>
    <w:rsid w:val="0B9762C9"/>
    <w:rsid w:val="0BB15646"/>
    <w:rsid w:val="0BCB56B3"/>
    <w:rsid w:val="0C774E2F"/>
    <w:rsid w:val="0D3316C2"/>
    <w:rsid w:val="0DAE02EF"/>
    <w:rsid w:val="0E276CC6"/>
    <w:rsid w:val="0E2942EF"/>
    <w:rsid w:val="0E307CA6"/>
    <w:rsid w:val="0EB37DAB"/>
    <w:rsid w:val="0EC6667B"/>
    <w:rsid w:val="0F11653D"/>
    <w:rsid w:val="0F16629D"/>
    <w:rsid w:val="0F9531D5"/>
    <w:rsid w:val="103676D7"/>
    <w:rsid w:val="10B05477"/>
    <w:rsid w:val="10B622AA"/>
    <w:rsid w:val="10D64A6C"/>
    <w:rsid w:val="11306B26"/>
    <w:rsid w:val="113148E7"/>
    <w:rsid w:val="11CE034F"/>
    <w:rsid w:val="11DE1569"/>
    <w:rsid w:val="11E44A9C"/>
    <w:rsid w:val="11F17CAA"/>
    <w:rsid w:val="11F8262C"/>
    <w:rsid w:val="11FA44B5"/>
    <w:rsid w:val="124B24FC"/>
    <w:rsid w:val="125A1851"/>
    <w:rsid w:val="125D22D0"/>
    <w:rsid w:val="12875E28"/>
    <w:rsid w:val="12E4589F"/>
    <w:rsid w:val="136818EA"/>
    <w:rsid w:val="13886DFB"/>
    <w:rsid w:val="13B12AA0"/>
    <w:rsid w:val="13B72E20"/>
    <w:rsid w:val="13EF25A9"/>
    <w:rsid w:val="140F10CF"/>
    <w:rsid w:val="141A1590"/>
    <w:rsid w:val="147A177A"/>
    <w:rsid w:val="148F3B7B"/>
    <w:rsid w:val="149252F2"/>
    <w:rsid w:val="14B628CE"/>
    <w:rsid w:val="152C058F"/>
    <w:rsid w:val="153F1D63"/>
    <w:rsid w:val="154507FE"/>
    <w:rsid w:val="1566002B"/>
    <w:rsid w:val="15FC37A7"/>
    <w:rsid w:val="1610072F"/>
    <w:rsid w:val="162C703C"/>
    <w:rsid w:val="16446DC1"/>
    <w:rsid w:val="16C34478"/>
    <w:rsid w:val="17084E3D"/>
    <w:rsid w:val="176B28C6"/>
    <w:rsid w:val="176B2E87"/>
    <w:rsid w:val="17FF6697"/>
    <w:rsid w:val="186910BB"/>
    <w:rsid w:val="188E0EF0"/>
    <w:rsid w:val="18B800A1"/>
    <w:rsid w:val="190B7F94"/>
    <w:rsid w:val="192071B3"/>
    <w:rsid w:val="1926659C"/>
    <w:rsid w:val="19364E17"/>
    <w:rsid w:val="194F61BF"/>
    <w:rsid w:val="19513675"/>
    <w:rsid w:val="19E152B7"/>
    <w:rsid w:val="1A1B1B90"/>
    <w:rsid w:val="1A270A84"/>
    <w:rsid w:val="1A39594D"/>
    <w:rsid w:val="1AE2016A"/>
    <w:rsid w:val="1B104EC9"/>
    <w:rsid w:val="1B176354"/>
    <w:rsid w:val="1B3B6AAC"/>
    <w:rsid w:val="1B87481F"/>
    <w:rsid w:val="1BB104DB"/>
    <w:rsid w:val="1BCE1831"/>
    <w:rsid w:val="1C386472"/>
    <w:rsid w:val="1C644E9C"/>
    <w:rsid w:val="1CA258D9"/>
    <w:rsid w:val="1CEF7304"/>
    <w:rsid w:val="1D2E406B"/>
    <w:rsid w:val="1E1D7A7E"/>
    <w:rsid w:val="1E295E9D"/>
    <w:rsid w:val="1E607EC5"/>
    <w:rsid w:val="1ED10606"/>
    <w:rsid w:val="1FDE5C24"/>
    <w:rsid w:val="20585B9E"/>
    <w:rsid w:val="208A637A"/>
    <w:rsid w:val="20B61801"/>
    <w:rsid w:val="20C51578"/>
    <w:rsid w:val="21135FDE"/>
    <w:rsid w:val="211B1DE9"/>
    <w:rsid w:val="21414C2F"/>
    <w:rsid w:val="21801BAC"/>
    <w:rsid w:val="21EE1EC5"/>
    <w:rsid w:val="21EF4CCE"/>
    <w:rsid w:val="21F35AC7"/>
    <w:rsid w:val="22414EA1"/>
    <w:rsid w:val="226338A3"/>
    <w:rsid w:val="227A2A23"/>
    <w:rsid w:val="229B5B5F"/>
    <w:rsid w:val="22B53F51"/>
    <w:rsid w:val="238C6338"/>
    <w:rsid w:val="23B81EBA"/>
    <w:rsid w:val="23BC5091"/>
    <w:rsid w:val="23FC5FB6"/>
    <w:rsid w:val="247A2102"/>
    <w:rsid w:val="24BB23B0"/>
    <w:rsid w:val="25675085"/>
    <w:rsid w:val="25B1555D"/>
    <w:rsid w:val="260A5FE8"/>
    <w:rsid w:val="260D45B1"/>
    <w:rsid w:val="261C49E9"/>
    <w:rsid w:val="262E243A"/>
    <w:rsid w:val="270A32C1"/>
    <w:rsid w:val="276E3A9B"/>
    <w:rsid w:val="27804B03"/>
    <w:rsid w:val="27914346"/>
    <w:rsid w:val="27AE1A9D"/>
    <w:rsid w:val="27B055ED"/>
    <w:rsid w:val="27DF3772"/>
    <w:rsid w:val="27F80312"/>
    <w:rsid w:val="280972C9"/>
    <w:rsid w:val="28C60C4D"/>
    <w:rsid w:val="29004A53"/>
    <w:rsid w:val="293B48C9"/>
    <w:rsid w:val="29474645"/>
    <w:rsid w:val="29B05F21"/>
    <w:rsid w:val="29FD6E25"/>
    <w:rsid w:val="2A094817"/>
    <w:rsid w:val="2A8F1A53"/>
    <w:rsid w:val="2ACB62AC"/>
    <w:rsid w:val="2BC50801"/>
    <w:rsid w:val="2BDB127B"/>
    <w:rsid w:val="2C0749A5"/>
    <w:rsid w:val="2C5C2981"/>
    <w:rsid w:val="2C9C5FD3"/>
    <w:rsid w:val="2CAA1893"/>
    <w:rsid w:val="2CB71EBE"/>
    <w:rsid w:val="2D0C22A4"/>
    <w:rsid w:val="2D550714"/>
    <w:rsid w:val="2DB10D51"/>
    <w:rsid w:val="2DE64F8E"/>
    <w:rsid w:val="2E080A84"/>
    <w:rsid w:val="2E0947CF"/>
    <w:rsid w:val="2E825702"/>
    <w:rsid w:val="2E964C1B"/>
    <w:rsid w:val="2EC30F92"/>
    <w:rsid w:val="2EF43817"/>
    <w:rsid w:val="2F000AA2"/>
    <w:rsid w:val="2F0E3A9F"/>
    <w:rsid w:val="2F3818B5"/>
    <w:rsid w:val="2FD90FE7"/>
    <w:rsid w:val="2FF46863"/>
    <w:rsid w:val="301361CF"/>
    <w:rsid w:val="305574EF"/>
    <w:rsid w:val="3057031B"/>
    <w:rsid w:val="306361D2"/>
    <w:rsid w:val="308E5786"/>
    <w:rsid w:val="30E3104C"/>
    <w:rsid w:val="30F7461B"/>
    <w:rsid w:val="3107220A"/>
    <w:rsid w:val="314102E5"/>
    <w:rsid w:val="320E1884"/>
    <w:rsid w:val="32321ACB"/>
    <w:rsid w:val="32397AF1"/>
    <w:rsid w:val="324973A3"/>
    <w:rsid w:val="32517D7A"/>
    <w:rsid w:val="32815587"/>
    <w:rsid w:val="3297567A"/>
    <w:rsid w:val="32DF161F"/>
    <w:rsid w:val="32E52761"/>
    <w:rsid w:val="32FE1619"/>
    <w:rsid w:val="331C689F"/>
    <w:rsid w:val="33842A2D"/>
    <w:rsid w:val="33FF6682"/>
    <w:rsid w:val="343D06B9"/>
    <w:rsid w:val="34621EA2"/>
    <w:rsid w:val="347C2F79"/>
    <w:rsid w:val="348B3700"/>
    <w:rsid w:val="34C14B95"/>
    <w:rsid w:val="34C47843"/>
    <w:rsid w:val="355D51F9"/>
    <w:rsid w:val="35942964"/>
    <w:rsid w:val="35957329"/>
    <w:rsid w:val="35D57ABE"/>
    <w:rsid w:val="35E778F9"/>
    <w:rsid w:val="36BD2D58"/>
    <w:rsid w:val="36C3373C"/>
    <w:rsid w:val="371003C3"/>
    <w:rsid w:val="37316CD6"/>
    <w:rsid w:val="375C6FAA"/>
    <w:rsid w:val="37806EB0"/>
    <w:rsid w:val="38470865"/>
    <w:rsid w:val="384933FA"/>
    <w:rsid w:val="39041DF8"/>
    <w:rsid w:val="39431C24"/>
    <w:rsid w:val="39537139"/>
    <w:rsid w:val="39B07B1B"/>
    <w:rsid w:val="3A8A23C8"/>
    <w:rsid w:val="3B6F6A89"/>
    <w:rsid w:val="3B845053"/>
    <w:rsid w:val="3C036ABD"/>
    <w:rsid w:val="3C121B3A"/>
    <w:rsid w:val="3C3F2367"/>
    <w:rsid w:val="3C971CCA"/>
    <w:rsid w:val="3C9E6DE7"/>
    <w:rsid w:val="3CC963F0"/>
    <w:rsid w:val="3CCE54B5"/>
    <w:rsid w:val="3CDB78BA"/>
    <w:rsid w:val="3CFF56E0"/>
    <w:rsid w:val="3DA06D1D"/>
    <w:rsid w:val="3E154FF1"/>
    <w:rsid w:val="3E2E173F"/>
    <w:rsid w:val="3EBC0BEB"/>
    <w:rsid w:val="40105026"/>
    <w:rsid w:val="401D0D61"/>
    <w:rsid w:val="40226792"/>
    <w:rsid w:val="405031A3"/>
    <w:rsid w:val="413B2E19"/>
    <w:rsid w:val="414F16A9"/>
    <w:rsid w:val="41AB75BF"/>
    <w:rsid w:val="426638F8"/>
    <w:rsid w:val="42F334C7"/>
    <w:rsid w:val="435030D3"/>
    <w:rsid w:val="43862F0C"/>
    <w:rsid w:val="442113DE"/>
    <w:rsid w:val="443639BA"/>
    <w:rsid w:val="447A4AB1"/>
    <w:rsid w:val="447A7A84"/>
    <w:rsid w:val="44AE371C"/>
    <w:rsid w:val="44B00925"/>
    <w:rsid w:val="44ED0993"/>
    <w:rsid w:val="45186368"/>
    <w:rsid w:val="454C1C68"/>
    <w:rsid w:val="45A45CFE"/>
    <w:rsid w:val="45D72245"/>
    <w:rsid w:val="45D8119A"/>
    <w:rsid w:val="45DD2C24"/>
    <w:rsid w:val="461A1F8B"/>
    <w:rsid w:val="46B61AE7"/>
    <w:rsid w:val="46DB70ED"/>
    <w:rsid w:val="46FE5E91"/>
    <w:rsid w:val="470157B6"/>
    <w:rsid w:val="4775035B"/>
    <w:rsid w:val="478C3C29"/>
    <w:rsid w:val="47A65625"/>
    <w:rsid w:val="47B35C08"/>
    <w:rsid w:val="47C056CE"/>
    <w:rsid w:val="47E01DC4"/>
    <w:rsid w:val="47FD30BD"/>
    <w:rsid w:val="48F47148"/>
    <w:rsid w:val="48F87788"/>
    <w:rsid w:val="49040B11"/>
    <w:rsid w:val="49173B4F"/>
    <w:rsid w:val="49431675"/>
    <w:rsid w:val="496A494B"/>
    <w:rsid w:val="499845D0"/>
    <w:rsid w:val="4A5E7B73"/>
    <w:rsid w:val="4A8E5BAE"/>
    <w:rsid w:val="4AB246D8"/>
    <w:rsid w:val="4AE360B0"/>
    <w:rsid w:val="4AF42666"/>
    <w:rsid w:val="4B071175"/>
    <w:rsid w:val="4B757031"/>
    <w:rsid w:val="4B897A8F"/>
    <w:rsid w:val="4B9A3C16"/>
    <w:rsid w:val="4BC1025B"/>
    <w:rsid w:val="4C010520"/>
    <w:rsid w:val="4C5713EC"/>
    <w:rsid w:val="4C8F5650"/>
    <w:rsid w:val="4CA818FE"/>
    <w:rsid w:val="4CE31C46"/>
    <w:rsid w:val="4D3D63A5"/>
    <w:rsid w:val="4D707923"/>
    <w:rsid w:val="4D840909"/>
    <w:rsid w:val="4DBE3045"/>
    <w:rsid w:val="4DCB7D6C"/>
    <w:rsid w:val="4E496FC0"/>
    <w:rsid w:val="4E861408"/>
    <w:rsid w:val="4F0F1802"/>
    <w:rsid w:val="4F1937D0"/>
    <w:rsid w:val="4F451285"/>
    <w:rsid w:val="4F483CFA"/>
    <w:rsid w:val="4F833BF5"/>
    <w:rsid w:val="4F8E1E5F"/>
    <w:rsid w:val="4FBB44B3"/>
    <w:rsid w:val="501843E9"/>
    <w:rsid w:val="50551648"/>
    <w:rsid w:val="510915EF"/>
    <w:rsid w:val="5119362A"/>
    <w:rsid w:val="5172761B"/>
    <w:rsid w:val="51912852"/>
    <w:rsid w:val="51C43803"/>
    <w:rsid w:val="51D8714B"/>
    <w:rsid w:val="528C4C0A"/>
    <w:rsid w:val="52C870D7"/>
    <w:rsid w:val="536D06DE"/>
    <w:rsid w:val="538E7C06"/>
    <w:rsid w:val="539251E8"/>
    <w:rsid w:val="53A90C63"/>
    <w:rsid w:val="53B078D6"/>
    <w:rsid w:val="53CC6C64"/>
    <w:rsid w:val="53D01BCC"/>
    <w:rsid w:val="53DF7DAF"/>
    <w:rsid w:val="53F20F13"/>
    <w:rsid w:val="53F368CF"/>
    <w:rsid w:val="54336E55"/>
    <w:rsid w:val="54803FEB"/>
    <w:rsid w:val="55441E23"/>
    <w:rsid w:val="55D36466"/>
    <w:rsid w:val="56076DE0"/>
    <w:rsid w:val="564B45F5"/>
    <w:rsid w:val="56A15567"/>
    <w:rsid w:val="56B110DB"/>
    <w:rsid w:val="56ED0AA8"/>
    <w:rsid w:val="575C78B5"/>
    <w:rsid w:val="57897FCE"/>
    <w:rsid w:val="578E2D88"/>
    <w:rsid w:val="57A54F9F"/>
    <w:rsid w:val="57D254AE"/>
    <w:rsid w:val="57E505B1"/>
    <w:rsid w:val="57EA4453"/>
    <w:rsid w:val="57EC15D6"/>
    <w:rsid w:val="58012B8B"/>
    <w:rsid w:val="583C5A22"/>
    <w:rsid w:val="58B04129"/>
    <w:rsid w:val="58D707F1"/>
    <w:rsid w:val="58E65D8D"/>
    <w:rsid w:val="590D431F"/>
    <w:rsid w:val="591E70F9"/>
    <w:rsid w:val="596F0BDC"/>
    <w:rsid w:val="5A0160CC"/>
    <w:rsid w:val="5A7F65C5"/>
    <w:rsid w:val="5ACA1BF4"/>
    <w:rsid w:val="5B25611F"/>
    <w:rsid w:val="5B5D7022"/>
    <w:rsid w:val="5B6E2147"/>
    <w:rsid w:val="5B800C7B"/>
    <w:rsid w:val="5BBB0E4D"/>
    <w:rsid w:val="5C392754"/>
    <w:rsid w:val="5C57376C"/>
    <w:rsid w:val="5C6C1DC0"/>
    <w:rsid w:val="5CB8314C"/>
    <w:rsid w:val="5D3B5E22"/>
    <w:rsid w:val="5D5D6F60"/>
    <w:rsid w:val="5D73673E"/>
    <w:rsid w:val="5D8F65EF"/>
    <w:rsid w:val="5DA15307"/>
    <w:rsid w:val="5DC91618"/>
    <w:rsid w:val="5DFB094E"/>
    <w:rsid w:val="5E747173"/>
    <w:rsid w:val="5ED45CBF"/>
    <w:rsid w:val="5EDB0A3A"/>
    <w:rsid w:val="5EF01357"/>
    <w:rsid w:val="5F2D2774"/>
    <w:rsid w:val="5F3E03DB"/>
    <w:rsid w:val="5F927EF7"/>
    <w:rsid w:val="5FDB7822"/>
    <w:rsid w:val="5FE266EE"/>
    <w:rsid w:val="5FF17A09"/>
    <w:rsid w:val="6002456B"/>
    <w:rsid w:val="6077583F"/>
    <w:rsid w:val="60822438"/>
    <w:rsid w:val="609A7411"/>
    <w:rsid w:val="610B7016"/>
    <w:rsid w:val="611D10A7"/>
    <w:rsid w:val="61226C13"/>
    <w:rsid w:val="61294F14"/>
    <w:rsid w:val="616516DA"/>
    <w:rsid w:val="61CB5EF7"/>
    <w:rsid w:val="61D6045A"/>
    <w:rsid w:val="62405BA2"/>
    <w:rsid w:val="62445818"/>
    <w:rsid w:val="627C1144"/>
    <w:rsid w:val="62B73508"/>
    <w:rsid w:val="630073CA"/>
    <w:rsid w:val="630F0C77"/>
    <w:rsid w:val="63820D74"/>
    <w:rsid w:val="638727B6"/>
    <w:rsid w:val="638B2420"/>
    <w:rsid w:val="63AB36D4"/>
    <w:rsid w:val="63C24DEA"/>
    <w:rsid w:val="642F591E"/>
    <w:rsid w:val="6474391A"/>
    <w:rsid w:val="649D0891"/>
    <w:rsid w:val="64C25A15"/>
    <w:rsid w:val="653872FA"/>
    <w:rsid w:val="655F73FD"/>
    <w:rsid w:val="657C3CDD"/>
    <w:rsid w:val="6596482E"/>
    <w:rsid w:val="65F07262"/>
    <w:rsid w:val="667765F4"/>
    <w:rsid w:val="67683D6F"/>
    <w:rsid w:val="67D73475"/>
    <w:rsid w:val="68251F26"/>
    <w:rsid w:val="683D4478"/>
    <w:rsid w:val="68957C10"/>
    <w:rsid w:val="689C6C7D"/>
    <w:rsid w:val="68C50CB6"/>
    <w:rsid w:val="68D81517"/>
    <w:rsid w:val="68DB1494"/>
    <w:rsid w:val="68E925D4"/>
    <w:rsid w:val="69033A75"/>
    <w:rsid w:val="691766A7"/>
    <w:rsid w:val="69252260"/>
    <w:rsid w:val="694A1ED1"/>
    <w:rsid w:val="69B927A2"/>
    <w:rsid w:val="69DD240D"/>
    <w:rsid w:val="6A6B226E"/>
    <w:rsid w:val="6A757080"/>
    <w:rsid w:val="6AFA6A8A"/>
    <w:rsid w:val="6B0F37CE"/>
    <w:rsid w:val="6B175178"/>
    <w:rsid w:val="6B314F3B"/>
    <w:rsid w:val="6C0C5B43"/>
    <w:rsid w:val="6C377409"/>
    <w:rsid w:val="6C483760"/>
    <w:rsid w:val="6C4D469C"/>
    <w:rsid w:val="6C4F6BD7"/>
    <w:rsid w:val="6C57031D"/>
    <w:rsid w:val="6D0B3948"/>
    <w:rsid w:val="6D24664B"/>
    <w:rsid w:val="6DC552F0"/>
    <w:rsid w:val="6DD64F8C"/>
    <w:rsid w:val="6E5B6A70"/>
    <w:rsid w:val="6EBB640A"/>
    <w:rsid w:val="6EF60A67"/>
    <w:rsid w:val="6F1D244C"/>
    <w:rsid w:val="6F8B4B8C"/>
    <w:rsid w:val="70787F13"/>
    <w:rsid w:val="70895517"/>
    <w:rsid w:val="710D609D"/>
    <w:rsid w:val="71201A60"/>
    <w:rsid w:val="714C27BE"/>
    <w:rsid w:val="714F1AED"/>
    <w:rsid w:val="715A5D02"/>
    <w:rsid w:val="719C2490"/>
    <w:rsid w:val="720B45F3"/>
    <w:rsid w:val="72182147"/>
    <w:rsid w:val="72327C8E"/>
    <w:rsid w:val="7294091D"/>
    <w:rsid w:val="72A25FED"/>
    <w:rsid w:val="72C83E17"/>
    <w:rsid w:val="72ED3B43"/>
    <w:rsid w:val="72F15FFD"/>
    <w:rsid w:val="73A315FD"/>
    <w:rsid w:val="74285D81"/>
    <w:rsid w:val="746C43D7"/>
    <w:rsid w:val="74B37AE0"/>
    <w:rsid w:val="74C44041"/>
    <w:rsid w:val="74EC2609"/>
    <w:rsid w:val="75EA178C"/>
    <w:rsid w:val="76080C8F"/>
    <w:rsid w:val="76667A61"/>
    <w:rsid w:val="76722F1A"/>
    <w:rsid w:val="7696691D"/>
    <w:rsid w:val="76AE02D7"/>
    <w:rsid w:val="772B296F"/>
    <w:rsid w:val="775C77BB"/>
    <w:rsid w:val="77A926C9"/>
    <w:rsid w:val="77BE7FA6"/>
    <w:rsid w:val="78301453"/>
    <w:rsid w:val="78A3607F"/>
    <w:rsid w:val="78A66027"/>
    <w:rsid w:val="79184199"/>
    <w:rsid w:val="794762F6"/>
    <w:rsid w:val="794D161C"/>
    <w:rsid w:val="79EC778F"/>
    <w:rsid w:val="7A443D69"/>
    <w:rsid w:val="7A47299E"/>
    <w:rsid w:val="7A59710A"/>
    <w:rsid w:val="7ABD7504"/>
    <w:rsid w:val="7ABE253D"/>
    <w:rsid w:val="7B2D4728"/>
    <w:rsid w:val="7B3C03B9"/>
    <w:rsid w:val="7BA4023D"/>
    <w:rsid w:val="7BB5503E"/>
    <w:rsid w:val="7BB94BB1"/>
    <w:rsid w:val="7CCC60DF"/>
    <w:rsid w:val="7CD57B52"/>
    <w:rsid w:val="7D5C64A4"/>
    <w:rsid w:val="7D6F1325"/>
    <w:rsid w:val="7E2D5F00"/>
    <w:rsid w:val="7E7E6FEF"/>
    <w:rsid w:val="7E9C72EB"/>
    <w:rsid w:val="7F300E35"/>
    <w:rsid w:val="7F960338"/>
    <w:rsid w:val="7FA64438"/>
    <w:rsid w:val="7FE94E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iPriority="99"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宋体"/>
      <w:kern w:val="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line="360" w:lineRule="auto"/>
      <w:ind w:firstLine="883" w:firstLineChars="200"/>
      <w:outlineLvl w:val="1"/>
    </w:pPr>
    <w:rPr>
      <w:rFonts w:ascii="Arial" w:hAnsi="Arial" w:eastAsia="仿宋_GB2312"/>
      <w:b/>
      <w:sz w:val="30"/>
      <w:szCs w:val="24"/>
    </w:rPr>
  </w:style>
  <w:style w:type="paragraph" w:styleId="4">
    <w:name w:val="heading 3"/>
    <w:basedOn w:val="1"/>
    <w:next w:val="1"/>
    <w:link w:val="29"/>
    <w:unhideWhenUsed/>
    <w:qFormat/>
    <w:uiPriority w:val="0"/>
    <w:pPr>
      <w:keepNext/>
      <w:keepLines/>
      <w:numPr>
        <w:ilvl w:val="2"/>
        <w:numId w:val="1"/>
      </w:numPr>
      <w:spacing w:line="360" w:lineRule="auto"/>
      <w:ind w:left="720" w:hanging="720" w:firstLineChars="0"/>
      <w:outlineLvl w:val="2"/>
    </w:pPr>
    <w:rPr>
      <w:rFonts w:eastAsia="@楷体"/>
      <w:b/>
      <w:sz w:val="30"/>
      <w:szCs w:val="24"/>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index 8"/>
    <w:basedOn w:val="1"/>
    <w:next w:val="1"/>
    <w:unhideWhenUsed/>
    <w:qFormat/>
    <w:uiPriority w:val="99"/>
    <w:pPr>
      <w:ind w:left="2940"/>
      <w:jc w:val="left"/>
    </w:pPr>
  </w:style>
  <w:style w:type="paragraph" w:styleId="6">
    <w:name w:val="Document Map"/>
    <w:basedOn w:val="1"/>
    <w:unhideWhenUsed/>
    <w:qFormat/>
    <w:uiPriority w:val="99"/>
    <w:pPr>
      <w:spacing w:line="240" w:lineRule="auto"/>
      <w:jc w:val="center"/>
    </w:pPr>
    <w:rPr>
      <w:rFonts w:ascii="宋体" w:hAnsi="宋体" w:eastAsia="仿宋"/>
      <w:sz w:val="20"/>
    </w:rPr>
  </w:style>
  <w:style w:type="paragraph" w:styleId="7">
    <w:name w:val="Body Text"/>
    <w:basedOn w:val="1"/>
    <w:next w:val="5"/>
    <w:qFormat/>
    <w:uiPriority w:val="0"/>
    <w:pPr>
      <w:wordWrap w:val="0"/>
      <w:topLinePunct/>
      <w:spacing w:line="600" w:lineRule="exact"/>
      <w:ind w:firstLine="852" w:firstLineChars="200"/>
    </w:pPr>
    <w:rPr>
      <w:rFonts w:ascii="Calibri" w:hAnsi="Calibri" w:eastAsia="仿宋"/>
      <w:sz w:val="32"/>
      <w:szCs w:val="22"/>
    </w:rPr>
  </w:style>
  <w:style w:type="paragraph" w:styleId="8">
    <w:name w:val="Body Text Indent"/>
    <w:basedOn w:val="1"/>
    <w:next w:val="9"/>
    <w:qFormat/>
    <w:uiPriority w:val="0"/>
    <w:pPr>
      <w:spacing w:after="120"/>
      <w:ind w:left="420" w:leftChars="200"/>
    </w:pPr>
  </w:style>
  <w:style w:type="paragraph" w:styleId="9">
    <w:name w:val="envelope return"/>
    <w:basedOn w:val="1"/>
    <w:qFormat/>
    <w:uiPriority w:val="0"/>
    <w:pPr>
      <w:snapToGrid w:val="0"/>
    </w:pPr>
    <w:rPr>
      <w:rFonts w:ascii="Arial" w:hAnsi="Arial"/>
    </w:rPr>
  </w:style>
  <w:style w:type="paragraph" w:styleId="10">
    <w:name w:val="Balloon Text"/>
    <w:basedOn w:val="1"/>
    <w:link w:val="28"/>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footnote text"/>
    <w:basedOn w:val="1"/>
    <w:qFormat/>
    <w:uiPriority w:val="0"/>
    <w:pPr>
      <w:snapToGrid w:val="0"/>
      <w:jc w:val="left"/>
    </w:pPr>
    <w:rPr>
      <w:sz w:val="18"/>
      <w:szCs w:val="18"/>
    </w:rPr>
  </w:style>
  <w:style w:type="paragraph" w:styleId="15">
    <w:name w:val="toc 2"/>
    <w:basedOn w:val="1"/>
    <w:next w:val="1"/>
    <w:qFormat/>
    <w:uiPriority w:val="0"/>
    <w:pPr>
      <w:ind w:left="420" w:leftChars="200"/>
    </w:pPr>
  </w:style>
  <w:style w:type="paragraph" w:styleId="16">
    <w:name w:val="Normal (Web)"/>
    <w:basedOn w:val="1"/>
    <w:qFormat/>
    <w:uiPriority w:val="0"/>
    <w:pPr>
      <w:widowControl/>
      <w:spacing w:before="100" w:beforeAutospacing="1" w:after="100" w:afterAutospacing="1"/>
      <w:jc w:val="left"/>
    </w:pPr>
    <w:rPr>
      <w:kern w:val="0"/>
      <w:sz w:val="24"/>
      <w:szCs w:val="24"/>
    </w:rPr>
  </w:style>
  <w:style w:type="paragraph" w:styleId="17">
    <w:name w:val="Title"/>
    <w:basedOn w:val="1"/>
    <w:next w:val="1"/>
    <w:qFormat/>
    <w:uiPriority w:val="0"/>
    <w:pPr>
      <w:spacing w:before="240" w:after="60"/>
      <w:jc w:val="center"/>
    </w:pPr>
    <w:rPr>
      <w:rFonts w:ascii="Cambria" w:hAnsi="Cambria"/>
      <w:b/>
      <w:bCs/>
      <w:sz w:val="32"/>
      <w:szCs w:val="32"/>
    </w:rPr>
  </w:style>
  <w:style w:type="paragraph" w:styleId="18">
    <w:name w:val="Body Text First Indent"/>
    <w:basedOn w:val="7"/>
    <w:unhideWhenUsed/>
    <w:qFormat/>
    <w:uiPriority w:val="99"/>
    <w:pPr>
      <w:tabs>
        <w:tab w:val="left" w:pos="8250"/>
      </w:tabs>
      <w:ind w:firstLine="420" w:firstLineChars="100"/>
    </w:pPr>
  </w:style>
  <w:style w:type="paragraph" w:styleId="19">
    <w:name w:val="Body Text First Indent 2"/>
    <w:basedOn w:val="8"/>
    <w:qFormat/>
    <w:uiPriority w:val="0"/>
    <w:pPr>
      <w:ind w:firstLine="420" w:firstLine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paragraph" w:customStyle="1" w:styleId="24">
    <w:name w:val="Char1 Char Char Char Char Char Char"/>
    <w:basedOn w:val="1"/>
    <w:qFormat/>
    <w:uiPriority w:val="0"/>
    <w:pPr>
      <w:keepNext/>
      <w:widowControl/>
      <w:tabs>
        <w:tab w:val="left" w:pos="425"/>
      </w:tabs>
      <w:autoSpaceDE w:val="0"/>
      <w:autoSpaceDN w:val="0"/>
      <w:adjustRightInd w:val="0"/>
      <w:spacing w:before="80" w:after="80"/>
      <w:ind w:hanging="425"/>
    </w:pPr>
    <w:rPr>
      <w:rFonts w:ascii="Arial" w:hAnsi="Arial" w:eastAsia="仿宋_GB2312" w:cs="Arial"/>
    </w:rPr>
  </w:style>
  <w:style w:type="paragraph" w:customStyle="1" w:styleId="25">
    <w:name w:val="仿宋正文"/>
    <w:basedOn w:val="1"/>
    <w:qFormat/>
    <w:uiPriority w:val="99"/>
    <w:pPr>
      <w:spacing w:line="600" w:lineRule="exact"/>
      <w:ind w:firstLine="420" w:firstLineChars="200"/>
    </w:pPr>
    <w:rPr>
      <w:rFonts w:ascii="Times New Roman" w:hAnsi="Times New Roman" w:eastAsia="方正仿宋简体"/>
      <w:kern w:val="0"/>
      <w:sz w:val="32"/>
    </w:rPr>
  </w:style>
  <w:style w:type="paragraph" w:customStyle="1" w:styleId="26">
    <w:name w:val="_Style 2"/>
    <w:basedOn w:val="1"/>
    <w:qFormat/>
    <w:uiPriority w:val="99"/>
    <w:pPr>
      <w:spacing w:line="351" w:lineRule="atLeast"/>
      <w:ind w:firstLine="623"/>
      <w:textAlignment w:val="baseline"/>
    </w:pPr>
    <w:rPr>
      <w:rFonts w:ascii="Times New Roman" w:hAnsi="Times New Roman" w:eastAsia="仿宋_GB2312"/>
      <w:color w:val="000000"/>
      <w:sz w:val="31"/>
    </w:rPr>
  </w:style>
  <w:style w:type="paragraph" w:customStyle="1" w:styleId="27">
    <w:name w:val="Body text|1"/>
    <w:basedOn w:val="1"/>
    <w:qFormat/>
    <w:uiPriority w:val="0"/>
    <w:pPr>
      <w:spacing w:line="396" w:lineRule="auto"/>
      <w:ind w:firstLine="400"/>
    </w:pPr>
    <w:rPr>
      <w:sz w:val="30"/>
      <w:szCs w:val="30"/>
      <w:lang w:val="zh-TW" w:eastAsia="zh-TW" w:bidi="zh-TW"/>
    </w:rPr>
  </w:style>
  <w:style w:type="character" w:customStyle="1" w:styleId="28">
    <w:name w:val="批注框文本 Char"/>
    <w:basedOn w:val="22"/>
    <w:link w:val="10"/>
    <w:qFormat/>
    <w:uiPriority w:val="0"/>
    <w:rPr>
      <w:rFonts w:ascii="宋体" w:hAnsi="宋体" w:cs="宋体"/>
      <w:kern w:val="2"/>
      <w:sz w:val="18"/>
      <w:szCs w:val="18"/>
    </w:rPr>
  </w:style>
  <w:style w:type="character" w:customStyle="1" w:styleId="29">
    <w:name w:val="标题 3 字符"/>
    <w:link w:val="4"/>
    <w:qFormat/>
    <w:uiPriority w:val="0"/>
    <w:rPr>
      <w:rFonts w:eastAsia="@楷体"/>
      <w:b/>
      <w:sz w:val="30"/>
      <w:szCs w:val="24"/>
    </w:rPr>
  </w:style>
  <w:style w:type="paragraph" w:customStyle="1" w:styleId="30">
    <w:name w:val="WPSOffice手动目录 1"/>
    <w:qFormat/>
    <w:uiPriority w:val="0"/>
    <w:pPr>
      <w:ind w:leftChars="0"/>
    </w:pPr>
    <w:rPr>
      <w:rFonts w:ascii="Times New Roman" w:hAnsi="Times New Roman" w:eastAsia="宋体" w:cs="Times New Roman"/>
      <w:sz w:val="20"/>
      <w:szCs w:val="20"/>
    </w:rPr>
  </w:style>
  <w:style w:type="paragraph" w:customStyle="1" w:styleId="31">
    <w:name w:val="WPSOffice手动目录 2"/>
    <w:qFormat/>
    <w:uiPriority w:val="0"/>
    <w:pPr>
      <w:ind w:leftChars="200"/>
    </w:pPr>
    <w:rPr>
      <w:rFonts w:ascii="Times New Roman" w:hAnsi="Times New Roman" w:eastAsia="宋体" w:cs="Times New Roman"/>
      <w:sz w:val="20"/>
      <w:szCs w:val="20"/>
    </w:rPr>
  </w:style>
  <w:style w:type="paragraph" w:customStyle="1" w:styleId="32">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81</Pages>
  <Words>43794</Words>
  <Characters>44676</Characters>
  <Lines>1</Lines>
  <Paragraphs>1</Paragraphs>
  <TotalTime>0</TotalTime>
  <ScaleCrop>false</ScaleCrop>
  <LinksUpToDate>false</LinksUpToDate>
  <CharactersWithSpaces>46001</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2020-11-23T09:12:00Z</dcterms:created>
  <dc:creator>一世长安丶</dc:creator>
  <cp:lastModifiedBy>一世长安丶</cp:lastModifiedBy>
  <cp:lastPrinted>2020-12-01T06:20:00Z</cp:lastPrinted>
  <dcterms:modified xsi:type="dcterms:W3CDTF">2021-09-03T04:09:46Z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6F184BFFA4F54AC5A1171A466735969F</vt:lpwstr>
  </property>
</Properties>
</file>