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6" w:line="219" w:lineRule="auto"/>
        <w:ind w:left="4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瑶</w:t>
      </w:r>
      <w:r>
        <w:rPr>
          <w:rFonts w:ascii="宋体" w:hAnsi="宋体" w:eastAsia="宋体" w:cs="宋体"/>
          <w:spacing w:val="-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海</w:t>
      </w:r>
      <w:r>
        <w:rPr>
          <w:rFonts w:ascii="宋体" w:hAnsi="宋体" w:eastAsia="宋体" w:cs="宋体"/>
          <w:spacing w:val="-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区优化社会投资简易低风险工程建设</w:t>
      </w:r>
    </w:p>
    <w:p>
      <w:pPr>
        <w:spacing w:before="19" w:line="219" w:lineRule="auto"/>
        <w:ind w:left="15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  <w:r>
        <w:rPr>
          <w:rFonts w:ascii="宋体" w:hAnsi="宋体" w:eastAsia="宋体" w:cs="宋体"/>
          <w:spacing w:val="-10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目审批服务实施方案(试行)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4" w:line="325" w:lineRule="auto"/>
        <w:ind w:right="59"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为深化“</w:t>
      </w:r>
      <w:r>
        <w:rPr>
          <w:rFonts w:ascii="仿宋" w:hAnsi="仿宋" w:eastAsia="仿宋" w:cs="仿宋"/>
          <w:spacing w:val="3"/>
          <w:sz w:val="32"/>
          <w:szCs w:val="32"/>
        </w:rPr>
        <w:t>放</w:t>
      </w:r>
      <w:r>
        <w:rPr>
          <w:rFonts w:ascii="仿宋" w:hAnsi="仿宋" w:eastAsia="仿宋" w:cs="仿宋"/>
          <w:spacing w:val="2"/>
          <w:sz w:val="32"/>
          <w:szCs w:val="32"/>
        </w:rPr>
        <w:t>管服”改革，优化营商环境，提升办理建筑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许可审批效率和</w:t>
      </w:r>
      <w:r>
        <w:rPr>
          <w:rFonts w:ascii="仿宋" w:hAnsi="仿宋" w:eastAsia="仿宋" w:cs="仿宋"/>
          <w:spacing w:val="-3"/>
          <w:sz w:val="32"/>
          <w:szCs w:val="32"/>
        </w:rPr>
        <w:t>服</w:t>
      </w:r>
      <w:r>
        <w:rPr>
          <w:rFonts w:ascii="仿宋" w:hAnsi="仿宋" w:eastAsia="仿宋" w:cs="仿宋"/>
          <w:spacing w:val="-2"/>
          <w:sz w:val="32"/>
          <w:szCs w:val="32"/>
        </w:rPr>
        <w:t>务质量，根据《国务院办公厅关于全面开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展工程</w:t>
      </w:r>
      <w:r>
        <w:rPr>
          <w:rFonts w:ascii="仿宋" w:hAnsi="仿宋" w:eastAsia="仿宋" w:cs="仿宋"/>
          <w:spacing w:val="7"/>
          <w:sz w:val="32"/>
          <w:szCs w:val="32"/>
        </w:rPr>
        <w:t>建</w:t>
      </w:r>
      <w:r>
        <w:rPr>
          <w:rFonts w:ascii="仿宋" w:hAnsi="仿宋" w:eastAsia="仿宋" w:cs="仿宋"/>
          <w:spacing w:val="4"/>
          <w:sz w:val="32"/>
          <w:szCs w:val="32"/>
        </w:rPr>
        <w:t>设项目审批制度改革的实施意见》(国办发〔2019)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11号)、  《安徽省创优“四最”营商环境工作领导小组办</w:t>
      </w:r>
      <w:r>
        <w:rPr>
          <w:rFonts w:ascii="仿宋" w:hAnsi="仿宋" w:eastAsia="仿宋" w:cs="仿宋"/>
          <w:spacing w:val="-7"/>
          <w:sz w:val="32"/>
          <w:szCs w:val="32"/>
        </w:rPr>
        <w:t>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室关于印发创</w:t>
      </w:r>
      <w:r>
        <w:rPr>
          <w:rFonts w:ascii="仿宋" w:hAnsi="仿宋" w:eastAsia="仿宋" w:cs="仿宋"/>
          <w:spacing w:val="4"/>
          <w:sz w:val="32"/>
          <w:szCs w:val="32"/>
        </w:rPr>
        <w:t>优</w:t>
      </w:r>
      <w:r>
        <w:rPr>
          <w:rFonts w:ascii="仿宋" w:hAnsi="仿宋" w:eastAsia="仿宋" w:cs="仿宋"/>
          <w:spacing w:val="3"/>
          <w:sz w:val="32"/>
          <w:szCs w:val="32"/>
        </w:rPr>
        <w:t>营商环境提升行动方案(2021版)的通知》(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皖四</w:t>
      </w:r>
      <w:r>
        <w:rPr>
          <w:rFonts w:ascii="仿宋" w:hAnsi="仿宋" w:eastAsia="仿宋" w:cs="仿宋"/>
          <w:spacing w:val="4"/>
          <w:sz w:val="32"/>
          <w:szCs w:val="32"/>
        </w:rPr>
        <w:t>最</w:t>
      </w:r>
      <w:r>
        <w:rPr>
          <w:rFonts w:ascii="仿宋" w:hAnsi="仿宋" w:eastAsia="仿宋" w:cs="仿宋"/>
          <w:spacing w:val="3"/>
          <w:sz w:val="32"/>
          <w:szCs w:val="32"/>
        </w:rPr>
        <w:t>办(2021)1号)、  《合肥市人民政府关于印发合肥市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全面开</w:t>
      </w:r>
      <w:r>
        <w:rPr>
          <w:rFonts w:ascii="仿宋" w:hAnsi="仿宋" w:eastAsia="仿宋" w:cs="仿宋"/>
          <w:spacing w:val="3"/>
          <w:sz w:val="32"/>
          <w:szCs w:val="32"/>
        </w:rPr>
        <w:t>展工程建设项目审批制度改革实施方案的通知》(合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政秘</w:t>
      </w:r>
      <w:r>
        <w:rPr>
          <w:rFonts w:ascii="仿宋" w:hAnsi="仿宋" w:eastAsia="仿宋" w:cs="仿宋"/>
          <w:spacing w:val="-8"/>
          <w:sz w:val="32"/>
          <w:szCs w:val="32"/>
        </w:rPr>
        <w:t>〔</w:t>
      </w:r>
      <w:r>
        <w:rPr>
          <w:rFonts w:ascii="仿宋" w:hAnsi="仿宋" w:eastAsia="仿宋" w:cs="仿宋"/>
          <w:spacing w:val="-6"/>
          <w:sz w:val="32"/>
          <w:szCs w:val="32"/>
        </w:rPr>
        <w:t>2019〕48号)、  《合肥市优化社会投资简易低风险工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程建设项目审批服务实施方案(试行)》等文件精神，对照</w:t>
      </w:r>
      <w:r>
        <w:rPr>
          <w:rFonts w:ascii="仿宋" w:hAnsi="仿宋" w:eastAsia="仿宋" w:cs="仿宋"/>
          <w:spacing w:val="1"/>
          <w:sz w:val="32"/>
          <w:szCs w:val="32"/>
        </w:rPr>
        <w:t>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国营商</w:t>
      </w:r>
      <w:r>
        <w:rPr>
          <w:rFonts w:ascii="仿宋" w:hAnsi="仿宋" w:eastAsia="仿宋" w:cs="仿宋"/>
          <w:spacing w:val="1"/>
          <w:sz w:val="32"/>
          <w:szCs w:val="32"/>
        </w:rPr>
        <w:t>环境评价标准，对标长三角地区先进城市的经验做法，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结合我区实际，制定本方案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</w:p>
    <w:p>
      <w:pPr>
        <w:spacing w:before="3" w:line="222" w:lineRule="auto"/>
        <w:ind w:left="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一、总体要</w:t>
      </w:r>
      <w:r>
        <w:rPr>
          <w:rFonts w:ascii="仿宋" w:hAnsi="仿宋" w:eastAsia="仿宋" w:cs="仿宋"/>
          <w:spacing w:val="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求</w:t>
      </w:r>
    </w:p>
    <w:p>
      <w:pPr>
        <w:spacing w:before="145" w:line="323" w:lineRule="auto"/>
        <w:ind w:firstLine="66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156845</wp:posOffset>
            </wp:positionV>
            <wp:extent cx="1479550" cy="14351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9562" cy="143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"/>
          <w:sz w:val="32"/>
          <w:szCs w:val="32"/>
        </w:rPr>
        <w:t>进一步优化社会投资</w:t>
      </w:r>
      <w:r>
        <w:rPr>
          <w:rFonts w:ascii="仿宋" w:hAnsi="仿宋" w:eastAsia="仿宋" w:cs="仿宋"/>
          <w:spacing w:val="3"/>
          <w:sz w:val="32"/>
          <w:szCs w:val="32"/>
        </w:rPr>
        <w:t>简</w:t>
      </w:r>
      <w:r>
        <w:rPr>
          <w:rFonts w:ascii="仿宋" w:hAnsi="仿宋" w:eastAsia="仿宋" w:cs="仿宋"/>
          <w:spacing w:val="2"/>
          <w:sz w:val="32"/>
          <w:szCs w:val="32"/>
        </w:rPr>
        <w:t>易低风险工程建设项目审批流程，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减少审</w:t>
      </w:r>
      <w:r>
        <w:rPr>
          <w:rFonts w:ascii="仿宋" w:hAnsi="仿宋" w:eastAsia="仿宋" w:cs="仿宋"/>
          <w:spacing w:val="7"/>
          <w:sz w:val="32"/>
          <w:szCs w:val="32"/>
        </w:rPr>
        <w:t>批</w:t>
      </w:r>
      <w:r>
        <w:rPr>
          <w:rFonts w:ascii="仿宋" w:hAnsi="仿宋" w:eastAsia="仿宋" w:cs="仿宋"/>
          <w:spacing w:val="4"/>
          <w:sz w:val="32"/>
          <w:szCs w:val="32"/>
        </w:rPr>
        <w:t>环节，压缩审批时限，减少审批费用，提高审批效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率，</w:t>
      </w:r>
      <w:r>
        <w:rPr>
          <w:rFonts w:ascii="仿宋" w:hAnsi="仿宋" w:eastAsia="仿宋" w:cs="仿宋"/>
          <w:spacing w:val="5"/>
          <w:sz w:val="32"/>
          <w:szCs w:val="32"/>
        </w:rPr>
        <w:t>全</w:t>
      </w:r>
      <w:r>
        <w:rPr>
          <w:rFonts w:ascii="仿宋" w:hAnsi="仿宋" w:eastAsia="仿宋" w:cs="仿宋"/>
          <w:spacing w:val="4"/>
          <w:sz w:val="32"/>
          <w:szCs w:val="32"/>
        </w:rPr>
        <w:t>流程审批时间最长不超过11个工作日，其中，立项用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地规划许可阶段办理时限不超过2个工作日，建设工程规划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许</w:t>
      </w:r>
      <w:r>
        <w:rPr>
          <w:rFonts w:ascii="仿宋" w:hAnsi="仿宋" w:eastAsia="仿宋" w:cs="仿宋"/>
          <w:spacing w:val="5"/>
          <w:sz w:val="32"/>
          <w:szCs w:val="32"/>
        </w:rPr>
        <w:t>可</w:t>
      </w:r>
      <w:r>
        <w:rPr>
          <w:rFonts w:ascii="仿宋" w:hAnsi="仿宋" w:eastAsia="仿宋" w:cs="仿宋"/>
          <w:spacing w:val="4"/>
          <w:sz w:val="32"/>
          <w:szCs w:val="32"/>
        </w:rPr>
        <w:t>阶段办理时限不超过3个工作日，施工许可阶段办理时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限不超过</w:t>
      </w:r>
      <w:r>
        <w:rPr>
          <w:rFonts w:ascii="仿宋" w:hAnsi="仿宋" w:eastAsia="仿宋" w:cs="仿宋"/>
          <w:spacing w:val="7"/>
          <w:sz w:val="32"/>
          <w:szCs w:val="32"/>
        </w:rPr>
        <w:t>1</w:t>
      </w:r>
      <w:r>
        <w:rPr>
          <w:rFonts w:ascii="仿宋" w:hAnsi="仿宋" w:eastAsia="仿宋" w:cs="仿宋"/>
          <w:spacing w:val="4"/>
          <w:sz w:val="32"/>
          <w:szCs w:val="32"/>
        </w:rPr>
        <w:t>个工作日，竣工验收阶段办理时限不超过5个工作</w:t>
      </w:r>
    </w:p>
    <w:p>
      <w:pPr>
        <w:sectPr>
          <w:footerReference r:id="rId5" w:type="default"/>
          <w:pgSz w:w="11900" w:h="16840"/>
          <w:pgMar w:top="1431" w:right="1580" w:bottom="1690" w:left="1589" w:header="0" w:footer="1270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326" w:lineRule="auto"/>
        <w:ind w:right="182" w:firstLine="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日。各审批部门</w:t>
      </w:r>
      <w:r>
        <w:rPr>
          <w:rFonts w:ascii="仿宋" w:hAnsi="仿宋" w:eastAsia="仿宋" w:cs="仿宋"/>
          <w:spacing w:val="3"/>
          <w:sz w:val="32"/>
          <w:szCs w:val="32"/>
        </w:rPr>
        <w:t>不</w:t>
      </w:r>
      <w:r>
        <w:rPr>
          <w:rFonts w:ascii="仿宋" w:hAnsi="仿宋" w:eastAsia="仿宋" w:cs="仿宋"/>
          <w:spacing w:val="2"/>
          <w:sz w:val="32"/>
          <w:szCs w:val="32"/>
        </w:rPr>
        <w:t>得要求建设单位办理规定以外的审批事项、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评估</w:t>
      </w:r>
      <w:r>
        <w:rPr>
          <w:rFonts w:ascii="仿宋" w:hAnsi="仿宋" w:eastAsia="仿宋" w:cs="仿宋"/>
          <w:spacing w:val="2"/>
          <w:sz w:val="32"/>
          <w:szCs w:val="32"/>
        </w:rPr>
        <w:t>评价事项等。</w:t>
      </w:r>
    </w:p>
    <w:p>
      <w:pPr>
        <w:spacing w:before="2" w:line="220" w:lineRule="auto"/>
        <w:ind w:left="65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宋体" w:hAnsi="宋体" w:eastAsia="宋体" w:cs="宋体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、适用范围及认定程序</w:t>
      </w:r>
    </w:p>
    <w:p>
      <w:pPr>
        <w:spacing w:before="166" w:line="221" w:lineRule="auto"/>
        <w:ind w:left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本</w:t>
      </w:r>
      <w:r>
        <w:rPr>
          <w:rFonts w:ascii="仿宋" w:hAnsi="仿宋" w:eastAsia="仿宋" w:cs="仿宋"/>
          <w:spacing w:val="5"/>
          <w:sz w:val="32"/>
          <w:szCs w:val="32"/>
        </w:rPr>
        <w:t>实</w:t>
      </w:r>
      <w:r>
        <w:rPr>
          <w:rFonts w:ascii="仿宋" w:hAnsi="仿宋" w:eastAsia="仿宋" w:cs="仿宋"/>
          <w:spacing w:val="4"/>
          <w:sz w:val="32"/>
          <w:szCs w:val="32"/>
        </w:rPr>
        <w:t>施方案适用的社会投资简易低风险工程建设项目是</w:t>
      </w:r>
    </w:p>
    <w:p>
      <w:pPr>
        <w:spacing w:before="177" w:line="325" w:lineRule="auto"/>
        <w:ind w:righ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指： 建筑</w:t>
      </w:r>
      <w:r>
        <w:rPr>
          <w:rFonts w:ascii="仿宋" w:hAnsi="仿宋" w:eastAsia="仿宋" w:cs="仿宋"/>
          <w:sz w:val="32"/>
          <w:szCs w:val="32"/>
        </w:rPr>
        <w:t xml:space="preserve">物高度不超过24米，无地下室，总建筑面积不超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10000 </w:t>
      </w:r>
      <w:r>
        <w:rPr>
          <w:rFonts w:ascii="仿宋" w:hAnsi="仿宋" w:eastAsia="仿宋" w:cs="仿宋"/>
          <w:sz w:val="32"/>
          <w:szCs w:val="32"/>
        </w:rPr>
        <w:t xml:space="preserve">平方米，功能单一，技术要求简单，建筑物性质为普 </w:t>
      </w:r>
      <w:r>
        <w:rPr>
          <w:rFonts w:ascii="仿宋" w:hAnsi="仿宋" w:eastAsia="仿宋" w:cs="仿宋"/>
          <w:spacing w:val="8"/>
          <w:sz w:val="32"/>
          <w:szCs w:val="32"/>
        </w:rPr>
        <w:t>通</w:t>
      </w:r>
      <w:r>
        <w:rPr>
          <w:rFonts w:ascii="仿宋" w:hAnsi="仿宋" w:eastAsia="仿宋" w:cs="仿宋"/>
          <w:spacing w:val="6"/>
          <w:sz w:val="32"/>
          <w:szCs w:val="32"/>
        </w:rPr>
        <w:t>标准厂房、仓储等项目(详见附件)。</w:t>
      </w:r>
    </w:p>
    <w:p>
      <w:pPr>
        <w:spacing w:line="324" w:lineRule="auto"/>
        <w:ind w:right="472"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涉</w:t>
      </w:r>
      <w:r>
        <w:rPr>
          <w:rFonts w:ascii="仿宋" w:hAnsi="仿宋" w:eastAsia="仿宋" w:cs="仿宋"/>
          <w:spacing w:val="9"/>
          <w:sz w:val="32"/>
          <w:szCs w:val="32"/>
        </w:rPr>
        <w:t>及</w:t>
      </w:r>
      <w:r>
        <w:rPr>
          <w:rFonts w:ascii="仿宋" w:hAnsi="仿宋" w:eastAsia="仿宋" w:cs="仿宋"/>
          <w:spacing w:val="5"/>
          <w:sz w:val="32"/>
          <w:szCs w:val="32"/>
        </w:rPr>
        <w:t>易燃易爆、有毒有害等安全保护的项目，涉及环境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敏感区域或生态环境影响大的项目，涉及污染地块用途变</w:t>
      </w:r>
      <w:r>
        <w:rPr>
          <w:rFonts w:ascii="仿宋" w:hAnsi="仿宋" w:eastAsia="仿宋" w:cs="仿宋"/>
          <w:spacing w:val="4"/>
          <w:sz w:val="32"/>
          <w:szCs w:val="32"/>
        </w:rPr>
        <w:t>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为公共服务用地的项目，涉及防洪安全的项目，涉及风</w:t>
      </w:r>
      <w:r>
        <w:rPr>
          <w:rFonts w:ascii="仿宋" w:hAnsi="仿宋" w:eastAsia="仿宋" w:cs="仿宋"/>
          <w:spacing w:val="4"/>
          <w:sz w:val="32"/>
          <w:szCs w:val="32"/>
        </w:rPr>
        <w:t>貌</w:t>
      </w:r>
      <w:r>
        <w:rPr>
          <w:rFonts w:ascii="仿宋" w:hAnsi="仿宋" w:eastAsia="仿宋" w:cs="仿宋"/>
          <w:sz w:val="32"/>
          <w:szCs w:val="32"/>
        </w:rPr>
        <w:t xml:space="preserve">保 </w:t>
      </w:r>
      <w:r>
        <w:rPr>
          <w:rFonts w:ascii="仿宋" w:hAnsi="仿宋" w:eastAsia="仿宋" w:cs="仿宋"/>
          <w:spacing w:val="10"/>
          <w:sz w:val="32"/>
          <w:szCs w:val="32"/>
        </w:rPr>
        <w:t>护、轨</w:t>
      </w:r>
      <w:r>
        <w:rPr>
          <w:rFonts w:ascii="仿宋" w:hAnsi="仿宋" w:eastAsia="仿宋" w:cs="仿宋"/>
          <w:spacing w:val="8"/>
          <w:sz w:val="32"/>
          <w:szCs w:val="32"/>
        </w:rPr>
        <w:t>道</w:t>
      </w:r>
      <w:r>
        <w:rPr>
          <w:rFonts w:ascii="仿宋" w:hAnsi="仿宋" w:eastAsia="仿宋" w:cs="仿宋"/>
          <w:spacing w:val="5"/>
          <w:sz w:val="32"/>
          <w:szCs w:val="32"/>
        </w:rPr>
        <w:t>交通保护等特定区域的项目，以及各单位(部门)认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为不</w:t>
      </w:r>
      <w:r>
        <w:rPr>
          <w:rFonts w:ascii="仿宋" w:hAnsi="仿宋" w:eastAsia="仿宋" w:cs="仿宋"/>
          <w:spacing w:val="6"/>
          <w:sz w:val="32"/>
          <w:szCs w:val="32"/>
        </w:rPr>
        <w:t>宜</w:t>
      </w:r>
      <w:r>
        <w:rPr>
          <w:rFonts w:ascii="仿宋" w:hAnsi="仿宋" w:eastAsia="仿宋" w:cs="仿宋"/>
          <w:spacing w:val="5"/>
          <w:sz w:val="32"/>
          <w:szCs w:val="32"/>
        </w:rPr>
        <w:t>纳入的项目，不得纳入社会投资简易低风险项目范围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进行</w:t>
      </w:r>
      <w:r>
        <w:rPr>
          <w:rFonts w:ascii="仿宋" w:hAnsi="仿宋" w:eastAsia="仿宋" w:cs="仿宋"/>
          <w:spacing w:val="1"/>
          <w:sz w:val="32"/>
          <w:szCs w:val="32"/>
        </w:rPr>
        <w:t>审批管理。</w:t>
      </w:r>
    </w:p>
    <w:p>
      <w:pPr>
        <w:spacing w:before="15" w:line="324" w:lineRule="auto"/>
        <w:ind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社会投资简易低风险项目的认定，应当由建设单位(申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6"/>
          <w:sz w:val="32"/>
          <w:szCs w:val="32"/>
        </w:rPr>
        <w:t>请人)提出申</w:t>
      </w:r>
      <w:r>
        <w:rPr>
          <w:rFonts w:ascii="仿宋" w:hAnsi="仿宋" w:eastAsia="仿宋" w:cs="仿宋"/>
          <w:spacing w:val="3"/>
          <w:sz w:val="32"/>
          <w:szCs w:val="32"/>
        </w:rPr>
        <w:t>请，相关审批部门审核后确定。具体方式如下：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建设单位(申请人)通过全国一体化在线政务服务平台“皖</w:t>
      </w:r>
      <w:r>
        <w:rPr>
          <w:rFonts w:ascii="仿宋" w:hAnsi="仿宋" w:eastAsia="仿宋" w:cs="仿宋"/>
          <w:spacing w:val="1"/>
          <w:sz w:val="32"/>
          <w:szCs w:val="32"/>
        </w:rPr>
        <w:t>事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0"/>
          <w:sz w:val="32"/>
          <w:szCs w:val="32"/>
        </w:rPr>
        <w:t>通办</w:t>
      </w:r>
      <w:r>
        <w:rPr>
          <w:rFonts w:ascii="仿宋" w:hAnsi="仿宋" w:eastAsia="仿宋" w:cs="仿宋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企业法人账号登录工程建设项目审批管理平台(以下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27"/>
          <w:sz w:val="32"/>
          <w:szCs w:val="32"/>
        </w:rPr>
        <w:t>简</w:t>
      </w:r>
      <w:r>
        <w:rPr>
          <w:rFonts w:ascii="仿宋" w:hAnsi="仿宋" w:eastAsia="仿宋" w:cs="仿宋"/>
          <w:spacing w:val="17"/>
          <w:sz w:val="32"/>
          <w:szCs w:val="32"/>
        </w:rPr>
        <w:t>称“工改平台”),点击“社会投资简易低风险工程类”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>项目模块，对报建项目用途</w:t>
      </w:r>
      <w:r>
        <w:rPr>
          <w:rFonts w:ascii="仿宋" w:hAnsi="仿宋" w:eastAsia="仿宋" w:cs="仿宋"/>
          <w:sz w:val="32"/>
          <w:szCs w:val="32"/>
        </w:rPr>
        <w:t xml:space="preserve">限定条件进行申报，  “工改平台” </w:t>
      </w:r>
      <w:r>
        <w:rPr>
          <w:rFonts w:ascii="仿宋" w:hAnsi="仿宋" w:eastAsia="仿宋" w:cs="仿宋"/>
          <w:spacing w:val="10"/>
          <w:sz w:val="32"/>
          <w:szCs w:val="32"/>
        </w:rPr>
        <w:t>将项目信</w:t>
      </w:r>
      <w:r>
        <w:rPr>
          <w:rFonts w:ascii="仿宋" w:hAnsi="仿宋" w:eastAsia="仿宋" w:cs="仿宋"/>
          <w:spacing w:val="5"/>
          <w:sz w:val="32"/>
          <w:szCs w:val="32"/>
        </w:rPr>
        <w:t>息自动推送至发改、自规、住建、环保、人防、城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8"/>
          <w:sz w:val="32"/>
          <w:szCs w:val="32"/>
        </w:rPr>
        <w:t>管、水务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4"/>
          <w:sz w:val="32"/>
          <w:szCs w:val="32"/>
        </w:rPr>
        <w:t>文旅、园林等相关审批部门，审批部门限时确认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8"/>
          <w:sz w:val="32"/>
          <w:szCs w:val="32"/>
        </w:rPr>
        <w:t>后，建</w:t>
      </w:r>
      <w:r>
        <w:rPr>
          <w:rFonts w:ascii="仿宋" w:hAnsi="仿宋" w:eastAsia="仿宋" w:cs="仿宋"/>
          <w:spacing w:val="6"/>
          <w:sz w:val="32"/>
          <w:szCs w:val="32"/>
        </w:rPr>
        <w:t>设</w:t>
      </w:r>
      <w:r>
        <w:rPr>
          <w:rFonts w:ascii="仿宋" w:hAnsi="仿宋" w:eastAsia="仿宋" w:cs="仿宋"/>
          <w:spacing w:val="4"/>
          <w:sz w:val="32"/>
          <w:szCs w:val="32"/>
        </w:rPr>
        <w:t>单位(申请人)按社会投资简易低风险工程类项目进</w:t>
      </w:r>
    </w:p>
    <w:p>
      <w:pPr>
        <w:sectPr>
          <w:footerReference r:id="rId6" w:type="default"/>
          <w:pgSz w:w="11900" w:h="16840"/>
          <w:pgMar w:top="1431" w:right="1327" w:bottom="1639" w:left="1599" w:header="0" w:footer="1220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7" w:line="317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行</w:t>
      </w:r>
      <w:r>
        <w:rPr>
          <w:rFonts w:ascii="仿宋" w:hAnsi="仿宋" w:eastAsia="仿宋" w:cs="仿宋"/>
          <w:spacing w:val="-12"/>
          <w:sz w:val="33"/>
          <w:szCs w:val="33"/>
        </w:rPr>
        <w:t>事</w:t>
      </w:r>
      <w:r>
        <w:rPr>
          <w:rFonts w:ascii="仿宋" w:hAnsi="仿宋" w:eastAsia="仿宋" w:cs="仿宋"/>
          <w:spacing w:val="-9"/>
          <w:sz w:val="33"/>
          <w:szCs w:val="33"/>
        </w:rPr>
        <w:t>项申报。不符合社会投资简易低风险工程类项目范围的，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审</w:t>
      </w:r>
      <w:r>
        <w:rPr>
          <w:rFonts w:ascii="仿宋" w:hAnsi="仿宋" w:eastAsia="仿宋" w:cs="仿宋"/>
          <w:spacing w:val="-8"/>
          <w:sz w:val="33"/>
          <w:szCs w:val="33"/>
        </w:rPr>
        <w:t>批部门及时提出不符合意见，并说明原因，综合窗口将审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批部门</w:t>
      </w:r>
      <w:r>
        <w:rPr>
          <w:rFonts w:ascii="仿宋" w:hAnsi="仿宋" w:eastAsia="仿宋" w:cs="仿宋"/>
          <w:spacing w:val="-7"/>
          <w:sz w:val="33"/>
          <w:szCs w:val="33"/>
        </w:rPr>
        <w:t>结</w:t>
      </w:r>
      <w:r>
        <w:rPr>
          <w:rFonts w:ascii="仿宋" w:hAnsi="仿宋" w:eastAsia="仿宋" w:cs="仿宋"/>
          <w:spacing w:val="-6"/>
          <w:sz w:val="33"/>
          <w:szCs w:val="33"/>
        </w:rPr>
        <w:t>果反馈建设单位(申请人)。审批部门不及时反馈意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见的，系统将在24小时自动默认视为同意。</w:t>
      </w:r>
    </w:p>
    <w:p>
      <w:pPr>
        <w:spacing w:before="1" w:line="219" w:lineRule="auto"/>
        <w:ind w:left="634"/>
        <w:outlineLvl w:val="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</w:t>
      </w:r>
      <w:r>
        <w:rPr>
          <w:rFonts w:ascii="宋体" w:hAnsi="宋体" w:eastAsia="宋体" w:cs="宋体"/>
          <w:spacing w:val="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改革措施</w:t>
      </w:r>
    </w:p>
    <w:p>
      <w:pPr>
        <w:spacing w:before="129" w:line="313" w:lineRule="auto"/>
        <w:ind w:right="214" w:firstLine="8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(一)减免工程勘察费用。对社会投资简易低风险</w:t>
      </w:r>
      <w:r>
        <w:rPr>
          <w:rFonts w:ascii="仿宋" w:hAnsi="仿宋" w:eastAsia="仿宋" w:cs="仿宋"/>
          <w:spacing w:val="6"/>
          <w:sz w:val="33"/>
          <w:szCs w:val="33"/>
        </w:rPr>
        <w:t>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目</w:t>
      </w:r>
      <w:r>
        <w:rPr>
          <w:rFonts w:ascii="仿宋" w:hAnsi="仿宋" w:eastAsia="仿宋" w:cs="仿宋"/>
          <w:spacing w:val="-9"/>
          <w:sz w:val="33"/>
          <w:szCs w:val="33"/>
        </w:rPr>
        <w:t>，工程勘察费由区政府承担，在土地出让前委托勘察单位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完成。(责任单位： 区住建局、区财政局，各街、镇、开发区</w:t>
      </w:r>
      <w:r>
        <w:rPr>
          <w:rFonts w:ascii="仿宋" w:hAnsi="仿宋" w:eastAsia="仿宋" w:cs="仿宋"/>
          <w:spacing w:val="-19"/>
          <w:sz w:val="33"/>
          <w:szCs w:val="33"/>
        </w:rPr>
        <w:t>)</w:t>
      </w:r>
    </w:p>
    <w:p>
      <w:pPr>
        <w:spacing w:before="4" w:line="312" w:lineRule="auto"/>
        <w:ind w:right="19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(二)整合项目</w:t>
      </w:r>
      <w:r>
        <w:rPr>
          <w:rFonts w:ascii="仿宋" w:hAnsi="仿宋" w:eastAsia="仿宋" w:cs="仿宋"/>
          <w:spacing w:val="-3"/>
          <w:sz w:val="33"/>
          <w:szCs w:val="33"/>
        </w:rPr>
        <w:t>投</w:t>
      </w:r>
      <w:r>
        <w:rPr>
          <w:rFonts w:ascii="仿宋" w:hAnsi="仿宋" w:eastAsia="仿宋" w:cs="仿宋"/>
          <w:spacing w:val="-2"/>
          <w:sz w:val="33"/>
          <w:szCs w:val="33"/>
        </w:rPr>
        <w:t>资备案。对社会投资简易低风险项目，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在</w:t>
      </w:r>
      <w:r>
        <w:rPr>
          <w:rFonts w:ascii="仿宋" w:hAnsi="仿宋" w:eastAsia="仿宋" w:cs="仿宋"/>
          <w:spacing w:val="-6"/>
          <w:sz w:val="33"/>
          <w:szCs w:val="33"/>
        </w:rPr>
        <w:t>新</w:t>
      </w:r>
      <w:r>
        <w:rPr>
          <w:rFonts w:ascii="仿宋" w:hAnsi="仿宋" w:eastAsia="仿宋" w:cs="仿宋"/>
          <w:spacing w:val="-5"/>
          <w:sz w:val="33"/>
          <w:szCs w:val="33"/>
        </w:rPr>
        <w:t>出让土地项目签署土地出让合同时，办理项目备案并赋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2"/>
          <w:sz w:val="33"/>
          <w:szCs w:val="33"/>
        </w:rPr>
        <w:t>码</w:t>
      </w:r>
      <w:r>
        <w:rPr>
          <w:rFonts w:ascii="仿宋" w:hAnsi="仿宋" w:eastAsia="仿宋" w:cs="仿宋"/>
          <w:spacing w:val="-22"/>
          <w:sz w:val="33"/>
          <w:szCs w:val="33"/>
        </w:rPr>
        <w:t>。(责任单位： 区发改委，市自然资源和规划局瑶海分局)</w:t>
      </w:r>
    </w:p>
    <w:p>
      <w:pPr>
        <w:spacing w:before="9" w:line="315" w:lineRule="auto"/>
        <w:ind w:right="175" w:firstLine="8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(三)免予办理建设工</w:t>
      </w:r>
      <w:r>
        <w:rPr>
          <w:rFonts w:ascii="仿宋" w:hAnsi="仿宋" w:eastAsia="仿宋" w:cs="仿宋"/>
          <w:spacing w:val="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程设计方案审查。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对社会投资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简</w:t>
      </w:r>
      <w:r>
        <w:rPr>
          <w:rFonts w:ascii="仿宋" w:hAnsi="仿宋" w:eastAsia="仿宋" w:cs="仿宋"/>
          <w:spacing w:val="-6"/>
          <w:sz w:val="33"/>
          <w:szCs w:val="33"/>
        </w:rPr>
        <w:t>易</w:t>
      </w:r>
      <w:r>
        <w:rPr>
          <w:rFonts w:ascii="仿宋" w:hAnsi="仿宋" w:eastAsia="仿宋" w:cs="仿宋"/>
          <w:spacing w:val="-5"/>
          <w:sz w:val="33"/>
          <w:szCs w:val="33"/>
        </w:rPr>
        <w:t>低风险项目，在符合规划和满足国家强制性标准的前提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下，企</w:t>
      </w:r>
      <w:r>
        <w:rPr>
          <w:rFonts w:ascii="仿宋" w:hAnsi="仿宋" w:eastAsia="仿宋" w:cs="仿宋"/>
          <w:spacing w:val="-5"/>
          <w:sz w:val="33"/>
          <w:szCs w:val="33"/>
        </w:rPr>
        <w:t>业可直接申请办理建设工程规划许可证。社会投资简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易低风险</w:t>
      </w:r>
      <w:r>
        <w:rPr>
          <w:rFonts w:ascii="仿宋" w:hAnsi="仿宋" w:eastAsia="仿宋" w:cs="仿宋"/>
          <w:spacing w:val="-5"/>
          <w:sz w:val="33"/>
          <w:szCs w:val="33"/>
        </w:rPr>
        <w:t>建</w:t>
      </w:r>
      <w:r>
        <w:rPr>
          <w:rFonts w:ascii="仿宋" w:hAnsi="仿宋" w:eastAsia="仿宋" w:cs="仿宋"/>
          <w:spacing w:val="-4"/>
          <w:sz w:val="33"/>
          <w:szCs w:val="33"/>
        </w:rPr>
        <w:t>设项目依法豁免环境影响评价审批或备案，取消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洪</w:t>
      </w:r>
      <w:r>
        <w:rPr>
          <w:rFonts w:ascii="仿宋" w:hAnsi="仿宋" w:eastAsia="仿宋" w:cs="仿宋"/>
          <w:spacing w:val="-4"/>
          <w:sz w:val="33"/>
          <w:szCs w:val="33"/>
        </w:rPr>
        <w:t>水影响评价报告、交通影响评价、建设项目安全评价、地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质</w:t>
      </w:r>
      <w:r>
        <w:rPr>
          <w:rFonts w:ascii="仿宋" w:hAnsi="仿宋" w:eastAsia="仿宋" w:cs="仿宋"/>
          <w:spacing w:val="-5"/>
          <w:sz w:val="33"/>
          <w:szCs w:val="33"/>
        </w:rPr>
        <w:t>灾害危险性评估、水资源论证、地震安全性评估、水土保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持方案等事项。年综合能源消费量不满1000吨标准煤、且</w:t>
      </w:r>
      <w:r>
        <w:rPr>
          <w:rFonts w:ascii="仿宋" w:hAnsi="仿宋" w:eastAsia="仿宋" w:cs="仿宋"/>
          <w:spacing w:val="-4"/>
          <w:sz w:val="33"/>
          <w:szCs w:val="33"/>
        </w:rPr>
        <w:t>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电力消费量不满500万千瓦时的固定资产投资项目，通过安</w:t>
      </w:r>
      <w:r>
        <w:rPr>
          <w:rFonts w:ascii="仿宋" w:hAnsi="仿宋" w:eastAsia="仿宋" w:cs="仿宋"/>
          <w:spacing w:val="-9"/>
          <w:sz w:val="33"/>
          <w:szCs w:val="33"/>
        </w:rPr>
        <w:t>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政</w:t>
      </w:r>
      <w:r>
        <w:rPr>
          <w:rFonts w:ascii="仿宋" w:hAnsi="仿宋" w:eastAsia="仿宋" w:cs="仿宋"/>
          <w:spacing w:val="-4"/>
          <w:sz w:val="33"/>
          <w:szCs w:val="33"/>
        </w:rPr>
        <w:t>务服务网在线报送节能承诺表，无需开展节能评估。(责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任单位： 市自然资源和规划局瑶海分局，区发改委、区生</w:t>
      </w:r>
      <w:r>
        <w:rPr>
          <w:rFonts w:ascii="仿宋" w:hAnsi="仿宋" w:eastAsia="仿宋" w:cs="仿宋"/>
          <w:spacing w:val="-6"/>
          <w:sz w:val="33"/>
          <w:szCs w:val="33"/>
        </w:rPr>
        <w:t>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环境分局、区农水</w:t>
      </w:r>
      <w:r>
        <w:rPr>
          <w:rFonts w:ascii="仿宋" w:hAnsi="仿宋" w:eastAsia="仿宋" w:cs="仿宋"/>
          <w:sz w:val="33"/>
          <w:szCs w:val="33"/>
        </w:rPr>
        <w:t>局)</w:t>
      </w:r>
    </w:p>
    <w:p>
      <w:pPr>
        <w:sectPr>
          <w:footerReference r:id="rId7" w:type="default"/>
          <w:pgSz w:w="11900" w:h="16840"/>
          <w:pgMar w:top="1431" w:right="1625" w:bottom="1660" w:left="1619" w:header="0" w:footer="1279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4" w:line="323" w:lineRule="auto"/>
        <w:ind w:left="39" w:firstLine="8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四)不再实行强制监理。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对社会投资简易低风险项目，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不再</w:t>
      </w:r>
      <w:r>
        <w:rPr>
          <w:rFonts w:ascii="仿宋" w:hAnsi="仿宋" w:eastAsia="仿宋" w:cs="仿宋"/>
          <w:spacing w:val="6"/>
          <w:sz w:val="32"/>
          <w:szCs w:val="32"/>
        </w:rPr>
        <w:t>强制聘请监理机构，建设单位可根据自愿原则采用自我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管理</w:t>
      </w:r>
      <w:r>
        <w:rPr>
          <w:rFonts w:ascii="仿宋" w:hAnsi="仿宋" w:eastAsia="仿宋" w:cs="仿宋"/>
          <w:spacing w:val="6"/>
          <w:sz w:val="32"/>
          <w:szCs w:val="32"/>
        </w:rPr>
        <w:t>、全过程咨询或建筑师负责制等管理模式加强工程质量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监</w:t>
      </w:r>
      <w:r>
        <w:rPr>
          <w:rFonts w:ascii="仿宋" w:hAnsi="仿宋" w:eastAsia="仿宋" w:cs="仿宋"/>
          <w:spacing w:val="2"/>
          <w:sz w:val="32"/>
          <w:szCs w:val="32"/>
        </w:rPr>
        <w:t>管。(责任单位： 区住建局)</w:t>
      </w:r>
    </w:p>
    <w:p>
      <w:pPr>
        <w:spacing w:before="2" w:line="323" w:lineRule="auto"/>
        <w:ind w:left="39" w:right="58" w:firstLine="8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)取消施工图设计文件审查。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对社会投资简易低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风</w:t>
      </w:r>
      <w:r>
        <w:rPr>
          <w:rFonts w:ascii="仿宋" w:hAnsi="仿宋" w:eastAsia="仿宋" w:cs="仿宋"/>
          <w:spacing w:val="7"/>
          <w:sz w:val="32"/>
          <w:szCs w:val="32"/>
        </w:rPr>
        <w:t>险项目，进一步强化勘察设计单位和勘察设计项目负责人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的</w:t>
      </w:r>
      <w:r>
        <w:rPr>
          <w:rFonts w:ascii="仿宋" w:hAnsi="仿宋" w:eastAsia="仿宋" w:cs="仿宋"/>
          <w:spacing w:val="13"/>
          <w:sz w:val="32"/>
          <w:szCs w:val="32"/>
        </w:rPr>
        <w:t>执</w:t>
      </w:r>
      <w:r>
        <w:rPr>
          <w:rFonts w:ascii="仿宋" w:hAnsi="仿宋" w:eastAsia="仿宋" w:cs="仿宋"/>
          <w:spacing w:val="7"/>
          <w:sz w:val="32"/>
          <w:szCs w:val="32"/>
        </w:rPr>
        <w:t>业责任，勘察设计单位和勘察设计项目负责人在申请施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工</w:t>
      </w:r>
      <w:r>
        <w:rPr>
          <w:rFonts w:ascii="仿宋" w:hAnsi="仿宋" w:eastAsia="仿宋" w:cs="仿宋"/>
          <w:spacing w:val="14"/>
          <w:sz w:val="32"/>
          <w:szCs w:val="32"/>
        </w:rPr>
        <w:t>许</w:t>
      </w:r>
      <w:r>
        <w:rPr>
          <w:rFonts w:ascii="仿宋" w:hAnsi="仿宋" w:eastAsia="仿宋" w:cs="仿宋"/>
          <w:spacing w:val="12"/>
          <w:sz w:val="32"/>
          <w:szCs w:val="32"/>
        </w:rPr>
        <w:t>可阶段提交书面承诺后，不再需要进行施工图设计文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件</w:t>
      </w:r>
      <w:r>
        <w:rPr>
          <w:rFonts w:ascii="仿宋" w:hAnsi="仿宋" w:eastAsia="仿宋" w:cs="仿宋"/>
          <w:spacing w:val="11"/>
          <w:sz w:val="32"/>
          <w:szCs w:val="32"/>
        </w:rPr>
        <w:t>审</w:t>
      </w:r>
      <w:r>
        <w:rPr>
          <w:rFonts w:ascii="仿宋" w:hAnsi="仿宋" w:eastAsia="仿宋" w:cs="仿宋"/>
          <w:spacing w:val="7"/>
          <w:sz w:val="32"/>
          <w:szCs w:val="32"/>
        </w:rPr>
        <w:t>查，施工图审查不再作为施工许可证的前置条件。强化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施</w:t>
      </w:r>
      <w:r>
        <w:rPr>
          <w:rFonts w:ascii="仿宋" w:hAnsi="仿宋" w:eastAsia="仿宋" w:cs="仿宋"/>
          <w:spacing w:val="8"/>
          <w:sz w:val="32"/>
          <w:szCs w:val="32"/>
        </w:rPr>
        <w:t>工</w:t>
      </w:r>
      <w:r>
        <w:rPr>
          <w:rFonts w:ascii="仿宋" w:hAnsi="仿宋" w:eastAsia="仿宋" w:cs="仿宋"/>
          <w:spacing w:val="6"/>
          <w:sz w:val="32"/>
          <w:szCs w:val="32"/>
        </w:rPr>
        <w:t>图设计文件质量事中事后抽查监管，抽查比例100%。抽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查</w:t>
      </w:r>
      <w:r>
        <w:rPr>
          <w:rFonts w:ascii="仿宋" w:hAnsi="仿宋" w:eastAsia="仿宋" w:cs="仿宋"/>
          <w:spacing w:val="6"/>
          <w:sz w:val="32"/>
          <w:szCs w:val="32"/>
        </w:rPr>
        <w:t>发现存在质量问题的，应当督促整改，抽查结果纳入设计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单位和设计人员资质、资格及信用管理(责任单位： 区住建局)</w:t>
      </w:r>
    </w:p>
    <w:p>
      <w:pPr>
        <w:spacing w:before="8" w:line="322" w:lineRule="auto"/>
        <w:ind w:right="99" w:firstLine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(六)不再收取城市基础设施配套费。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将社会投资</w:t>
      </w:r>
      <w:r>
        <w:rPr>
          <w:rFonts w:ascii="仿宋" w:hAnsi="仿宋" w:eastAsia="仿宋" w:cs="仿宋"/>
          <w:spacing w:val="12"/>
          <w:sz w:val="32"/>
          <w:szCs w:val="32"/>
        </w:rPr>
        <w:t>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易低风险项目的城市基础设施配套费纳入土地成本综合考虑</w:t>
      </w:r>
      <w:r>
        <w:rPr>
          <w:rFonts w:ascii="仿宋" w:hAnsi="仿宋" w:eastAsia="仿宋" w:cs="仿宋"/>
          <w:sz w:val="32"/>
          <w:szCs w:val="32"/>
        </w:rPr>
        <w:t xml:space="preserve">， </w:t>
      </w:r>
      <w:r>
        <w:rPr>
          <w:rFonts w:ascii="仿宋" w:hAnsi="仿宋" w:eastAsia="仿宋" w:cs="仿宋"/>
          <w:spacing w:val="8"/>
          <w:sz w:val="32"/>
          <w:szCs w:val="32"/>
        </w:rPr>
        <w:t>不再向企业收取，企业无需办理城市基础设施配套费有关</w:t>
      </w:r>
      <w:r>
        <w:rPr>
          <w:rFonts w:ascii="仿宋" w:hAnsi="仿宋" w:eastAsia="仿宋" w:cs="仿宋"/>
          <w:spacing w:val="6"/>
          <w:sz w:val="32"/>
          <w:szCs w:val="32"/>
        </w:rPr>
        <w:t>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免手续。</w:t>
      </w:r>
      <w:r>
        <w:rPr>
          <w:rFonts w:ascii="仿宋" w:hAnsi="仿宋" w:eastAsia="仿宋" w:cs="仿宋"/>
          <w:spacing w:val="-5"/>
          <w:sz w:val="32"/>
          <w:szCs w:val="32"/>
        </w:rPr>
        <w:t>(责任单位： 市发改委、市自然资源和规划局、市城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建</w:t>
      </w:r>
      <w:r>
        <w:rPr>
          <w:rFonts w:ascii="仿宋" w:hAnsi="仿宋" w:eastAsia="仿宋" w:cs="仿宋"/>
          <w:spacing w:val="13"/>
          <w:sz w:val="32"/>
          <w:szCs w:val="32"/>
        </w:rPr>
        <w:t>局)</w:t>
      </w:r>
    </w:p>
    <w:p>
      <w:pPr>
        <w:spacing w:before="2" w:line="328" w:lineRule="auto"/>
        <w:ind w:left="39" w:right="237" w:firstLine="8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(七)取消人防报建，免征人防易地建设费。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对社</w:t>
      </w:r>
      <w:r>
        <w:rPr>
          <w:rFonts w:ascii="仿宋" w:hAnsi="仿宋" w:eastAsia="仿宋" w:cs="仿宋"/>
          <w:spacing w:val="12"/>
          <w:sz w:val="32"/>
          <w:szCs w:val="32"/>
        </w:rPr>
        <w:t>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投资简易低风险项目，不需修建防空地下室，不</w:t>
      </w:r>
      <w:r>
        <w:rPr>
          <w:rFonts w:ascii="仿宋" w:hAnsi="仿宋" w:eastAsia="仿宋" w:cs="仿宋"/>
          <w:spacing w:val="-1"/>
          <w:sz w:val="32"/>
          <w:szCs w:val="32"/>
        </w:rPr>
        <w:t>缴纳易地建设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费</w:t>
      </w:r>
      <w:r>
        <w:rPr>
          <w:rFonts w:ascii="仿宋" w:hAnsi="仿宋" w:eastAsia="仿宋" w:cs="仿宋"/>
          <w:spacing w:val="15"/>
          <w:sz w:val="32"/>
          <w:szCs w:val="32"/>
        </w:rPr>
        <w:t>，办理项目建设前期和竣工备案手续时不再报经人民防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空</w:t>
      </w:r>
      <w:r>
        <w:rPr>
          <w:rFonts w:ascii="仿宋" w:hAnsi="仿宋" w:eastAsia="仿宋" w:cs="仿宋"/>
          <w:spacing w:val="-9"/>
          <w:sz w:val="32"/>
          <w:szCs w:val="32"/>
        </w:rPr>
        <w:t>主</w:t>
      </w:r>
      <w:r>
        <w:rPr>
          <w:rFonts w:ascii="仿宋" w:hAnsi="仿宋" w:eastAsia="仿宋" w:cs="仿宋"/>
          <w:spacing w:val="-5"/>
          <w:sz w:val="32"/>
          <w:szCs w:val="32"/>
        </w:rPr>
        <w:t>管部门同意。(责任单位： 市人防办)</w:t>
      </w:r>
    </w:p>
    <w:p>
      <w:pPr>
        <w:sectPr>
          <w:footerReference r:id="rId8" w:type="default"/>
          <w:pgSz w:w="11900" w:h="16840"/>
          <w:pgMar w:top="1431" w:right="1470" w:bottom="1659" w:left="1559" w:header="0" w:footer="1346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10" w:line="304" w:lineRule="auto"/>
        <w:ind w:firstLine="85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八)优化市政设施接入服务。</w:t>
      </w:r>
      <w:r>
        <w:rPr>
          <w:rFonts w:ascii="仿宋" w:hAnsi="仿宋" w:eastAsia="仿宋" w:cs="仿宋"/>
          <w:spacing w:val="-9"/>
          <w:sz w:val="34"/>
          <w:szCs w:val="34"/>
        </w:rPr>
        <w:t xml:space="preserve"> 社会投资简易低风险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5"/>
          <w:sz w:val="34"/>
          <w:szCs w:val="34"/>
        </w:rPr>
        <w:t>项</w:t>
      </w:r>
      <w:r>
        <w:rPr>
          <w:rFonts w:ascii="仿宋" w:hAnsi="仿宋" w:eastAsia="仿宋" w:cs="仿宋"/>
          <w:spacing w:val="-21"/>
          <w:sz w:val="34"/>
          <w:szCs w:val="34"/>
        </w:rPr>
        <w:t>目外线接入工程推行“免上门、免审批、免收费”模式，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7"/>
          <w:sz w:val="34"/>
          <w:szCs w:val="34"/>
        </w:rPr>
        <w:t>由供电、供水、供气等市政公用服务企业负责建设。市政</w:t>
      </w:r>
      <w:r>
        <w:rPr>
          <w:rFonts w:ascii="仿宋" w:hAnsi="仿宋" w:eastAsia="仿宋" w:cs="仿宋"/>
          <w:spacing w:val="-13"/>
          <w:sz w:val="34"/>
          <w:szCs w:val="34"/>
        </w:rPr>
        <w:t>公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0"/>
          <w:sz w:val="34"/>
          <w:szCs w:val="34"/>
        </w:rPr>
        <w:t>用</w:t>
      </w:r>
      <w:r>
        <w:rPr>
          <w:rFonts w:ascii="仿宋" w:hAnsi="仿宋" w:eastAsia="仿宋" w:cs="仿宋"/>
          <w:spacing w:val="-20"/>
          <w:sz w:val="34"/>
          <w:szCs w:val="34"/>
        </w:rPr>
        <w:t>服务企业提供该服务的免于办理规划、施工、占路、掘路、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伐</w:t>
      </w:r>
      <w:r>
        <w:rPr>
          <w:rFonts w:ascii="仿宋" w:hAnsi="仿宋" w:eastAsia="仿宋" w:cs="仿宋"/>
          <w:spacing w:val="-14"/>
          <w:sz w:val="34"/>
          <w:szCs w:val="34"/>
        </w:rPr>
        <w:t>移树木等行政许可，实行告知承诺制，市政公用单位在外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线</w:t>
      </w:r>
      <w:r>
        <w:rPr>
          <w:rFonts w:ascii="仿宋" w:hAnsi="仿宋" w:eastAsia="仿宋" w:cs="仿宋"/>
          <w:spacing w:val="-15"/>
          <w:sz w:val="34"/>
          <w:szCs w:val="34"/>
        </w:rPr>
        <w:t>工程施工前，通过市“工改平台”进行线上申请或现场告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1"/>
          <w:sz w:val="34"/>
          <w:szCs w:val="34"/>
        </w:rPr>
        <w:t>知</w:t>
      </w:r>
      <w:r>
        <w:rPr>
          <w:rFonts w:ascii="仿宋" w:hAnsi="仿宋" w:eastAsia="仿宋" w:cs="仿宋"/>
          <w:spacing w:val="-15"/>
          <w:sz w:val="34"/>
          <w:szCs w:val="34"/>
        </w:rPr>
        <w:t>市政管理部门审批窗口，对外线接入工程作出情况告知书，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6"/>
          <w:sz w:val="34"/>
          <w:szCs w:val="34"/>
        </w:rPr>
        <w:t>由</w:t>
      </w:r>
      <w:r>
        <w:rPr>
          <w:rFonts w:ascii="仿宋" w:hAnsi="仿宋" w:eastAsia="仿宋" w:cs="仿宋"/>
          <w:spacing w:val="-33"/>
          <w:sz w:val="34"/>
          <w:szCs w:val="34"/>
        </w:rPr>
        <w:t>窗口统一转至园林、公安等部门。(责任单位： 市城建局、市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9"/>
          <w:sz w:val="34"/>
          <w:szCs w:val="34"/>
        </w:rPr>
        <w:t>发</w:t>
      </w:r>
      <w:r>
        <w:rPr>
          <w:rFonts w:ascii="仿宋" w:hAnsi="仿宋" w:eastAsia="仿宋" w:cs="仿宋"/>
          <w:spacing w:val="-27"/>
          <w:sz w:val="34"/>
          <w:szCs w:val="34"/>
        </w:rPr>
        <w:t>改委、市自然资源和规划局、市公安局、市林园局、合肥供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3"/>
          <w:sz w:val="34"/>
          <w:szCs w:val="34"/>
        </w:rPr>
        <w:t>电公司、市供水集团、市燃气集团，市交警支队瑶海大队、</w:t>
      </w:r>
      <w:r>
        <w:rPr>
          <w:rFonts w:ascii="仿宋" w:hAnsi="仿宋" w:eastAsia="仿宋" w:cs="仿宋"/>
          <w:spacing w:val="-21"/>
          <w:sz w:val="34"/>
          <w:szCs w:val="34"/>
        </w:rPr>
        <w:t>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园</w:t>
      </w:r>
      <w:r>
        <w:rPr>
          <w:rFonts w:ascii="仿宋" w:hAnsi="仿宋" w:eastAsia="仿宋" w:cs="仿宋"/>
          <w:spacing w:val="-4"/>
          <w:sz w:val="34"/>
          <w:szCs w:val="34"/>
        </w:rPr>
        <w:t>管中心)</w:t>
      </w:r>
    </w:p>
    <w:p>
      <w:pPr>
        <w:spacing w:before="2" w:line="304" w:lineRule="auto"/>
        <w:ind w:left="29" w:right="267" w:firstLine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(九</w:t>
      </w:r>
      <w:r>
        <w:rPr>
          <w:rFonts w:ascii="仿宋" w:hAnsi="仿宋" w:eastAsia="仿宋" w:cs="仿宋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)将建设工程规划许可证与建筑工程施工许可证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合</w:t>
      </w:r>
      <w:r>
        <w:rPr>
          <w:rFonts w:ascii="仿宋" w:hAnsi="仿宋" w:eastAsia="仿宋" w:cs="仿宋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并办理。</w:t>
      </w:r>
      <w:r>
        <w:rPr>
          <w:rFonts w:ascii="仿宋" w:hAnsi="仿宋" w:eastAsia="仿宋" w:cs="仿宋"/>
          <w:spacing w:val="-22"/>
          <w:sz w:val="34"/>
          <w:szCs w:val="34"/>
        </w:rPr>
        <w:t xml:space="preserve"> 对社会投资简易低风险项目，建设单位在审批通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过</w:t>
      </w:r>
      <w:r>
        <w:rPr>
          <w:rFonts w:ascii="仿宋" w:hAnsi="仿宋" w:eastAsia="仿宋" w:cs="仿宋"/>
          <w:spacing w:val="-16"/>
          <w:sz w:val="34"/>
          <w:szCs w:val="34"/>
        </w:rPr>
        <w:t>后可以一次性领取建设工程规划许可证、建筑工程施工许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可</w:t>
      </w:r>
      <w:r>
        <w:rPr>
          <w:rFonts w:ascii="仿宋" w:hAnsi="仿宋" w:eastAsia="仿宋" w:cs="仿宋"/>
          <w:spacing w:val="-15"/>
          <w:sz w:val="34"/>
          <w:szCs w:val="34"/>
        </w:rPr>
        <w:t>证及涉及的树木伐移许可等审批结果材料，并同步获得工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程</w:t>
      </w:r>
      <w:r>
        <w:rPr>
          <w:rFonts w:ascii="仿宋" w:hAnsi="仿宋" w:eastAsia="仿宋" w:cs="仿宋"/>
          <w:spacing w:val="-15"/>
          <w:sz w:val="34"/>
          <w:szCs w:val="34"/>
        </w:rPr>
        <w:t>质量和安全监督有关监管要求。针对社会投资简易低风险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项</w:t>
      </w:r>
      <w:r>
        <w:rPr>
          <w:rFonts w:ascii="仿宋" w:hAnsi="仿宋" w:eastAsia="仿宋" w:cs="仿宋"/>
          <w:spacing w:val="-14"/>
          <w:sz w:val="34"/>
          <w:szCs w:val="34"/>
        </w:rPr>
        <w:t>目特点，将工程规划许可、工程施工许可的办理流程、办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理</w:t>
      </w:r>
      <w:r>
        <w:rPr>
          <w:rFonts w:ascii="仿宋" w:hAnsi="仿宋" w:eastAsia="仿宋" w:cs="仿宋"/>
          <w:spacing w:val="-15"/>
          <w:sz w:val="34"/>
          <w:szCs w:val="34"/>
        </w:rPr>
        <w:t>材料进行整合，制定合并办理指南，引导和帮助建设单位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进</w:t>
      </w:r>
      <w:r>
        <w:rPr>
          <w:rFonts w:ascii="仿宋" w:hAnsi="仿宋" w:eastAsia="仿宋" w:cs="仿宋"/>
          <w:spacing w:val="-29"/>
          <w:sz w:val="34"/>
          <w:szCs w:val="34"/>
        </w:rPr>
        <w:t>行实施。(责任单位： 市自然资源和规划局，区住建局、区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园</w:t>
      </w:r>
      <w:r>
        <w:rPr>
          <w:rFonts w:ascii="仿宋" w:hAnsi="仿宋" w:eastAsia="仿宋" w:cs="仿宋"/>
          <w:spacing w:val="-6"/>
          <w:sz w:val="34"/>
          <w:szCs w:val="34"/>
        </w:rPr>
        <w:t>管中心)</w:t>
      </w:r>
    </w:p>
    <w:p>
      <w:pPr>
        <w:spacing w:before="1" w:line="314" w:lineRule="auto"/>
        <w:ind w:left="29" w:right="279" w:firstLine="8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(十)减免不动产登记费和工本费。</w:t>
      </w:r>
      <w:r>
        <w:rPr>
          <w:rFonts w:ascii="仿宋" w:hAnsi="仿宋" w:eastAsia="仿宋" w:cs="仿宋"/>
          <w:spacing w:val="-6"/>
          <w:sz w:val="34"/>
          <w:szCs w:val="34"/>
        </w:rPr>
        <w:t xml:space="preserve"> 对社会投资简易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低</w:t>
      </w:r>
      <w:r>
        <w:rPr>
          <w:rFonts w:ascii="仿宋" w:hAnsi="仿宋" w:eastAsia="仿宋" w:cs="仿宋"/>
          <w:spacing w:val="-16"/>
          <w:sz w:val="34"/>
          <w:szCs w:val="34"/>
        </w:rPr>
        <w:t>风</w:t>
      </w:r>
      <w:r>
        <w:rPr>
          <w:rFonts w:ascii="仿宋" w:hAnsi="仿宋" w:eastAsia="仿宋" w:cs="仿宋"/>
          <w:spacing w:val="-14"/>
          <w:sz w:val="34"/>
          <w:szCs w:val="34"/>
        </w:rPr>
        <w:t>险项目，企业持相关申请材料，直接申请办理不动产国</w:t>
      </w:r>
    </w:p>
    <w:p>
      <w:pPr>
        <w:sectPr>
          <w:footerReference r:id="rId9" w:type="default"/>
          <w:pgSz w:w="11900" w:h="16840"/>
          <w:pgMar w:top="1431" w:right="1540" w:bottom="1671" w:left="1589" w:header="0" w:footer="1305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10" w:line="305" w:lineRule="auto"/>
        <w:ind w:left="39" w:right="2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有</w:t>
      </w:r>
      <w:r>
        <w:rPr>
          <w:rFonts w:ascii="仿宋" w:hAnsi="仿宋" w:eastAsia="仿宋" w:cs="仿宋"/>
          <w:spacing w:val="-15"/>
          <w:sz w:val="34"/>
          <w:szCs w:val="34"/>
        </w:rPr>
        <w:t>建设用地使用权及房屋所有权登记，1个工作日内办结，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免收首次登记费和工本费，费用减免工作由主管部门按照收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费管理权限，履行报批程序。(责任单位： 市自然资源和规</w:t>
      </w:r>
      <w:r>
        <w:rPr>
          <w:rFonts w:ascii="仿宋" w:hAnsi="仿宋" w:eastAsia="仿宋" w:cs="仿宋"/>
          <w:spacing w:val="-19"/>
          <w:sz w:val="34"/>
          <w:szCs w:val="34"/>
        </w:rPr>
        <w:t>划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局</w:t>
      </w:r>
      <w:r>
        <w:rPr>
          <w:rFonts w:ascii="仿宋" w:hAnsi="仿宋" w:eastAsia="仿宋" w:cs="仿宋"/>
          <w:spacing w:val="-11"/>
          <w:sz w:val="34"/>
          <w:szCs w:val="34"/>
        </w:rPr>
        <w:t>、市发改委)</w:t>
      </w:r>
    </w:p>
    <w:p>
      <w:pPr>
        <w:spacing w:before="7" w:line="303" w:lineRule="auto"/>
        <w:ind w:firstLine="9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十一)加强工程质量监管。</w:t>
      </w:r>
      <w:r>
        <w:rPr>
          <w:rFonts w:ascii="仿宋" w:hAnsi="仿宋" w:eastAsia="仿宋" w:cs="仿宋"/>
          <w:spacing w:val="-7"/>
          <w:sz w:val="34"/>
          <w:szCs w:val="34"/>
        </w:rPr>
        <w:t xml:space="preserve"> 对社会投资简易低风险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3"/>
          <w:sz w:val="34"/>
          <w:szCs w:val="34"/>
        </w:rPr>
        <w:t>项目，明确质量安全监督机构在项目建设至主体结构封顶后、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装</w:t>
      </w:r>
      <w:r>
        <w:rPr>
          <w:rFonts w:ascii="仿宋" w:hAnsi="仿宋" w:eastAsia="仿宋" w:cs="仿宋"/>
          <w:spacing w:val="-13"/>
          <w:sz w:val="34"/>
          <w:szCs w:val="34"/>
        </w:rPr>
        <w:t>饰</w:t>
      </w:r>
      <w:r>
        <w:rPr>
          <w:rFonts w:ascii="仿宋" w:hAnsi="仿宋" w:eastAsia="仿宋" w:cs="仿宋"/>
          <w:spacing w:val="-12"/>
          <w:sz w:val="34"/>
          <w:szCs w:val="34"/>
        </w:rPr>
        <w:t>装修施工前实行一次定期监督检查，检查结果计入各参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建</w:t>
      </w:r>
      <w:r>
        <w:rPr>
          <w:rFonts w:ascii="仿宋" w:hAnsi="仿宋" w:eastAsia="仿宋" w:cs="仿宋"/>
          <w:spacing w:val="-19"/>
          <w:sz w:val="34"/>
          <w:szCs w:val="34"/>
        </w:rPr>
        <w:t>单位和相关人员的信用信息管理档案。(责任单位： 区住</w:t>
      </w:r>
      <w:r>
        <w:rPr>
          <w:rFonts w:ascii="仿宋" w:hAnsi="仿宋" w:eastAsia="仿宋" w:cs="仿宋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2"/>
          <w:sz w:val="34"/>
          <w:szCs w:val="34"/>
        </w:rPr>
        <w:t>建局</w:t>
      </w:r>
      <w:r>
        <w:rPr>
          <w:rFonts w:ascii="仿宋" w:hAnsi="仿宋" w:eastAsia="仿宋" w:cs="仿宋"/>
          <w:spacing w:val="1"/>
          <w:sz w:val="34"/>
          <w:szCs w:val="34"/>
        </w:rPr>
        <w:t>)</w:t>
      </w:r>
    </w:p>
    <w:p>
      <w:pPr>
        <w:spacing w:line="304" w:lineRule="auto"/>
        <w:ind w:left="19" w:right="258" w:firstLine="9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(十二</w:t>
      </w:r>
      <w:r>
        <w:rPr>
          <w:rFonts w:ascii="仿宋" w:hAnsi="仿宋" w:eastAsia="仿宋" w:cs="仿宋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pacing w:val="-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开展联合竣工验收和简易验收。</w:t>
      </w:r>
      <w:r>
        <w:rPr>
          <w:rFonts w:ascii="仿宋" w:hAnsi="仿宋" w:eastAsia="仿宋" w:cs="仿宋"/>
          <w:spacing w:val="-4"/>
          <w:sz w:val="34"/>
          <w:szCs w:val="34"/>
        </w:rPr>
        <w:t xml:space="preserve"> 社会投资简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易</w:t>
      </w:r>
      <w:r>
        <w:rPr>
          <w:rFonts w:ascii="仿宋" w:hAnsi="仿宋" w:eastAsia="仿宋" w:cs="仿宋"/>
          <w:spacing w:val="-18"/>
          <w:sz w:val="34"/>
          <w:szCs w:val="34"/>
        </w:rPr>
        <w:t>低风险工程建设项目在竣工验收阶段实行“一表申请、一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口</w:t>
      </w:r>
      <w:r>
        <w:rPr>
          <w:rFonts w:ascii="仿宋" w:hAnsi="仿宋" w:eastAsia="仿宋" w:cs="仿宋"/>
          <w:spacing w:val="-19"/>
          <w:sz w:val="34"/>
          <w:szCs w:val="34"/>
        </w:rPr>
        <w:t>受理、简易验收、限时办结”。按照建设单位意愿，开展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联合竣工验收，建设单位具备条件的，不得要求建设单位</w:t>
      </w:r>
      <w:r>
        <w:rPr>
          <w:rFonts w:ascii="仿宋" w:hAnsi="仿宋" w:eastAsia="仿宋" w:cs="仿宋"/>
          <w:spacing w:val="-12"/>
          <w:sz w:val="34"/>
          <w:szCs w:val="34"/>
        </w:rPr>
        <w:t>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规</w:t>
      </w:r>
      <w:r>
        <w:rPr>
          <w:rFonts w:ascii="仿宋" w:hAnsi="仿宋" w:eastAsia="仿宋" w:cs="仿宋"/>
          <w:spacing w:val="-27"/>
          <w:sz w:val="34"/>
          <w:szCs w:val="34"/>
        </w:rPr>
        <w:t>划、消防和特种设备单独申请验收。(责任单位： 市自然资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源</w:t>
      </w:r>
      <w:r>
        <w:rPr>
          <w:rFonts w:ascii="仿宋" w:hAnsi="仿宋" w:eastAsia="仿宋" w:cs="仿宋"/>
          <w:spacing w:val="-23"/>
          <w:sz w:val="34"/>
          <w:szCs w:val="34"/>
        </w:rPr>
        <w:t>和规划局瑶海分局、市城建局，区住建局、区园管中心、区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"/>
          <w:sz w:val="34"/>
          <w:szCs w:val="34"/>
        </w:rPr>
        <w:t>市场监管局)</w:t>
      </w:r>
    </w:p>
    <w:p>
      <w:pPr>
        <w:spacing w:before="3" w:line="304" w:lineRule="auto"/>
        <w:ind w:left="39" w:right="189" w:firstLine="8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1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-1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三)实行“联合测绘”</w:t>
      </w:r>
      <w:r>
        <w:rPr>
          <w:rFonts w:ascii="仿宋" w:hAnsi="仿宋" w:eastAsia="仿宋" w:cs="仿宋"/>
          <w:spacing w:val="-14"/>
          <w:sz w:val="34"/>
          <w:szCs w:val="34"/>
        </w:rPr>
        <w:t>。对于联合验收涉及的土地、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规划、房产等测绘工作，推行“多测合一”,由建设单位委</w:t>
      </w:r>
      <w:r>
        <w:rPr>
          <w:rFonts w:ascii="仿宋" w:hAnsi="仿宋" w:eastAsia="仿宋" w:cs="仿宋"/>
          <w:spacing w:val="-17"/>
          <w:sz w:val="34"/>
          <w:szCs w:val="34"/>
        </w:rPr>
        <w:t>托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同</w:t>
      </w:r>
      <w:r>
        <w:rPr>
          <w:rFonts w:ascii="仿宋" w:hAnsi="仿宋" w:eastAsia="仿宋" w:cs="仿宋"/>
          <w:spacing w:val="-21"/>
          <w:sz w:val="34"/>
          <w:szCs w:val="34"/>
        </w:rPr>
        <w:t>一家测绘单位承担，实行“一次委托、联合测绘、成果共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享</w:t>
      </w:r>
      <w:r>
        <w:rPr>
          <w:rFonts w:ascii="仿宋" w:hAnsi="仿宋" w:eastAsia="仿宋" w:cs="仿宋"/>
          <w:spacing w:val="-19"/>
          <w:sz w:val="34"/>
          <w:szCs w:val="34"/>
        </w:rPr>
        <w:t>”。(责任单位： 市自然资源和规划局)</w:t>
      </w:r>
    </w:p>
    <w:p>
      <w:pPr>
        <w:spacing w:before="1" w:line="346" w:lineRule="auto"/>
        <w:ind w:left="39" w:right="49" w:firstLine="9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十四)提升为企服务水平。</w:t>
      </w:r>
      <w:r>
        <w:rPr>
          <w:rFonts w:ascii="仿宋" w:hAnsi="仿宋" w:eastAsia="仿宋" w:cs="仿宋"/>
          <w:spacing w:val="-6"/>
          <w:sz w:val="34"/>
          <w:szCs w:val="34"/>
        </w:rPr>
        <w:t xml:space="preserve"> 推行审批代办服务制度，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为社会投资简易低风</w:t>
      </w:r>
      <w:r>
        <w:rPr>
          <w:rFonts w:ascii="仿宋" w:hAnsi="仿宋" w:eastAsia="仿宋" w:cs="仿宋"/>
          <w:spacing w:val="-1"/>
          <w:sz w:val="34"/>
          <w:szCs w:val="34"/>
        </w:rPr>
        <w:t>险工程建设项目从备案到竣工验收全</w:t>
      </w:r>
    </w:p>
    <w:p>
      <w:pPr>
        <w:sectPr>
          <w:footerReference r:id="rId10" w:type="default"/>
          <w:pgSz w:w="11900" w:h="16840"/>
          <w:pgMar w:top="1431" w:right="1540" w:bottom="1590" w:left="1529" w:header="0" w:footer="120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23" w:lineRule="auto"/>
        <w:ind w:right="7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过程提供政</w:t>
      </w:r>
      <w:r>
        <w:rPr>
          <w:rFonts w:ascii="仿宋" w:hAnsi="仿宋" w:eastAsia="仿宋" w:cs="仿宋"/>
          <w:spacing w:val="4"/>
          <w:sz w:val="32"/>
          <w:szCs w:val="32"/>
        </w:rPr>
        <w:t>策</w:t>
      </w:r>
      <w:r>
        <w:rPr>
          <w:rFonts w:ascii="仿宋" w:hAnsi="仿宋" w:eastAsia="仿宋" w:cs="仿宋"/>
          <w:spacing w:val="3"/>
          <w:sz w:val="32"/>
          <w:szCs w:val="32"/>
        </w:rPr>
        <w:t>咨询、指导协办等审批服务。代办事项可根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据项目单位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pacing w:val="-3"/>
          <w:sz w:val="32"/>
          <w:szCs w:val="32"/>
        </w:rPr>
        <w:t>要求进行全部代办或部分代办。(责任单位：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区住建局、区</w:t>
      </w:r>
      <w:r>
        <w:rPr>
          <w:rFonts w:ascii="仿宋" w:hAnsi="仿宋" w:eastAsia="仿宋" w:cs="仿宋"/>
          <w:spacing w:val="-3"/>
          <w:sz w:val="32"/>
          <w:szCs w:val="32"/>
        </w:rPr>
        <w:t>政务服务管理局，各街、镇、开发区)</w:t>
      </w:r>
    </w:p>
    <w:p>
      <w:pPr>
        <w:spacing w:before="10" w:line="326" w:lineRule="auto"/>
        <w:ind w:firstLine="8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(十五)加强行业监管，建立奖惩机制。在项目建</w:t>
      </w:r>
      <w:r>
        <w:rPr>
          <w:rFonts w:ascii="仿宋" w:hAnsi="仿宋" w:eastAsia="仿宋" w:cs="仿宋"/>
          <w:spacing w:val="16"/>
          <w:sz w:val="32"/>
          <w:szCs w:val="32"/>
        </w:rPr>
        <w:t>设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8"/>
          <w:sz w:val="32"/>
          <w:szCs w:val="32"/>
        </w:rPr>
        <w:t>过程中，</w:t>
      </w:r>
      <w:r>
        <w:rPr>
          <w:rFonts w:ascii="仿宋" w:hAnsi="仿宋" w:eastAsia="仿宋" w:cs="仿宋"/>
          <w:spacing w:val="6"/>
          <w:sz w:val="32"/>
          <w:szCs w:val="32"/>
        </w:rPr>
        <w:t>建</w:t>
      </w:r>
      <w:r>
        <w:rPr>
          <w:rFonts w:ascii="仿宋" w:hAnsi="仿宋" w:eastAsia="仿宋" w:cs="仿宋"/>
          <w:spacing w:val="4"/>
          <w:sz w:val="32"/>
          <w:szCs w:val="32"/>
        </w:rPr>
        <w:t>设、园林绿化、交通、城管等部门应根据建设单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位、施工单位等相关责任主体的行为建立红黑名单制度并</w:t>
      </w:r>
      <w:r>
        <w:rPr>
          <w:rFonts w:ascii="仿宋" w:hAnsi="仿宋" w:eastAsia="仿宋" w:cs="仿宋"/>
          <w:spacing w:val="3"/>
          <w:sz w:val="32"/>
          <w:szCs w:val="32"/>
        </w:rPr>
        <w:t>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相关网站公示，对于责任主体行为不遵守相关规定的，</w:t>
      </w:r>
      <w:r>
        <w:rPr>
          <w:rFonts w:ascii="仿宋" w:hAnsi="仿宋" w:eastAsia="仿宋" w:cs="仿宋"/>
          <w:spacing w:val="2"/>
          <w:sz w:val="32"/>
          <w:szCs w:val="32"/>
        </w:rPr>
        <w:t>取</w:t>
      </w:r>
      <w:r>
        <w:rPr>
          <w:rFonts w:ascii="仿宋" w:hAnsi="仿宋" w:eastAsia="仿宋" w:cs="仿宋"/>
          <w:sz w:val="32"/>
          <w:szCs w:val="32"/>
        </w:rPr>
        <w:t xml:space="preserve">消  </w:t>
      </w:r>
      <w:r>
        <w:rPr>
          <w:rFonts w:ascii="仿宋" w:hAnsi="仿宋" w:eastAsia="仿宋" w:cs="仿宋"/>
          <w:spacing w:val="-16"/>
          <w:sz w:val="32"/>
          <w:szCs w:val="32"/>
        </w:rPr>
        <w:t>其</w:t>
      </w:r>
      <w:r>
        <w:rPr>
          <w:rFonts w:ascii="仿宋" w:hAnsi="仿宋" w:eastAsia="仿宋" w:cs="仿宋"/>
          <w:spacing w:val="-15"/>
          <w:sz w:val="32"/>
          <w:szCs w:val="32"/>
        </w:rPr>
        <w:t>享受该文件相关政策资格。(责任单位： 区住建局、区城管局、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区</w:t>
      </w:r>
      <w:r>
        <w:rPr>
          <w:rFonts w:ascii="仿宋" w:hAnsi="仿宋" w:eastAsia="仿宋" w:cs="仿宋"/>
          <w:spacing w:val="6"/>
          <w:sz w:val="32"/>
          <w:szCs w:val="32"/>
        </w:rPr>
        <w:t>园管中心、交警支队瑶海大队等)</w:t>
      </w:r>
    </w:p>
    <w:p>
      <w:pPr>
        <w:spacing w:before="12" w:line="219" w:lineRule="auto"/>
        <w:ind w:left="67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四、保障措</w:t>
      </w:r>
      <w:r>
        <w:rPr>
          <w:rFonts w:ascii="宋体" w:hAnsi="宋体" w:eastAsia="宋体" w:cs="宋体"/>
          <w:spacing w:val="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施</w:t>
      </w:r>
    </w:p>
    <w:p>
      <w:pPr>
        <w:spacing w:before="130" w:line="323" w:lineRule="auto"/>
        <w:ind w:right="382"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(一)加强组织领导。区工程建设项目审批制度改革</w:t>
      </w:r>
      <w:r>
        <w:rPr>
          <w:rFonts w:ascii="仿宋" w:hAnsi="仿宋" w:eastAsia="仿宋" w:cs="仿宋"/>
          <w:spacing w:val="7"/>
          <w:sz w:val="32"/>
          <w:szCs w:val="32"/>
        </w:rPr>
        <w:t>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项工作组办公室充分发挥牵头作用，加强工作统筹，强化</w:t>
      </w:r>
      <w:r>
        <w:rPr>
          <w:rFonts w:ascii="仿宋" w:hAnsi="仿宋" w:eastAsia="仿宋" w:cs="仿宋"/>
          <w:spacing w:val="2"/>
          <w:sz w:val="32"/>
          <w:szCs w:val="32"/>
        </w:rPr>
        <w:t>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调</w:t>
      </w:r>
      <w:r>
        <w:rPr>
          <w:rFonts w:ascii="仿宋" w:hAnsi="仿宋" w:eastAsia="仿宋" w:cs="仿宋"/>
          <w:spacing w:val="4"/>
          <w:sz w:val="32"/>
          <w:szCs w:val="32"/>
        </w:rPr>
        <w:t>调</w:t>
      </w:r>
      <w:r>
        <w:rPr>
          <w:rFonts w:ascii="仿宋" w:hAnsi="仿宋" w:eastAsia="仿宋" w:cs="仿宋"/>
          <w:spacing w:val="3"/>
          <w:sz w:val="32"/>
          <w:szCs w:val="32"/>
        </w:rPr>
        <w:t>度，增强改革系统性和协同性。各相关单位加强协作配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合，按照职</w:t>
      </w:r>
      <w:r>
        <w:rPr>
          <w:rFonts w:ascii="仿宋" w:hAnsi="仿宋" w:eastAsia="仿宋" w:cs="仿宋"/>
          <w:spacing w:val="4"/>
          <w:sz w:val="32"/>
          <w:szCs w:val="32"/>
        </w:rPr>
        <w:t>责</w:t>
      </w:r>
      <w:r>
        <w:rPr>
          <w:rFonts w:ascii="仿宋" w:hAnsi="仿宋" w:eastAsia="仿宋" w:cs="仿宋"/>
          <w:spacing w:val="3"/>
          <w:sz w:val="32"/>
          <w:szCs w:val="32"/>
        </w:rPr>
        <w:t>分工和时限要求，压实工作责任，确保按时完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成</w:t>
      </w:r>
      <w:r>
        <w:rPr>
          <w:rFonts w:ascii="仿宋" w:hAnsi="仿宋" w:eastAsia="仿宋" w:cs="仿宋"/>
          <w:spacing w:val="-4"/>
          <w:sz w:val="32"/>
          <w:szCs w:val="32"/>
        </w:rPr>
        <w:t>各项工作任务。</w:t>
      </w:r>
    </w:p>
    <w:p>
      <w:pPr>
        <w:spacing w:before="4" w:line="327" w:lineRule="auto"/>
        <w:ind w:right="290"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(二)明确时间节点。各责任单位应针对各项改革措</w:t>
      </w:r>
      <w:r>
        <w:rPr>
          <w:rFonts w:ascii="仿宋" w:hAnsi="仿宋" w:eastAsia="仿宋" w:cs="仿宋"/>
          <w:spacing w:val="7"/>
          <w:sz w:val="32"/>
          <w:szCs w:val="32"/>
        </w:rPr>
        <w:t>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完</w:t>
      </w:r>
      <w:r>
        <w:rPr>
          <w:rFonts w:ascii="仿宋" w:hAnsi="仿宋" w:eastAsia="仿宋" w:cs="仿宋"/>
          <w:spacing w:val="11"/>
          <w:sz w:val="32"/>
          <w:szCs w:val="32"/>
        </w:rPr>
        <w:t>善</w:t>
      </w:r>
      <w:r>
        <w:rPr>
          <w:rFonts w:ascii="仿宋" w:hAnsi="仿宋" w:eastAsia="仿宋" w:cs="仿宋"/>
          <w:spacing w:val="8"/>
          <w:sz w:val="32"/>
          <w:szCs w:val="32"/>
        </w:rPr>
        <w:t>本部门工作机制，并修订完善审批服务事项办事指南、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申</w:t>
      </w:r>
      <w:r>
        <w:rPr>
          <w:rFonts w:ascii="仿宋" w:hAnsi="仿宋" w:eastAsia="仿宋" w:cs="仿宋"/>
          <w:spacing w:val="9"/>
          <w:sz w:val="32"/>
          <w:szCs w:val="32"/>
        </w:rPr>
        <w:t>报</w:t>
      </w:r>
      <w:r>
        <w:rPr>
          <w:rFonts w:ascii="仿宋" w:hAnsi="仿宋" w:eastAsia="仿宋" w:cs="仿宋"/>
          <w:spacing w:val="8"/>
          <w:sz w:val="32"/>
          <w:szCs w:val="32"/>
        </w:rPr>
        <w:t>材料清单和申报表单。加强对具体经办人员的业务培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训</w:t>
      </w:r>
      <w:r>
        <w:rPr>
          <w:rFonts w:ascii="仿宋" w:hAnsi="仿宋" w:eastAsia="仿宋" w:cs="仿宋"/>
          <w:spacing w:val="4"/>
          <w:sz w:val="32"/>
          <w:szCs w:val="32"/>
        </w:rPr>
        <w:t>，切实把各项措施落实到位，确保2022年8月15 日前，社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会</w:t>
      </w:r>
      <w:r>
        <w:rPr>
          <w:rFonts w:ascii="仿宋" w:hAnsi="仿宋" w:eastAsia="仿宋" w:cs="仿宋"/>
          <w:spacing w:val="10"/>
          <w:sz w:val="32"/>
          <w:szCs w:val="32"/>
        </w:rPr>
        <w:t>投</w:t>
      </w:r>
      <w:r>
        <w:rPr>
          <w:rFonts w:ascii="仿宋" w:hAnsi="仿宋" w:eastAsia="仿宋" w:cs="仿宋"/>
          <w:spacing w:val="9"/>
          <w:sz w:val="32"/>
          <w:szCs w:val="32"/>
        </w:rPr>
        <w:t>资简易低风险工程建设项目全面按照新的流程和要求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办</w:t>
      </w:r>
      <w:r>
        <w:rPr>
          <w:rFonts w:ascii="仿宋" w:hAnsi="仿宋" w:eastAsia="仿宋" w:cs="仿宋"/>
          <w:spacing w:val="-4"/>
          <w:sz w:val="32"/>
          <w:szCs w:val="32"/>
        </w:rPr>
        <w:t>理。</w:t>
      </w:r>
    </w:p>
    <w:p>
      <w:pPr>
        <w:sectPr>
          <w:footerReference r:id="rId11" w:type="default"/>
          <w:pgSz w:w="11900" w:h="16840"/>
          <w:pgMar w:top="1431" w:right="1490" w:bottom="1649" w:left="1579" w:header="0" w:footer="123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313" w:lineRule="auto"/>
        <w:ind w:right="100" w:firstLine="8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仿宋" w:hAnsi="仿宋" w:eastAsia="仿宋" w:cs="仿宋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强</w:t>
      </w: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化督导检查。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 区工程建设项目审批制度改革专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项工作组按照</w:t>
      </w:r>
      <w:r>
        <w:rPr>
          <w:rFonts w:ascii="仿宋" w:hAnsi="仿宋" w:eastAsia="仿宋" w:cs="仿宋"/>
          <w:spacing w:val="-3"/>
          <w:sz w:val="33"/>
          <w:szCs w:val="33"/>
        </w:rPr>
        <w:t>时间节点，对各相关单位工作进度开展督促检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查</w:t>
      </w:r>
      <w:r>
        <w:rPr>
          <w:rFonts w:ascii="仿宋" w:hAnsi="仿宋" w:eastAsia="仿宋" w:cs="仿宋"/>
          <w:spacing w:val="-4"/>
          <w:sz w:val="33"/>
          <w:szCs w:val="33"/>
        </w:rPr>
        <w:t>，定期对工作进展情况进行通报。</w:t>
      </w:r>
    </w:p>
    <w:p>
      <w:pPr>
        <w:spacing w:before="7" w:line="317" w:lineRule="auto"/>
        <w:ind w:right="36" w:firstLine="8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四)增强工作实效。</w:t>
      </w:r>
      <w:r>
        <w:rPr>
          <w:rFonts w:ascii="仿宋" w:hAnsi="仿宋" w:eastAsia="仿宋" w:cs="仿宋"/>
          <w:spacing w:val="-7"/>
          <w:sz w:val="33"/>
          <w:szCs w:val="33"/>
        </w:rPr>
        <w:t xml:space="preserve"> 各单位要对各项改革措施及时进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行总</w:t>
      </w:r>
      <w:r>
        <w:rPr>
          <w:rFonts w:ascii="仿宋" w:hAnsi="仿宋" w:eastAsia="仿宋" w:cs="仿宋"/>
          <w:spacing w:val="-7"/>
          <w:sz w:val="33"/>
          <w:szCs w:val="33"/>
        </w:rPr>
        <w:t>结</w:t>
      </w:r>
      <w:r>
        <w:rPr>
          <w:rFonts w:ascii="仿宋" w:hAnsi="仿宋" w:eastAsia="仿宋" w:cs="仿宋"/>
          <w:spacing w:val="-4"/>
          <w:sz w:val="33"/>
          <w:szCs w:val="33"/>
        </w:rPr>
        <w:t>，注重听取市场主体的意见，持续深化改革措施。要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提</w:t>
      </w:r>
      <w:r>
        <w:rPr>
          <w:rFonts w:ascii="仿宋" w:hAnsi="仿宋" w:eastAsia="仿宋" w:cs="仿宋"/>
          <w:spacing w:val="-4"/>
          <w:sz w:val="33"/>
          <w:szCs w:val="33"/>
        </w:rPr>
        <w:t>高审批效率，推进“工改平台”与投资项目在线审批监管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平台、  “皖事通办”平台的深度打通融合，逐步实现“一</w:t>
      </w:r>
      <w:r>
        <w:rPr>
          <w:rFonts w:ascii="仿宋" w:hAnsi="仿宋" w:eastAsia="仿宋" w:cs="仿宋"/>
          <w:spacing w:val="-11"/>
          <w:sz w:val="33"/>
          <w:szCs w:val="33"/>
        </w:rPr>
        <w:t>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通办、全程网办</w:t>
      </w:r>
      <w:r>
        <w:rPr>
          <w:rFonts w:ascii="仿宋" w:hAnsi="仿宋" w:eastAsia="仿宋" w:cs="仿宋"/>
          <w:spacing w:val="-2"/>
          <w:sz w:val="33"/>
          <w:szCs w:val="33"/>
        </w:rPr>
        <w:t>”,切实提升市场主体感受度、满意度和获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得</w:t>
      </w:r>
      <w:r>
        <w:rPr>
          <w:rFonts w:ascii="仿宋" w:hAnsi="仿宋" w:eastAsia="仿宋" w:cs="仿宋"/>
          <w:spacing w:val="-3"/>
          <w:sz w:val="33"/>
          <w:szCs w:val="33"/>
        </w:rPr>
        <w:t>感。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8" w:line="221" w:lineRule="auto"/>
        <w:ind w:left="6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附</w:t>
      </w:r>
      <w:r>
        <w:rPr>
          <w:rFonts w:ascii="仿宋" w:hAnsi="仿宋" w:eastAsia="仿宋" w:cs="仿宋"/>
          <w:spacing w:val="-12"/>
          <w:sz w:val="33"/>
          <w:szCs w:val="33"/>
        </w:rPr>
        <w:t>件： 社会投资简易低风险工程建设项目清单</w:t>
      </w:r>
    </w:p>
    <w:p>
      <w:pPr>
        <w:sectPr>
          <w:footerReference r:id="rId12" w:type="default"/>
          <w:pgSz w:w="11900" w:h="16840"/>
          <w:pgMar w:top="1431" w:right="1785" w:bottom="1590" w:left="1529" w:header="0" w:footer="1209" w:gutter="0"/>
          <w:cols w:space="720" w:num="1"/>
        </w:sectPr>
      </w:pPr>
    </w:p>
    <w:p>
      <w:pPr>
        <w:spacing w:before="175" w:line="222" w:lineRule="auto"/>
        <w:ind w:left="1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仿宋" w:hAnsi="仿宋" w:eastAsia="仿宋" w:cs="仿宋"/>
          <w:spacing w:val="-2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件：</w:t>
      </w:r>
    </w:p>
    <w:p>
      <w:pPr>
        <w:spacing w:before="53" w:line="186" w:lineRule="auto"/>
        <w:ind w:left="346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color w:val="001D49"/>
          <w:spacing w:val="15"/>
          <w:sz w:val="39"/>
          <w:szCs w:val="39"/>
          <w14:textOutline w14:w="7140" w14:cap="flat" w14:cmpd="sng">
            <w14:solidFill>
              <w14:srgbClr w14:val="001D49"/>
            </w14:solidFill>
            <w14:prstDash w14:val="solid"/>
            <w14:miter w14:val="10"/>
          </w14:textOutline>
        </w:rPr>
        <w:t>社</w:t>
      </w:r>
      <w:r>
        <w:rPr>
          <w:rFonts w:ascii="宋体" w:hAnsi="宋体" w:eastAsia="宋体" w:cs="宋体"/>
          <w:color w:val="001D49"/>
          <w:spacing w:val="10"/>
          <w:sz w:val="39"/>
          <w:szCs w:val="39"/>
          <w14:textOutline w14:w="7140" w14:cap="flat" w14:cmpd="sng">
            <w14:solidFill>
              <w14:srgbClr w14:val="001D49"/>
            </w14:solidFill>
            <w14:prstDash w14:val="solid"/>
            <w14:miter w14:val="10"/>
          </w14:textOutline>
        </w:rPr>
        <w:t>会投资简易低风险工程建设项目清单</w:t>
      </w:r>
    </w:p>
    <w:tbl>
      <w:tblPr>
        <w:tblStyle w:val="4"/>
        <w:tblW w:w="14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887"/>
        <w:gridCol w:w="3827"/>
        <w:gridCol w:w="1899"/>
        <w:gridCol w:w="2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2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002050"/>
                <w:spacing w:val="4"/>
                <w:sz w:val="25"/>
                <w:szCs w:val="25"/>
                <w14:textOutline w14:w="4533" w14:cap="flat" w14:cmpd="sng">
                  <w14:solidFill>
                    <w14:srgbClr w14:val="002050"/>
                  </w14:solidFill>
                  <w14:prstDash w14:val="solid"/>
                  <w14:miter w14:val="10"/>
                </w14:textOutline>
              </w:rPr>
              <w:t>建筑物性质</w:t>
            </w:r>
          </w:p>
        </w:tc>
        <w:tc>
          <w:tcPr>
            <w:tcW w:w="3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00274F"/>
                <w:spacing w:val="-33"/>
                <w:sz w:val="25"/>
                <w:szCs w:val="25"/>
                <w14:textOutline w14:w="4533" w14:cap="flat" w14:cmpd="sng">
                  <w14:solidFill>
                    <w14:srgbClr w14:val="00274F"/>
                  </w14:solidFill>
                  <w14:prstDash w14:val="solid"/>
                  <w14:miter w14:val="10"/>
                </w14:textOutline>
              </w:rPr>
              <w:t>用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  <w14:textOutline w14:w="4533" w14:cap="flat" w14:cmpd="sng">
                  <w14:solidFill>
                    <w14:srgbClr w14:val="00274F"/>
                  </w14:solidFill>
                  <w14:prstDash w14:val="solid"/>
                  <w14:miter w14:val="10"/>
                </w14:textOutline>
              </w:rPr>
              <w:t>途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  <w14:textOutline w14:w="4533" w14:cap="flat" w14:cmpd="sng">
                  <w14:solidFill>
                    <w14:srgbClr w14:val="00274F"/>
                  </w14:solidFill>
                  <w14:prstDash w14:val="solid"/>
                  <w14:miter w14:val="10"/>
                </w14:textOutline>
              </w:rPr>
              <w:t>限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  <w14:textOutline w14:w="4533" w14:cap="flat" w14:cmpd="sng">
                  <w14:solidFill>
                    <w14:srgbClr w14:val="00274F"/>
                  </w14:solidFill>
                  <w14:prstDash w14:val="solid"/>
                  <w14:miter w14:val="10"/>
                </w14:textOutline>
              </w:rPr>
              <w:t>定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  <w14:textOutline w14:w="4533" w14:cap="flat" w14:cmpd="sng">
                  <w14:solidFill>
                    <w14:srgbClr w14:val="00274F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00274F"/>
                <w:spacing w:val="-26"/>
                <w:sz w:val="25"/>
                <w:szCs w:val="25"/>
                <w14:textOutline w14:w="4533" w14:cap="flat" w14:cmpd="sng">
                  <w14:solidFill>
                    <w14:srgbClr w14:val="00274F"/>
                  </w14:solidFill>
                  <w14:prstDash w14:val="solid"/>
                  <w14:miter w14:val="10"/>
                </w14:textOutline>
              </w:rPr>
              <w:t>件</w:t>
            </w:r>
          </w:p>
        </w:tc>
        <w:tc>
          <w:tcPr>
            <w:tcW w:w="3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1" w:lineRule="auto"/>
              <w:ind w:left="10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00316A"/>
                <w:spacing w:val="8"/>
                <w:sz w:val="25"/>
                <w:szCs w:val="25"/>
                <w14:textOutline w14:w="4533" w14:cap="flat" w14:cmpd="sng">
                  <w14:solidFill>
                    <w14:srgbClr w14:val="00316A"/>
                  </w14:solidFill>
                  <w14:prstDash w14:val="solid"/>
                  <w14:miter w14:val="10"/>
                </w14:textOutline>
              </w:rPr>
              <w:t>位</w:t>
            </w:r>
            <w:r>
              <w:rPr>
                <w:rFonts w:ascii="宋体" w:hAnsi="宋体" w:eastAsia="宋体" w:cs="宋体"/>
                <w:color w:val="00316A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00316A"/>
                <w:spacing w:val="8"/>
                <w:sz w:val="25"/>
                <w:szCs w:val="25"/>
                <w14:textOutline w14:w="4533" w14:cap="flat" w14:cmpd="sng">
                  <w14:solidFill>
                    <w14:srgbClr w14:val="00316A"/>
                  </w14:solidFill>
                  <w14:prstDash w14:val="solid"/>
                  <w14:miter w14:val="10"/>
                </w14:textOutline>
              </w:rPr>
              <w:t>置</w:t>
            </w: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left="5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00244E"/>
                <w:spacing w:val="-3"/>
                <w:sz w:val="25"/>
                <w:szCs w:val="25"/>
                <w14:textOutline w14:w="4533" w14:cap="flat" w14:cmpd="sng">
                  <w14:solidFill>
                    <w14:srgbClr w14:val="00244E"/>
                  </w14:solidFill>
                  <w14:prstDash w14:val="solid"/>
                  <w14:miter w14:val="10"/>
                </w14:textOutline>
              </w:rPr>
              <w:t>结构层次</w:t>
            </w:r>
          </w:p>
          <w:p>
            <w:pPr>
              <w:spacing w:before="244" w:line="221" w:lineRule="auto"/>
              <w:ind w:left="5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002358"/>
                <w:spacing w:val="-4"/>
                <w:sz w:val="25"/>
                <w:szCs w:val="25"/>
                <w14:textOutline w14:w="4533" w14:cap="flat" w14:cmpd="sng">
                  <w14:solidFill>
                    <w14:srgbClr w14:val="002358"/>
                  </w14:solidFill>
                  <w14:prstDash w14:val="solid"/>
                  <w14:miter w14:val="10"/>
                </w14:textOutline>
              </w:rPr>
              <w:t>要</w:t>
            </w:r>
            <w:r>
              <w:rPr>
                <w:rFonts w:ascii="宋体" w:hAnsi="宋体" w:eastAsia="宋体" w:cs="宋体"/>
                <w:color w:val="002358"/>
                <w:spacing w:val="-2"/>
                <w:sz w:val="25"/>
                <w:szCs w:val="25"/>
                <w14:textOutline w14:w="4533" w14:cap="flat" w14:cmpd="sng">
                  <w14:solidFill>
                    <w14:srgbClr w14:val="002358"/>
                  </w14:solidFill>
                  <w14:prstDash w14:val="solid"/>
                  <w14:miter w14:val="10"/>
                </w14:textOutline>
              </w:rPr>
              <w:t>求</w:t>
            </w:r>
          </w:p>
        </w:tc>
        <w:tc>
          <w:tcPr>
            <w:tcW w:w="28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001043"/>
                <w:spacing w:val="3"/>
                <w:sz w:val="25"/>
                <w:szCs w:val="25"/>
                <w14:textOutline w14:w="4533" w14:cap="flat" w14:cmpd="sng">
                  <w14:solidFill>
                    <w14:srgbClr w14:val="001043"/>
                  </w14:solidFill>
                  <w14:prstDash w14:val="solid"/>
                  <w14:miter w14:val="10"/>
                </w14:textOutline>
              </w:rPr>
              <w:t>建</w:t>
            </w:r>
            <w:r>
              <w:rPr>
                <w:rFonts w:ascii="宋体" w:hAnsi="宋体" w:eastAsia="宋体" w:cs="宋体"/>
                <w:color w:val="001043"/>
                <w:spacing w:val="2"/>
                <w:sz w:val="25"/>
                <w:szCs w:val="25"/>
                <w14:textOutline w14:w="4533" w14:cap="flat" w14:cmpd="sng">
                  <w14:solidFill>
                    <w14:srgbClr w14:val="001043"/>
                  </w14:solidFill>
                  <w14:prstDash w14:val="solid"/>
                  <w14:miter w14:val="10"/>
                </w14:textOutline>
              </w:rPr>
              <w:t>筑面积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10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仓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储</w:t>
            </w:r>
          </w:p>
        </w:tc>
        <w:tc>
          <w:tcPr>
            <w:tcW w:w="3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415" w:lineRule="auto"/>
              <w:ind w:left="111" w:right="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不存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放易燃、易爆、有毒、有害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物品或危险品;利用绿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地用地、广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场用地、城市道路用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地、社会停车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场用地和其他城市交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通用地等开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发地下空间</w:t>
            </w:r>
            <w:r>
              <w:rPr>
                <w:rFonts w:ascii="宋体" w:hAnsi="宋体" w:eastAsia="宋体" w:cs="宋体"/>
                <w:sz w:val="25"/>
                <w:szCs w:val="25"/>
              </w:rPr>
              <w:t>的建设项目除外。</w:t>
            </w:r>
          </w:p>
        </w:tc>
        <w:tc>
          <w:tcPr>
            <w:tcW w:w="3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3" w:line="410" w:lineRule="auto"/>
              <w:ind w:left="114" w:right="82" w:firstLine="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>位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于规划城乡建设用地及工业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园区内，市政管网配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套健全，管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线接入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不需要破坏城市主、次干 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道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车行道或快速路;未位于文物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保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护范围、建控地带、地下文物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埋藏区、《建设项目环境影响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评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价分类管理名录》确定的环境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敏 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>感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区;未位于用途变更为公共服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用地的污染地块区域;且未位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于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机要单位和名木古树30米范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围</w:t>
            </w: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 xml:space="preserve"> 内 。</w:t>
            </w:r>
          </w:p>
        </w:tc>
        <w:tc>
          <w:tcPr>
            <w:tcW w:w="1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2" w:line="414" w:lineRule="auto"/>
              <w:ind w:left="127" w:righ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浇混凝土结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构或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砌体结构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、钢结构的单层 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>或多层建筑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。</w:t>
            </w:r>
          </w:p>
        </w:tc>
        <w:tc>
          <w:tcPr>
            <w:tcW w:w="28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423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筑物高度不超过24米，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地下室，总建筑面积不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超1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000平方米，功能单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，技术要求简单。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标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准厂房</w:t>
            </w:r>
          </w:p>
        </w:tc>
        <w:tc>
          <w:tcPr>
            <w:tcW w:w="38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1" w:line="405" w:lineRule="auto"/>
              <w:ind w:left="111" w:righ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不生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产易燃、易爆、有毒、有害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物品或危险品;利用绿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地用地、广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场用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地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、城市道路用地、社会停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车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场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用地和其他城市交通用地等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开发地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下空间的建设项目除外。</w:t>
            </w:r>
          </w:p>
        </w:tc>
        <w:tc>
          <w:tcPr>
            <w:tcW w:w="3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00"/>
          <w:pgMar w:top="1011" w:right="1354" w:bottom="1740" w:left="1185" w:header="0" w:footer="1359" w:gutter="0"/>
          <w:cols w:space="720" w:num="1"/>
        </w:sectPr>
      </w:pPr>
    </w:p>
    <w:p>
      <w:pPr>
        <w:spacing w:before="41" w:line="219" w:lineRule="auto"/>
        <w:ind w:left="3050"/>
        <w:rPr>
          <w:rFonts w:ascii="宋体" w:hAnsi="宋体" w:eastAsia="宋体" w:cs="宋体"/>
          <w:sz w:val="21"/>
          <w:szCs w:val="21"/>
        </w:rPr>
      </w:pPr>
      <w:r>
        <w:pict>
          <v:rect id="_x0000_s1026" o:spid="_x0000_s1026" o:spt="1" style="position:absolute;left:0pt;margin-left:303pt;margin-top:461.5pt;height:162.5pt;width:0.55pt;mso-position-horizontal-relative:page;mso-position-vertical-relative:page;z-index:2516725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303pt;margin-top:125.95pt;height:106pt;width:0.55pt;mso-position-horizontal-relative:page;mso-position-vertical-relative:page;z-index:251673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8" o:spid="_x0000_s1028" o:spt="202" type="#_x0000_t202" style="position:absolute;left:0pt;margin-left:350pt;margin-top:81.95pt;height:33.55pt;width:186.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679" w:type="dxa"/>
                    <w:tblInd w:w="25" w:type="dxa"/>
                    <w:tblBorders>
                      <w:top w:val="single" w:color="000000" w:sz="2" w:space="0"/>
                      <w:left w:val="single" w:color="000000" w:sz="4" w:space="0"/>
                      <w:bottom w:val="single" w:color="000000" w:sz="2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79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4" w:space="0"/>
                        <w:bottom w:val="single" w:color="000000" w:sz="2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0" w:hRule="atLeast"/>
                    </w:trPr>
                    <w:tc>
                      <w:tcPr>
                        <w:tcW w:w="3679" w:type="dxa"/>
                        <w:vAlign w:val="top"/>
                      </w:tcPr>
                      <w:p>
                        <w:pPr>
                          <w:spacing w:before="158" w:line="213" w:lineRule="auto"/>
                          <w:ind w:left="1422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5"/>
                            <w:sz w:val="15"/>
                            <w:szCs w:val="15"/>
                            <w14:textOutline w14:w="271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  <w:r>
                          <w:rPr>
                            <w:rFonts w:ascii="黑体" w:hAnsi="黑体" w:eastAsia="黑体" w:cs="黑体"/>
                            <w:spacing w:val="-4"/>
                            <w:sz w:val="15"/>
                            <w:szCs w:val="15"/>
                            <w14:textOutline w14:w="271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设管理审批</w:t>
                        </w:r>
                      </w:p>
                      <w:p>
                        <w:pPr>
                          <w:spacing w:line="212" w:lineRule="auto"/>
                          <w:ind w:left="461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w w:val="85"/>
                            <w:sz w:val="15"/>
                            <w:szCs w:val="15"/>
                            <w14:textOutline w14:w="271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(可与主流程同步进行的审批环节，不影响审批总时限)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50pt;margin-top:124.95pt;height:25.05pt;width:187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694" w:type="dxa"/>
                    <w:tblInd w:w="25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95"/>
                    <w:gridCol w:w="1805"/>
                    <w:gridCol w:w="694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195" w:type="dxa"/>
                        <w:tcBorders>
                          <w:left w:val="single" w:color="000000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spacing w:before="79" w:line="242" w:lineRule="auto"/>
                          <w:ind w:left="529" w:right="108" w:hanging="41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3"/>
                            <w:w w:val="89"/>
                            <w:sz w:val="15"/>
                            <w:szCs w:val="15"/>
                          </w:rPr>
                          <w:t>市自然资源和规划</w:t>
                        </w:r>
                        <w:r>
                          <w:rPr>
                            <w:rFonts w:ascii="黑体" w:hAnsi="黑体" w:eastAsia="黑体" w:cs="黑体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  <w:t>局</w:t>
                        </w:r>
                      </w:p>
                    </w:tc>
                    <w:tc>
                      <w:tcPr>
                        <w:tcW w:w="1805" w:type="dxa"/>
                        <w:tcBorders>
                          <w:left w:val="nil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148" w:line="222" w:lineRule="auto"/>
                          <w:ind w:left="101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3"/>
                            <w:w w:val="90"/>
                            <w:sz w:val="15"/>
                            <w:szCs w:val="15"/>
                            <w14:textOutline w14:w="271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国有建设用地使用权首次登记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color="000000" w:sz="4" w:space="0"/>
                          <w:right w:val="nil"/>
                        </w:tcBorders>
                        <w:vAlign w:val="top"/>
                      </w:tcPr>
                      <w:p>
                        <w:pPr>
                          <w:spacing w:before="148" w:line="222" w:lineRule="auto"/>
                          <w:ind w:left="72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2"/>
                            <w:sz w:val="15"/>
                            <w:szCs w:val="15"/>
                            <w14:textOutline w14:w="271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1</w:t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sz w:val="15"/>
                            <w:szCs w:val="15"/>
                            <w14:textOutline w14:w="271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个</w:t>
                        </w:r>
                        <w:r>
                          <w:rPr>
                            <w:rFonts w:ascii="黑体" w:hAnsi="黑体" w:eastAsia="黑体" w:cs="黑体"/>
                            <w:spacing w:val="-21"/>
                            <w:sz w:val="15"/>
                            <w:szCs w:val="15"/>
                            <w14:textOutline w14:w="2717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53.1pt;margin-top:153.6pt;height:11.05pt;width:178.8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黑体" w:hAnsi="黑体" w:eastAsia="黑体" w:cs="黑体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黑体"/>
                      <w:spacing w:val="-13"/>
                      <w:w w:val="89"/>
                      <w:sz w:val="15"/>
                      <w:szCs w:val="15"/>
                      <w14:textOutline w14:w="271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注：《国有建设用地使用权首次登记》手续在施工许可前完成即可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51.25pt;margin-top:294.25pt;height:72pt;width:184.0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2"/>
                    <w:gridCol w:w="1895"/>
                    <w:gridCol w:w="65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9" w:hRule="atLeast"/>
                    </w:trPr>
                    <w:tc>
                      <w:tcPr>
                        <w:tcW w:w="108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3" w:line="193" w:lineRule="auto"/>
                          <w:ind w:left="276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2"/>
                            <w:szCs w:val="12"/>
                            <w14:textOutline w14:w="227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27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设单位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3" w:line="207" w:lineRule="auto"/>
                          <w:ind w:left="68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办理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事项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3" w:line="193" w:lineRule="auto"/>
                          <w:ind w:left="79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28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办理时间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08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89" w:line="220" w:lineRule="auto"/>
                          <w:ind w:left="27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设单位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88" w:line="218" w:lineRule="auto"/>
                          <w:ind w:left="3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委托和编制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岩土工程和勤察报告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89" w:line="220" w:lineRule="auto"/>
                          <w:ind w:left="7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合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同约定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3" w:hRule="atLeast"/>
                    </w:trPr>
                    <w:tc>
                      <w:tcPr>
                        <w:tcW w:w="108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60" w:line="220" w:lineRule="auto"/>
                          <w:ind w:left="27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设单位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60" w:line="219" w:lineRule="auto"/>
                          <w:ind w:left="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委托设计单位编制施工图设计文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件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60" w:line="220" w:lineRule="auto"/>
                          <w:ind w:left="7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合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同约定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atLeast"/>
                    </w:trPr>
                    <w:tc>
                      <w:tcPr>
                        <w:tcW w:w="108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72" w:line="220" w:lineRule="auto"/>
                          <w:ind w:left="27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设单位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22" w:line="212" w:lineRule="auto"/>
                          <w:ind w:left="55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委托监理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单位</w:t>
                        </w:r>
                      </w:p>
                      <w:p>
                        <w:pPr>
                          <w:spacing w:line="218" w:lineRule="auto"/>
                          <w:ind w:left="22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(聘请经认可的监理机构)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74" w:line="219" w:lineRule="auto"/>
                          <w:ind w:left="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个工作日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51.25pt;margin-top:371.25pt;height:73.05pt;width:184.0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92"/>
                    <w:gridCol w:w="1885"/>
                    <w:gridCol w:w="65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9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63" w:line="220" w:lineRule="auto"/>
                          <w:ind w:left="27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审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核单位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63" w:line="220" w:lineRule="auto"/>
                          <w:ind w:left="6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审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核事项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63" w:line="219" w:lineRule="auto"/>
                          <w:ind w:left="9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办结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9" w:line="193" w:lineRule="auto"/>
                          <w:ind w:left="276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2"/>
                            <w:szCs w:val="12"/>
                            <w14:textOutline w14:w="228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城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28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管部门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4" w:line="185" w:lineRule="auto"/>
                          <w:ind w:left="31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城市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建筑垃报处_核准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" w:line="190" w:lineRule="auto"/>
                          <w:ind w:left="28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2"/>
                            <w:szCs w:val="12"/>
                          </w:rPr>
                          <w:t>个工作旦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9" w:line="192" w:lineRule="auto"/>
                          <w:ind w:left="216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12"/>
                            <w:szCs w:val="12"/>
                            <w14:textOutline w14:w="226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公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12"/>
                            <w:szCs w:val="12"/>
                            <w14:textOutline w14:w="226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安交部门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line="206" w:lineRule="auto"/>
                          <w:ind w:left="544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36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占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2"/>
                            <w:szCs w:val="12"/>
                            <w14:textOutline w14:w="236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道施工审批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9" w:line="192" w:lineRule="auto"/>
                          <w:ind w:left="29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2"/>
                            <w:szCs w:val="12"/>
                            <w14:textOutline w14:w="226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2"/>
                            <w:szCs w:val="12"/>
                            <w14:textOutline w14:w="2268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个工作且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90" w:line="219" w:lineRule="auto"/>
                          <w:ind w:left="21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区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园管中心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0" w:line="218" w:lineRule="auto"/>
                          <w:ind w:left="453" w:hanging="429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4"/>
                            <w:sz w:val="12"/>
                            <w:szCs w:val="12"/>
                            <w14:textOutline w14:w="236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市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12"/>
                            <w:szCs w:val="12"/>
                            <w14:textOutline w14:w="236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政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2"/>
                            <w:szCs w:val="12"/>
                            <w14:textOutline w14:w="236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设施意设类审批(挖提城市道路等</w:t>
                        </w:r>
                        <w:r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2"/>
                            <w:szCs w:val="12"/>
                            <w14:textOutline w14:w="236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2"/>
                            <w:szCs w:val="12"/>
                            <w14:textOutline w14:w="236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施市攻管线章批)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90" w:line="219" w:lineRule="auto"/>
                          <w:ind w:left="2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2个工作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" w:line="188" w:lineRule="auto"/>
                          <w:ind w:left="276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2"/>
                            <w:szCs w:val="12"/>
                            <w14:textOutline w14:w="222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燃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223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气单位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" w:line="188" w:lineRule="auto"/>
                          <w:ind w:left="54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用户用气报装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3" w:line="186" w:lineRule="auto"/>
                          <w:ind w:left="28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2"/>
                            <w:szCs w:val="12"/>
                          </w:rPr>
                          <w:t>个工作旦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2" w:line="188" w:lineRule="auto"/>
                          <w:ind w:left="276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221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热电单位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" w:line="189" w:lineRule="auto"/>
                          <w:ind w:left="54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用户用能报装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4" w:line="186" w:lineRule="auto"/>
                          <w:ind w:left="28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12"/>
                            <w:szCs w:val="12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4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1" w:line="188" w:lineRule="auto"/>
                          <w:ind w:left="27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供水单位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2" w:line="187" w:lineRule="auto"/>
                          <w:ind w:left="48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用户接用水报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4" w:line="184" w:lineRule="auto"/>
                          <w:ind w:left="28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12"/>
                            <w:szCs w:val="12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3" w:line="195" w:lineRule="auto"/>
                          <w:ind w:left="276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12"/>
                            <w:szCs w:val="12"/>
                            <w14:textOutline w14:w="231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供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310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电单位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2" w:line="195" w:lineRule="auto"/>
                          <w:ind w:left="67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供电报装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5" w:line="192" w:lineRule="auto"/>
                          <w:ind w:left="28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2"/>
                            <w:szCs w:val="12"/>
                          </w:rPr>
                          <w:t>个工作且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51.25pt;margin-top:473.7pt;height:46.55pt;width:184.0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92"/>
                    <w:gridCol w:w="1885"/>
                    <w:gridCol w:w="65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159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3" w:line="193" w:lineRule="auto"/>
                          <w:ind w:left="276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28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办理单位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3" w:line="207" w:lineRule="auto"/>
                          <w:ind w:left="69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办理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事项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3" w:line="193" w:lineRule="auto"/>
                          <w:ind w:left="99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2"/>
                            <w:szCs w:val="12"/>
                            <w14:textOutline w14:w="228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办结时间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69" w:line="220" w:lineRule="auto"/>
                          <w:ind w:left="27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设单位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69" w:line="219" w:lineRule="auto"/>
                          <w:ind w:left="14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建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设工程竣工(“四方验收)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71" w:line="219" w:lineRule="auto"/>
                          <w:ind w:left="2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8" w:hRule="atLeast"/>
                    </w:trPr>
                    <w:tc>
                      <w:tcPr>
                        <w:tcW w:w="109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51" w:line="219" w:lineRule="auto"/>
                          <w:ind w:left="216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区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  <w14:textOutline w14:w="2362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园管中心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01" w:line="259" w:lineRule="auto"/>
                          <w:ind w:left="893" w:hanging="839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0"/>
                            <w:sz w:val="12"/>
                            <w:szCs w:val="12"/>
                            <w14:textOutline w14:w="235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城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2"/>
                            <w:szCs w:val="12"/>
                            <w14:textOutline w14:w="235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镇排水与污水处理设施坡工验收各</w:t>
                        </w:r>
                        <w:r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2"/>
                            <w:szCs w:val="12"/>
                            <w14:textOutline w14:w="2359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采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53" w:line="219" w:lineRule="auto"/>
                          <w:ind w:left="28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3"/>
                            <w:szCs w:val="13"/>
                          </w:rPr>
                          <w:t>个工作日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4"/>
          <w:sz w:val="21"/>
          <w:szCs w:val="21"/>
        </w:rPr>
        <w:t>瑶海区社会投资简易低风险项目办理流程图(2022年版</w:t>
      </w:r>
      <w:r>
        <w:rPr>
          <w:rFonts w:ascii="宋体" w:hAnsi="宋体" w:eastAsia="宋体" w:cs="宋体"/>
          <w:spacing w:val="11"/>
          <w:sz w:val="21"/>
          <w:szCs w:val="21"/>
        </w:rPr>
        <w:t>)</w:t>
      </w:r>
    </w:p>
    <w:p>
      <w:pPr>
        <w:spacing w:line="103" w:lineRule="exact"/>
      </w:pPr>
    </w:p>
    <w:tbl>
      <w:tblPr>
        <w:tblStyle w:val="4"/>
        <w:tblW w:w="4609" w:type="dxa"/>
        <w:tblInd w:w="45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</w:tblGrid>
      <w:tr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609" w:type="dxa"/>
            <w:vAlign w:val="top"/>
          </w:tcPr>
          <w:p>
            <w:pPr>
              <w:spacing w:before="247" w:line="221" w:lineRule="auto"/>
              <w:ind w:left="150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3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建设管理审批(主流程</w:t>
            </w:r>
            <w:r>
              <w:rPr>
                <w:rFonts w:ascii="黑体" w:hAnsi="黑体" w:eastAsia="黑体" w:cs="黑体"/>
                <w:spacing w:val="1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</w:p>
        </w:tc>
      </w:tr>
    </w:tbl>
    <w:p>
      <w:pPr>
        <w:spacing w:line="219" w:lineRule="exact"/>
      </w:pPr>
    </w:p>
    <w:tbl>
      <w:tblPr>
        <w:tblStyle w:val="4"/>
        <w:tblW w:w="461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513"/>
        <w:gridCol w:w="253"/>
        <w:gridCol w:w="246"/>
        <w:gridCol w:w="659"/>
        <w:gridCol w:w="20"/>
        <w:gridCol w:w="1289"/>
        <w:gridCol w:w="599"/>
        <w:gridCol w:w="499"/>
        <w:gridCol w:w="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01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44" w:right="53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2"/>
                <w:sz w:val="14"/>
                <w:szCs w:val="14"/>
              </w:rPr>
              <w:t>立</w:t>
            </w:r>
            <w:r>
              <w:rPr>
                <w:rFonts w:ascii="黑体" w:hAnsi="黑体" w:eastAsia="黑体" w:cs="黑体"/>
                <w:spacing w:val="-10"/>
                <w:sz w:val="14"/>
                <w:szCs w:val="14"/>
              </w:rPr>
              <w:t>项用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4"/>
                <w:szCs w:val="1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14"/>
                <w:szCs w:val="14"/>
              </w:rPr>
              <w:t>规划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4"/>
                <w:szCs w:val="14"/>
              </w:rPr>
              <w:t>许</w:t>
            </w:r>
            <w:r>
              <w:rPr>
                <w:rFonts w:ascii="黑体" w:hAnsi="黑体" w:eastAsia="黑体" w:cs="黑体"/>
                <w:spacing w:val="-10"/>
                <w:sz w:val="14"/>
                <w:szCs w:val="14"/>
              </w:rPr>
              <w:t>可阶</w:t>
            </w:r>
          </w:p>
          <w:p>
            <w:pPr>
              <w:spacing w:line="234" w:lineRule="auto"/>
              <w:ind w:left="204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4"/>
                <w:sz w:val="14"/>
                <w:szCs w:val="14"/>
              </w:rPr>
              <w:t>段</w:t>
            </w:r>
          </w:p>
        </w:tc>
        <w:tc>
          <w:tcPr>
            <w:tcW w:w="513" w:type="dxa"/>
            <w:vMerge w:val="restart"/>
            <w:tcBorders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>
              <w:pict>
                <v:shape id="_x0000_s1034" o:spid="_x0000_s1034" o:spt="202" type="#_x0000_t202" style="position:absolute;left:0pt;margin-left:7.85pt;margin-top:42.45pt;height:14.15pt;width:11.5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9" w:lineRule="exact"/>
                          <w:ind w:left="2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4"/>
                            <w:position w:val="1"/>
                            <w:sz w:val="13"/>
                            <w:szCs w:val="13"/>
                          </w:rPr>
                          <w:t>限</w:t>
                        </w:r>
                        <w:r>
                          <w:rPr>
                            <w:rFonts w:ascii="宋体" w:hAnsi="宋体" w:eastAsia="宋体" w:cs="宋体"/>
                            <w:spacing w:val="23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4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9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阶</w:t>
            </w:r>
            <w:r>
              <w:rPr>
                <w:rFonts w:ascii="黑体" w:hAnsi="黑体" w:eastAsia="黑体" w:cs="黑体"/>
                <w:spacing w:val="-17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段时</w:t>
            </w:r>
          </w:p>
          <w:p>
            <w:pPr>
              <w:spacing w:before="260" w:line="200" w:lineRule="auto"/>
              <w:ind w:left="213" w:right="87" w:hanging="16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6"/>
                <w:sz w:val="15"/>
                <w:szCs w:val="15"/>
              </w:rPr>
              <w:t>个</w:t>
            </w:r>
            <w:r>
              <w:rPr>
                <w:rFonts w:ascii="黑体" w:hAnsi="黑体" w:eastAsia="黑体" w:cs="黑体"/>
                <w:spacing w:val="-24"/>
                <w:sz w:val="15"/>
                <w:szCs w:val="15"/>
              </w:rPr>
              <w:t>工作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日</w:t>
            </w:r>
          </w:p>
        </w:tc>
        <w:tc>
          <w:tcPr>
            <w:tcW w:w="3600" w:type="dxa"/>
            <w:gridSpan w:val="8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57" w:line="221" w:lineRule="auto"/>
              <w:ind w:left="103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2"/>
                <w:w w:val="81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幸头部门：自然资源和规划部门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222" w:lineRule="auto"/>
              <w:ind w:left="76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5"/>
                <w:sz w:val="15"/>
                <w:szCs w:val="15"/>
              </w:rPr>
              <w:t>审</w:t>
            </w:r>
            <w:r>
              <w:rPr>
                <w:rFonts w:ascii="黑体" w:hAnsi="黑体" w:eastAsia="黑体" w:cs="黑体"/>
                <w:spacing w:val="-23"/>
                <w:sz w:val="15"/>
                <w:szCs w:val="15"/>
              </w:rPr>
              <w:t>核单位</w:t>
            </w:r>
          </w:p>
        </w:tc>
        <w:tc>
          <w:tcPr>
            <w:tcW w:w="13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8" w:line="222" w:lineRule="auto"/>
              <w:ind w:left="41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2"/>
                <w:sz w:val="15"/>
                <w:szCs w:val="15"/>
              </w:rPr>
              <w:t>审</w:t>
            </w:r>
            <w:r>
              <w:rPr>
                <w:rFonts w:ascii="黑体" w:hAnsi="黑体" w:eastAsia="黑体" w:cs="黑体"/>
                <w:spacing w:val="-21"/>
                <w:sz w:val="15"/>
                <w:szCs w:val="15"/>
              </w:rPr>
              <w:t>核事项</w:t>
            </w:r>
          </w:p>
        </w:tc>
        <w:tc>
          <w:tcPr>
            <w:tcW w:w="5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7" w:line="221" w:lineRule="auto"/>
              <w:ind w:left="1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0"/>
                <w:sz w:val="15"/>
                <w:szCs w:val="15"/>
              </w:rPr>
              <w:t>办结时限</w:t>
            </w:r>
          </w:p>
        </w:tc>
        <w:tc>
          <w:tcPr>
            <w:tcW w:w="534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14" w:line="221" w:lineRule="auto"/>
              <w:ind w:left="76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5"/>
                <w:sz w:val="15"/>
                <w:szCs w:val="15"/>
              </w:rPr>
              <w:t>区</w:t>
            </w:r>
            <w:r>
              <w:rPr>
                <w:rFonts w:ascii="黑体" w:hAnsi="黑体" w:eastAsia="黑体" w:cs="黑体"/>
                <w:spacing w:val="-23"/>
                <w:sz w:val="15"/>
                <w:szCs w:val="15"/>
              </w:rPr>
              <w:t>发改委</w:t>
            </w:r>
          </w:p>
        </w:tc>
        <w:tc>
          <w:tcPr>
            <w:tcW w:w="1309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15" w:line="222" w:lineRule="auto"/>
              <w:ind w:left="177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9"/>
                <w:sz w:val="15"/>
                <w:szCs w:val="15"/>
              </w:rPr>
              <w:t>企</w:t>
            </w:r>
            <w:r>
              <w:rPr>
                <w:rFonts w:ascii="黑体" w:hAnsi="黑体" w:eastAsia="黑体" w:cs="黑体"/>
                <w:spacing w:val="-24"/>
                <w:sz w:val="15"/>
                <w:szCs w:val="15"/>
              </w:rPr>
              <w:t>业投资项目备案</w:t>
            </w:r>
          </w:p>
        </w:tc>
        <w:tc>
          <w:tcPr>
            <w:tcW w:w="599" w:type="dxa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136" w:line="204" w:lineRule="auto"/>
              <w:ind w:left="224" w:hanging="206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6"/>
                <w:w w:val="84"/>
                <w:sz w:val="16"/>
                <w:szCs w:val="16"/>
              </w:rPr>
              <w:t>0.5个工作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z w:val="14"/>
                <w:szCs w:val="14"/>
              </w:rPr>
              <w:t>日</w:t>
            </w:r>
          </w:p>
        </w:tc>
        <w:tc>
          <w:tcPr>
            <w:tcW w:w="534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1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single" w:color="000000" w:sz="4" w:space="0"/>
              <w:right w:val="nil"/>
            </w:tcBorders>
            <w:vAlign w:val="top"/>
          </w:tcPr>
          <w:p>
            <w:pPr>
              <w:spacing w:before="166" w:line="192" w:lineRule="auto"/>
              <w:ind w:left="4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8"/>
                <w:sz w:val="13"/>
                <w:szCs w:val="13"/>
              </w:rPr>
              <w:t>市</w:t>
            </w:r>
            <w:r>
              <w:rPr>
                <w:rFonts w:ascii="黑体" w:hAnsi="黑体" w:eastAsia="黑体" w:cs="黑体"/>
                <w:spacing w:val="-18"/>
                <w:sz w:val="13"/>
                <w:szCs w:val="13"/>
              </w:rPr>
              <w:t xml:space="preserve">自然资源 </w:t>
            </w:r>
            <w:r>
              <w:rPr>
                <w:rFonts w:ascii="黑体" w:hAnsi="黑体" w:eastAsia="黑体" w:cs="黑体"/>
                <w:spacing w:val="-18"/>
                <w:sz w:val="16"/>
                <w:szCs w:val="16"/>
              </w:rPr>
              <w:t>建设用地规划许可证核1.5个工作</w:t>
            </w:r>
          </w:p>
          <w:p>
            <w:pPr>
              <w:spacing w:line="228" w:lineRule="auto"/>
              <w:ind w:left="575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 xml:space="preserve">和规划局         </w:t>
            </w:r>
            <w:r>
              <w:rPr>
                <w:rFonts w:ascii="黑体" w:hAnsi="黑体" w:eastAsia="黑体" w:cs="黑体"/>
                <w:spacing w:val="3"/>
                <w:position w:val="3"/>
                <w:sz w:val="7"/>
                <w:szCs w:val="7"/>
              </w:rPr>
              <w:t xml:space="preserve">发                        </w:t>
            </w:r>
            <w:r>
              <w:rPr>
                <w:rFonts w:ascii="黑体" w:hAnsi="黑体" w:eastAsia="黑体" w:cs="黑体"/>
                <w:position w:val="1"/>
                <w:sz w:val="9"/>
                <w:szCs w:val="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192" w:type="dxa"/>
            <w:gridSpan w:val="6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14" w:type="dxa"/>
            <w:gridSpan w:val="2"/>
            <w:vMerge w:val="restart"/>
            <w:tcBorders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spacing w:before="286" w:line="209" w:lineRule="auto"/>
              <w:ind w:left="3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3"/>
                <w:sz w:val="15"/>
                <w:szCs w:val="15"/>
              </w:rPr>
              <w:t>工</w:t>
            </w:r>
            <w:r>
              <w:rPr>
                <w:rFonts w:ascii="黑体" w:hAnsi="黑体" w:eastAsia="黑体" w:cs="黑体"/>
                <w:spacing w:val="-11"/>
                <w:sz w:val="15"/>
                <w:szCs w:val="15"/>
              </w:rPr>
              <w:t>程建 阶段时</w:t>
            </w:r>
          </w:p>
          <w:p>
            <w:pPr>
              <w:spacing w:before="1" w:line="190" w:lineRule="auto"/>
              <w:ind w:left="139" w:right="14" w:hanging="10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3"/>
                <w:sz w:val="15"/>
                <w:szCs w:val="15"/>
              </w:rPr>
              <w:t>设许可限3个工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5"/>
                <w:szCs w:val="15"/>
              </w:rPr>
              <w:t>阶</w:t>
            </w:r>
            <w:r>
              <w:rPr>
                <w:rFonts w:ascii="黑体" w:hAnsi="黑体" w:eastAsia="黑体" w:cs="黑体"/>
                <w:spacing w:val="1"/>
                <w:sz w:val="15"/>
                <w:szCs w:val="15"/>
              </w:rPr>
              <w:t>段  作日</w:t>
            </w:r>
          </w:p>
        </w:tc>
        <w:tc>
          <w:tcPr>
            <w:tcW w:w="3565" w:type="dxa"/>
            <w:gridSpan w:val="7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85" w:line="221" w:lineRule="auto"/>
              <w:ind w:left="94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3"/>
                <w:w w:val="91"/>
                <w:sz w:val="15"/>
                <w:szCs w:val="15"/>
              </w:rPr>
              <w:t>牵头单位：自然资源和规划部门</w:t>
            </w:r>
          </w:p>
        </w:tc>
        <w:tc>
          <w:tcPr>
            <w:tcW w:w="35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14" w:type="dxa"/>
            <w:gridSpan w:val="2"/>
            <w:vMerge w:val="continue"/>
            <w:tcBorders>
              <w:top w:val="nil"/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7" w:line="224" w:lineRule="auto"/>
              <w:ind w:left="490" w:right="21" w:firstLine="9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核单位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4"/>
                <w:szCs w:val="14"/>
              </w:rPr>
              <w:t>市</w:t>
            </w:r>
            <w:r>
              <w:rPr>
                <w:rFonts w:ascii="黑体" w:hAnsi="黑体" w:eastAsia="黑体" w:cs="黑体"/>
                <w:spacing w:val="-11"/>
                <w:sz w:val="14"/>
                <w:szCs w:val="14"/>
              </w:rPr>
              <w:t>自然资源</w:t>
            </w:r>
          </w:p>
          <w:p>
            <w:pPr>
              <w:spacing w:line="236" w:lineRule="auto"/>
              <w:ind w:left="58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13"/>
                <w:sz w:val="14"/>
                <w:szCs w:val="14"/>
              </w:rPr>
              <w:t>和</w:t>
            </w:r>
            <w:r>
              <w:rPr>
                <w:rFonts w:ascii="黑体" w:hAnsi="黑体" w:eastAsia="黑体" w:cs="黑体"/>
                <w:spacing w:val="-9"/>
                <w:sz w:val="14"/>
                <w:szCs w:val="14"/>
              </w:rPr>
              <w:t>规划局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6" w:line="330" w:lineRule="auto"/>
              <w:ind w:left="182" w:right="149" w:firstLine="23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8"/>
                <w:sz w:val="15"/>
                <w:szCs w:val="15"/>
              </w:rPr>
              <w:t>审核事项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  </w:t>
            </w:r>
            <w:r>
              <w:rPr>
                <w:rFonts w:ascii="黑体" w:hAnsi="黑体" w:eastAsia="黑体" w:cs="黑体"/>
                <w:spacing w:val="-13"/>
                <w:w w:val="90"/>
                <w:sz w:val="15"/>
                <w:szCs w:val="15"/>
              </w:rPr>
              <w:t>建设工程规划许可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4" w:line="261" w:lineRule="exact"/>
              <w:ind w:left="23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4"/>
                <w:position w:val="8"/>
                <w:sz w:val="15"/>
                <w:szCs w:val="15"/>
              </w:rPr>
              <w:t>办</w:t>
            </w:r>
            <w:r>
              <w:rPr>
                <w:rFonts w:ascii="黑体" w:hAnsi="黑体" w:eastAsia="黑体" w:cs="黑体"/>
                <w:spacing w:val="-12"/>
                <w:position w:val="8"/>
                <w:sz w:val="15"/>
                <w:szCs w:val="15"/>
              </w:rPr>
              <w:t>结时限</w:t>
            </w:r>
          </w:p>
          <w:p>
            <w:pPr>
              <w:spacing w:line="221" w:lineRule="auto"/>
              <w:ind w:left="23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6"/>
                <w:sz w:val="15"/>
                <w:szCs w:val="15"/>
              </w:rPr>
              <w:t>3个工作日</w:t>
            </w:r>
          </w:p>
        </w:tc>
        <w:tc>
          <w:tcPr>
            <w:tcW w:w="35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192" w:type="dxa"/>
            <w:gridSpan w:val="6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01" w:type="dxa"/>
            <w:tcBorders>
              <w:left w:val="nil"/>
              <w:righ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8" w:line="225" w:lineRule="auto"/>
              <w:ind w:left="44" w:right="1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"/>
                <w:sz w:val="15"/>
                <w:szCs w:val="15"/>
              </w:rPr>
              <w:t>施工</w:t>
            </w:r>
            <w:r>
              <w:rPr>
                <w:rFonts w:ascii="黑体" w:hAnsi="黑体" w:eastAsia="黑体" w:cs="黑体"/>
                <w:spacing w:val="-1"/>
                <w:sz w:val="15"/>
                <w:szCs w:val="15"/>
              </w:rPr>
              <w:t>许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5"/>
                <w:szCs w:val="15"/>
              </w:rPr>
              <w:t>可阶段</w:t>
            </w:r>
          </w:p>
        </w:tc>
        <w:tc>
          <w:tcPr>
            <w:tcW w:w="766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9" w:line="195" w:lineRule="auto"/>
              <w:ind w:left="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3"/>
                <w:sz w:val="21"/>
                <w:szCs w:val="21"/>
              </w:rPr>
              <w:t>阶</w:t>
            </w:r>
            <w:r>
              <w:rPr>
                <w:rFonts w:ascii="黑体" w:hAnsi="黑体" w:eastAsia="黑体" w:cs="黑体"/>
                <w:spacing w:val="-32"/>
                <w:sz w:val="21"/>
                <w:szCs w:val="21"/>
              </w:rPr>
              <w:t>段时</w:t>
            </w:r>
          </w:p>
          <w:p>
            <w:pPr>
              <w:spacing w:line="158" w:lineRule="auto"/>
              <w:ind w:left="4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5"/>
                <w:sz w:val="15"/>
                <w:szCs w:val="15"/>
              </w:rPr>
              <w:t>限</w:t>
            </w:r>
            <w:r>
              <w:rPr>
                <w:rFonts w:ascii="黑体" w:hAnsi="黑体" w:eastAsia="黑体" w:cs="黑体"/>
                <w:spacing w:val="-3"/>
                <w:sz w:val="15"/>
                <w:szCs w:val="15"/>
              </w:rPr>
              <w:t>1个</w:t>
            </w:r>
          </w:p>
          <w:p>
            <w:pPr>
              <w:spacing w:line="220" w:lineRule="auto"/>
              <w:ind w:left="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8"/>
                <w:sz w:val="21"/>
                <w:szCs w:val="21"/>
              </w:rPr>
              <w:t>工</w:t>
            </w:r>
            <w:r>
              <w:rPr>
                <w:rFonts w:ascii="黑体" w:hAnsi="黑体" w:eastAsia="黑体" w:cs="黑体"/>
                <w:spacing w:val="-27"/>
                <w:sz w:val="21"/>
                <w:szCs w:val="21"/>
              </w:rPr>
              <w:t>作日</w:t>
            </w:r>
          </w:p>
        </w:tc>
        <w:tc>
          <w:tcPr>
            <w:tcW w:w="3312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spacing w:before="47" w:line="221" w:lineRule="auto"/>
              <w:ind w:left="630"/>
              <w:rPr>
                <w:rFonts w:ascii="黑体" w:hAnsi="黑体" w:eastAsia="黑体" w:cs="黑体"/>
                <w:sz w:val="15"/>
                <w:szCs w:val="15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119380</wp:posOffset>
                  </wp:positionV>
                  <wp:extent cx="1704975" cy="63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4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rect id="_x0000_s1035" o:spid="_x0000_s1035" o:spt="1" style="position:absolute;left:0pt;margin-left:10.4pt;margin-top:41.9pt;height:0.4pt;width:135.25pt;mso-position-horizontal-relative:page;mso-position-vertical-relative:page;z-index:25166950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黑体" w:hAnsi="黑体" w:eastAsia="黑体" w:cs="黑体"/>
                <w:spacing w:val="25"/>
                <w:sz w:val="15"/>
                <w:szCs w:val="15"/>
              </w:rPr>
              <w:t>牵</w:t>
            </w:r>
            <w:r>
              <w:rPr>
                <w:rFonts w:ascii="黑体" w:hAnsi="黑体" w:eastAsia="黑体" w:cs="黑体"/>
                <w:spacing w:val="21"/>
                <w:sz w:val="15"/>
                <w:szCs w:val="15"/>
              </w:rPr>
              <w:t>头部门：城乡建设部门</w:t>
            </w:r>
          </w:p>
          <w:p>
            <w:pPr>
              <w:spacing w:before="20" w:line="202" w:lineRule="auto"/>
              <w:ind w:left="32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4"/>
                <w:sz w:val="13"/>
                <w:szCs w:val="13"/>
                <w:u w:val="single" w:color="auto"/>
              </w:rPr>
              <w:t>审</w:t>
            </w:r>
            <w:r>
              <w:rPr>
                <w:rFonts w:ascii="黑体" w:hAnsi="黑体" w:eastAsia="黑体" w:cs="黑体"/>
                <w:spacing w:val="23"/>
                <w:sz w:val="13"/>
                <w:szCs w:val="13"/>
                <w:u w:val="single" w:color="auto"/>
              </w:rPr>
              <w:t>核单位    审核事项   办结时限]</w:t>
            </w:r>
          </w:p>
          <w:p>
            <w:pPr>
              <w:spacing w:line="462" w:lineRule="exact"/>
              <w:ind w:left="327"/>
              <w:rPr>
                <w:rFonts w:ascii="黑体" w:hAnsi="黑体" w:eastAsia="黑体" w:cs="黑体"/>
                <w:sz w:val="14"/>
                <w:szCs w:val="14"/>
              </w:rPr>
            </w:pPr>
            <w:r>
              <w:pict>
                <v:shape id="_x0000_s1036" o:spid="_x0000_s1036" o:spt="202" type="#_x0000_t202" style="position:absolute;left:0pt;margin-left:42.6pt;margin-top:14.05pt;height:10.65pt;width:77.7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3" w:lineRule="auto"/>
                          <w:ind w:left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3"/>
                            <w:sz w:val="15"/>
                            <w:szCs w:val="15"/>
                          </w:rPr>
                          <w:t>督 手 续 ，  承 诺 刺 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-4"/>
                <w:w w:val="63"/>
                <w:position w:val="2"/>
                <w:sz w:val="14"/>
                <w:szCs w:val="14"/>
              </w:rPr>
              <w:t>区住建局</w:t>
            </w:r>
            <w:r>
              <w:rPr>
                <w:rFonts w:ascii="黑体" w:hAnsi="黑体" w:eastAsia="黑体" w:cs="黑体"/>
                <w:spacing w:val="85"/>
                <w:position w:val="2"/>
                <w:sz w:val="14"/>
                <w:szCs w:val="14"/>
              </w:rPr>
              <w:t xml:space="preserve"> </w:t>
            </w:r>
            <w:r>
              <w:fldChar w:fldCharType="begin"/>
            </w:r>
            <w:r>
              <w:instrText xml:space="preserve">EQ \* jc3 \* hps18 \o\al(\s\up 2(</w:instrText>
            </w:r>
            <w:r>
              <w:rPr>
                <w:rFonts w:ascii="黑体" w:hAnsi="黑体" w:eastAsia="黑体" w:cs="黑体"/>
                <w:spacing w:val="-13"/>
                <w:w w:val="76"/>
                <w:position w:val="8"/>
                <w:sz w:val="18"/>
                <w:szCs w:val="18"/>
              </w:rPr>
              <w:instrText xml:space="preserve">建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2"/>
                <w:sz w:val="15"/>
                <w:szCs w:val="15"/>
              </w:rPr>
              <w:instrText xml:space="preserve">发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7"/>
                <w:szCs w:val="17"/>
              </w:rPr>
              <w:t>筑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4"/>
                <w:szCs w:val="14"/>
              </w:rPr>
              <w:t>(</w:t>
            </w:r>
            <w:r>
              <w:rPr>
                <w:rFonts w:ascii="黑体" w:hAnsi="黑体" w:eastAsia="黑体" w:cs="黑体"/>
                <w:spacing w:val="-4"/>
                <w:w w:val="63"/>
                <w:position w:val="3"/>
                <w:sz w:val="14"/>
                <w:szCs w:val="14"/>
              </w:rPr>
              <w:t>含</w:t>
            </w:r>
            <w:r>
              <w:rPr>
                <w:rFonts w:ascii="黑体" w:hAnsi="黑体" w:eastAsia="黑体" w:cs="黑体"/>
                <w:spacing w:val="-4"/>
                <w:w w:val="63"/>
                <w:position w:val="13"/>
                <w:sz w:val="17"/>
                <w:szCs w:val="17"/>
              </w:rPr>
              <w:t>工程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7"/>
                <w:szCs w:val="17"/>
              </w:rPr>
              <w:t>亦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4"/>
                <w:szCs w:val="14"/>
              </w:rPr>
              <w:t>质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7"/>
                <w:szCs w:val="17"/>
              </w:rPr>
              <w:t>工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4"/>
                <w:szCs w:val="14"/>
              </w:rPr>
              <w:t>量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7"/>
                <w:szCs w:val="17"/>
              </w:rPr>
              <w:t>许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4"/>
                <w:szCs w:val="14"/>
              </w:rPr>
              <w:t>安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7"/>
                <w:szCs w:val="17"/>
              </w:rPr>
              <w:t>可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4"/>
                <w:szCs w:val="14"/>
              </w:rPr>
              <w:t>全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7"/>
                <w:szCs w:val="17"/>
              </w:rPr>
              <w:t>证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4"/>
                <w:szCs w:val="14"/>
              </w:rPr>
              <w:t>监</w:t>
            </w:r>
            <w:r>
              <w:rPr>
                <w:rFonts w:ascii="黑体" w:hAnsi="黑体" w:eastAsia="黑体" w:cs="黑体"/>
                <w:spacing w:val="-4"/>
                <w:w w:val="63"/>
                <w:position w:val="9"/>
                <w:sz w:val="17"/>
                <w:szCs w:val="17"/>
              </w:rPr>
              <w:t>核</w:t>
            </w:r>
            <w:r>
              <w:rPr>
                <w:rFonts w:ascii="黑体" w:hAnsi="黑体" w:eastAsia="黑体" w:cs="黑体"/>
                <w:spacing w:val="-4"/>
                <w:w w:val="63"/>
                <w:position w:val="8"/>
                <w:sz w:val="14"/>
                <w:szCs w:val="14"/>
              </w:rPr>
              <w:t>0.5</w:t>
            </w:r>
            <w:r>
              <w:fldChar w:fldCharType="begin"/>
            </w:r>
            <w:r>
              <w:instrText xml:space="preserve">EQ \* jc3 \* hps15 \o\al(\s\up 0(</w:instrText>
            </w:r>
            <w:r>
              <w:rPr>
                <w:rFonts w:ascii="黑体" w:hAnsi="黑体" w:eastAsia="黑体" w:cs="黑体"/>
                <w:spacing w:val="-22"/>
                <w:position w:val="8"/>
                <w:sz w:val="15"/>
                <w:szCs w:val="15"/>
              </w:rPr>
              <w:instrText xml:space="preserve">个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7"/>
                <w:position w:val="-5"/>
                <w:sz w:val="15"/>
                <w:szCs w:val="15"/>
              </w:rPr>
              <w:instrText xml:space="preserve">日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-4"/>
                <w:w w:val="63"/>
                <w:position w:val="8"/>
                <w:sz w:val="14"/>
                <w:szCs w:val="14"/>
              </w:rPr>
              <w:t>工作</w:t>
            </w:r>
          </w:p>
        </w:tc>
        <w:tc>
          <w:tcPr>
            <w:tcW w:w="35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92" w:type="dxa"/>
            <w:gridSpan w:val="6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gridSpan w:val="4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614" w:type="dxa"/>
            <w:gridSpan w:val="10"/>
            <w:tcBorders>
              <w:left w:val="nil"/>
              <w:right w:val="nil"/>
            </w:tcBorders>
            <w:vAlign w:val="top"/>
          </w:tcPr>
          <w:p>
            <w:pPr>
              <w:spacing w:before="49" w:line="215" w:lineRule="auto"/>
              <w:ind w:left="1905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21"/>
                <w:sz w:val="15"/>
                <w:szCs w:val="15"/>
              </w:rPr>
              <w:t>牵头部门：坡乡建设部</w:t>
            </w:r>
            <w:r>
              <w:rPr>
                <w:rFonts w:ascii="黑体" w:hAnsi="黑体" w:eastAsia="黑体" w:cs="黑体"/>
                <w:spacing w:val="20"/>
                <w:sz w:val="15"/>
                <w:szCs w:val="15"/>
              </w:rP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4614" w:type="dxa"/>
            <w:gridSpan w:val="10"/>
            <w:tcBorders>
              <w:left w:val="nil"/>
              <w:right w:val="nil"/>
            </w:tcBorders>
            <w:vAlign w:val="top"/>
          </w:tcPr>
          <w:p>
            <w:pPr>
              <w:spacing w:before="29" w:line="193" w:lineRule="auto"/>
              <w:ind w:left="1594"/>
              <w:rPr>
                <w:rFonts w:ascii="黑体" w:hAnsi="黑体" w:eastAsia="黑体" w:cs="黑体"/>
                <w:sz w:val="14"/>
                <w:szCs w:val="14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-1805940</wp:posOffset>
                  </wp:positionH>
                  <wp:positionV relativeFrom="topMargin">
                    <wp:posOffset>736600</wp:posOffset>
                  </wp:positionV>
                  <wp:extent cx="63500" cy="44450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0" cy="4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26"/>
                <w:sz w:val="14"/>
                <w:szCs w:val="14"/>
                <w:u w:val="single" w:color="auto"/>
              </w:rPr>
              <w:t>审</w:t>
            </w:r>
            <w:r>
              <w:rPr>
                <w:rFonts w:ascii="黑体" w:hAnsi="黑体" w:eastAsia="黑体" w:cs="黑体"/>
                <w:spacing w:val="16"/>
                <w:sz w:val="14"/>
                <w:szCs w:val="14"/>
                <w:u w:val="single" w:color="auto"/>
              </w:rPr>
              <w:t>核单位    审核事项   办结时限</w:t>
            </w:r>
          </w:p>
          <w:p>
            <w:pPr>
              <w:spacing w:line="237" w:lineRule="auto"/>
              <w:ind w:left="1594" w:right="501" w:hanging="90"/>
              <w:rPr>
                <w:rFonts w:ascii="黑体" w:hAnsi="黑体" w:eastAsia="黑体" w:cs="黑体"/>
                <w:sz w:val="14"/>
                <w:szCs w:val="14"/>
              </w:rPr>
            </w:pPr>
            <w:r>
              <w:pict>
                <v:shape id="_x0000_s1037" o:spid="_x0000_s1037" o:spt="202" type="#_x0000_t202" style="position:absolute;left:0pt;margin-left:74.2pt;margin-top:28.25pt;height:12.1pt;width:135.7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290"/>
                          </w:tabs>
                          <w:spacing w:before="20" w:line="223" w:lineRule="auto"/>
                          <w:ind w:left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sz w:val="15"/>
                            <w:szCs w:val="15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spacing w:val="-8"/>
                            <w:sz w:val="15"/>
                            <w:szCs w:val="15"/>
                            <w:u w:val="single" w:color="auto"/>
                          </w:rPr>
                          <w:t>案</w:t>
                        </w:r>
                        <w:r>
                          <w:rPr>
                            <w:rFonts w:ascii="黑体" w:hAnsi="黑体" w:eastAsia="黑体" w:cs="黑体"/>
                            <w:sz w:val="15"/>
                            <w:szCs w:val="15"/>
                            <w:u w:val="single" w:color="auto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-9"/>
                <w:position w:val="8"/>
                <w:sz w:val="14"/>
                <w:szCs w:val="14"/>
                <w:u w:val="single" w:color="auto"/>
              </w:rPr>
              <w:t>市</w:t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20"/>
                <w:sz w:val="15"/>
                <w:szCs w:val="15"/>
                <w:u w:val="single" w:color="auto"/>
              </w:rPr>
              <w:instrText xml:space="preserve">自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0"/>
                <w:w w:val="71"/>
                <w:position w:val="-6"/>
                <w:sz w:val="15"/>
                <w:szCs w:val="15"/>
                <w:u w:val="single" w:color="auto"/>
              </w:rPr>
              <w:instrText xml:space="preserve">和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20"/>
                <w:sz w:val="15"/>
                <w:szCs w:val="15"/>
                <w:u w:val="single" w:color="auto"/>
              </w:rPr>
              <w:instrText xml:space="preserve">然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1"/>
                <w:w w:val="75"/>
                <w:position w:val="-6"/>
                <w:sz w:val="15"/>
                <w:szCs w:val="15"/>
                <w:u w:val="single" w:color="auto"/>
              </w:rPr>
              <w:instrText xml:space="preserve">规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20"/>
                <w:sz w:val="15"/>
                <w:szCs w:val="15"/>
                <w:u w:val="single" w:color="auto"/>
              </w:rPr>
              <w:instrText xml:space="preserve">资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2"/>
                <w:w w:val="80"/>
                <w:position w:val="-6"/>
                <w:sz w:val="15"/>
                <w:szCs w:val="15"/>
                <w:u w:val="single" w:color="auto"/>
              </w:rPr>
              <w:instrText xml:space="preserve">划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20"/>
                <w:sz w:val="15"/>
                <w:szCs w:val="15"/>
                <w:u w:val="single" w:color="auto"/>
              </w:rPr>
              <w:instrText xml:space="preserve">源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2"/>
                <w:w w:val="84"/>
                <w:position w:val="-6"/>
                <w:sz w:val="15"/>
                <w:szCs w:val="15"/>
                <w:u w:val="single" w:color="auto"/>
              </w:rPr>
              <w:instrText xml:space="preserve">局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-6"/>
                <w:position w:val="1"/>
                <w:sz w:val="14"/>
                <w:szCs w:val="14"/>
                <w:u w:val="single" w:color="auto"/>
              </w:rPr>
              <w:t xml:space="preserve">  建设工程规划核实  </w:t>
            </w:r>
            <w:r>
              <w:rPr>
                <w:rFonts w:ascii="黑体" w:hAnsi="黑体" w:eastAsia="黑体" w:cs="黑体"/>
                <w:spacing w:val="-6"/>
                <w:position w:val="6"/>
                <w:sz w:val="14"/>
                <w:szCs w:val="14"/>
                <w:u w:val="single" w:color="auto"/>
              </w:rPr>
              <w:t>第2</w:t>
            </w:r>
            <w:r>
              <w:fldChar w:fldCharType="begin"/>
            </w:r>
            <w:r>
              <w:instrText xml:space="preserve">EQ \* jc3 \* hps15 \o\al(\s\up 3(</w:instrText>
            </w:r>
            <w:r>
              <w:rPr>
                <w:rFonts w:ascii="黑体" w:hAnsi="黑体" w:eastAsia="黑体" w:cs="黑体"/>
                <w:spacing w:val="-25"/>
                <w:sz w:val="15"/>
                <w:szCs w:val="15"/>
                <w:u w:val="single" w:color="auto"/>
              </w:rPr>
              <w:instrText xml:space="preserve">个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11"/>
                <w:position w:val="-6"/>
                <w:sz w:val="15"/>
                <w:szCs w:val="15"/>
                <w:u w:val="single" w:color="auto"/>
              </w:rPr>
              <w:instrText xml:space="preserve">且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-6"/>
                <w:position w:val="6"/>
                <w:sz w:val="14"/>
                <w:szCs w:val="14"/>
                <w:u w:val="single" w:color="auto"/>
              </w:rPr>
              <w:t>工作</w:t>
            </w:r>
            <w:r>
              <w:rPr>
                <w:rFonts w:ascii="黑体" w:hAnsi="黑体" w:eastAsia="黑体" w:cs="黑体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position w:val="-6"/>
                <w:sz w:val="14"/>
                <w:szCs w:val="14"/>
              </w:rPr>
              <w:t>区</w:t>
            </w:r>
            <w:r>
              <w:rPr>
                <w:rFonts w:ascii="黑体" w:hAnsi="黑体" w:eastAsia="黑体" w:cs="黑体"/>
                <w:spacing w:val="-5"/>
                <w:position w:val="-6"/>
                <w:sz w:val="14"/>
                <w:szCs w:val="14"/>
              </w:rPr>
              <w:t xml:space="preserve">住建局 </w:t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13"/>
                <w:w w:val="89"/>
                <w:sz w:val="15"/>
                <w:szCs w:val="15"/>
              </w:rPr>
              <w:instrText xml:space="preserve">监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4"/>
                <w:position w:val="-6"/>
                <w:sz w:val="15"/>
                <w:szCs w:val="15"/>
              </w:rPr>
              <w:instrText xml:space="preserve">他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12"/>
                <w:w w:val="81"/>
                <w:sz w:val="15"/>
                <w:szCs w:val="15"/>
              </w:rPr>
              <w:instrText xml:space="preserve">督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-6"/>
                <w:sz w:val="15"/>
                <w:szCs w:val="15"/>
              </w:rPr>
              <w:instrText xml:space="preserve">建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12"/>
                <w:w w:val="83"/>
                <w:sz w:val="15"/>
                <w:szCs w:val="15"/>
              </w:rPr>
              <w:instrText xml:space="preserve">工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-6"/>
                <w:sz w:val="15"/>
                <w:szCs w:val="15"/>
              </w:rPr>
              <w:instrText xml:space="preserve">设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13"/>
                <w:w w:val="86"/>
                <w:sz w:val="15"/>
                <w:szCs w:val="15"/>
              </w:rPr>
              <w:instrText xml:space="preserve">程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-6"/>
                <w:sz w:val="15"/>
                <w:szCs w:val="15"/>
              </w:rPr>
              <w:instrText xml:space="preserve">工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13"/>
                <w:w w:val="89"/>
                <w:sz w:val="15"/>
                <w:szCs w:val="15"/>
              </w:rPr>
              <w:instrText xml:space="preserve">竣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-6"/>
                <w:sz w:val="15"/>
                <w:szCs w:val="15"/>
              </w:rPr>
              <w:instrText xml:space="preserve">程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13"/>
                <w:w w:val="91"/>
                <w:sz w:val="15"/>
                <w:szCs w:val="15"/>
              </w:rPr>
              <w:instrText xml:space="preserve">工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-6"/>
                <w:sz w:val="15"/>
                <w:szCs w:val="15"/>
              </w:rPr>
              <w:instrText xml:space="preserve">消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25"/>
                <w:sz w:val="15"/>
                <w:szCs w:val="15"/>
              </w:rPr>
              <w:instrText xml:space="preserve">验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88"/>
                <w:position w:val="-6"/>
                <w:sz w:val="15"/>
                <w:szCs w:val="15"/>
              </w:rPr>
              <w:instrText xml:space="preserve">防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25"/>
                <w:sz w:val="15"/>
                <w:szCs w:val="15"/>
              </w:rPr>
              <w:instrText xml:space="preserve">收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2"/>
                <w:w w:val="85"/>
                <w:position w:val="-6"/>
                <w:sz w:val="15"/>
                <w:szCs w:val="15"/>
              </w:rPr>
              <w:instrText xml:space="preserve">验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4(</w:instrText>
            </w:r>
            <w:r>
              <w:rPr>
                <w:rFonts w:ascii="黑体" w:hAnsi="黑体" w:eastAsia="黑体" w:cs="黑体"/>
                <w:spacing w:val="-19"/>
                <w:sz w:val="15"/>
                <w:szCs w:val="15"/>
              </w:rPr>
              <w:instrText xml:space="preserve">+</w:instrText>
            </w:r>
            <w:r>
              <w:rPr>
                <w:rFonts w:ascii="黑体" w:hAnsi="黑体" w:eastAsia="黑体" w:cs="黑体"/>
                <w:spacing w:val="-18"/>
                <w:sz w:val="15"/>
                <w:szCs w:val="15"/>
              </w:rPr>
              <w:instrText xml:space="preserve">其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87"/>
                <w:position w:val="-6"/>
                <w:sz w:val="15"/>
                <w:szCs w:val="15"/>
              </w:rPr>
              <w:instrText xml:space="preserve">收备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-5"/>
                <w:position w:val="-6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4"/>
                <w:szCs w:val="14"/>
                <w14:textOutline w14:w="26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第3</w:t>
            </w:r>
            <w:r>
              <w:fldChar w:fldCharType="begin"/>
            </w:r>
            <w:r>
              <w:instrText xml:space="preserve">EQ \* jc3 \* hps15 \o\al(\s\up 0(</w:instrText>
            </w:r>
            <w:r>
              <w:rPr>
                <w:rFonts w:ascii="黑体" w:hAnsi="黑体" w:eastAsia="黑体" w:cs="黑体"/>
                <w:spacing w:val="-12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instrText xml:space="preserve">个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17"/>
                <w:position w:val="-11"/>
                <w:sz w:val="11"/>
                <w:szCs w:val="11"/>
              </w:rPr>
              <w:instrText xml:space="preserve">日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-5"/>
                <w:sz w:val="14"/>
                <w:szCs w:val="14"/>
                <w14:textOutline w14:w="26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</w:t>
            </w:r>
          </w:p>
          <w:p>
            <w:pPr>
              <w:spacing w:before="58" w:line="163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position w:val="-15"/>
                <w:sz w:val="13"/>
                <w:szCs w:val="13"/>
              </w:rPr>
              <w:t>竣工</w:t>
            </w:r>
            <w:r>
              <w:rPr>
                <w:rFonts w:ascii="黑体" w:hAnsi="黑体" w:eastAsia="黑体" w:cs="黑体"/>
                <w:spacing w:val="1"/>
                <w:position w:val="-15"/>
                <w:sz w:val="13"/>
                <w:szCs w:val="13"/>
              </w:rPr>
              <w:t xml:space="preserve">验 </w:t>
            </w:r>
            <w:r>
              <w:fldChar w:fldCharType="begin"/>
            </w:r>
            <w:r>
              <w:instrText xml:space="preserve">EQ \* jc3 \* hps15 \o\al(\s\up 2147483644(</w:instrText>
            </w:r>
            <w:r>
              <w:rPr>
                <w:rFonts w:ascii="黑体" w:hAnsi="黑体" w:eastAsia="黑体" w:cs="黑体"/>
                <w:spacing w:val="-10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instrText xml:space="preserve">阶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6"/>
                <w:position w:val="-25"/>
                <w:sz w:val="15"/>
                <w:szCs w:val="15"/>
              </w:rPr>
              <w:instrText xml:space="preserve">限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2147483644(</w:instrText>
            </w:r>
            <w:r>
              <w:rPr>
                <w:rFonts w:ascii="黑体" w:hAnsi="黑体" w:eastAsia="黑体" w:cs="黑体"/>
                <w:sz w:val="15"/>
                <w:szCs w:val="15"/>
                <w14:textOutline w14:w="27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instrText xml:space="preserve">段时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"/>
                <w:position w:val="-25"/>
                <w:sz w:val="15"/>
                <w:szCs w:val="15"/>
              </w:rPr>
              <w:instrText xml:space="preserve">5个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1"/>
                <w:position w:val="-25"/>
                <w:sz w:val="15"/>
                <w:szCs w:val="15"/>
              </w:rPr>
              <w:t xml:space="preserve">      </w:t>
            </w:r>
            <w:r>
              <w:rPr>
                <w:rFonts w:ascii="黑体" w:hAnsi="黑体" w:eastAsia="黑体" w:cs="黑体"/>
                <w:spacing w:val="1"/>
                <w:position w:val="10"/>
                <w:sz w:val="13"/>
                <w:szCs w:val="13"/>
                <w:u w:val="single" w:color="auto"/>
              </w:rPr>
              <w:t xml:space="preserve">市城乡建设 </w:t>
            </w:r>
            <w:r>
              <w:rPr>
                <w:rFonts w:ascii="黑体" w:hAnsi="黑体" w:eastAsia="黑体" w:cs="黑体"/>
                <w:spacing w:val="1"/>
                <w:position w:val="3"/>
                <w:sz w:val="13"/>
                <w:szCs w:val="13"/>
                <w:u w:val="single" w:color="auto"/>
              </w:rPr>
              <w:t>建设工程档来验收认可</w:t>
            </w:r>
            <w:r>
              <w:rPr>
                <w:rFonts w:ascii="黑体" w:hAnsi="黑体" w:eastAsia="黑体" w:cs="黑体"/>
                <w:spacing w:val="1"/>
                <w:position w:val="3"/>
                <w:sz w:val="16"/>
                <w:szCs w:val="16"/>
                <w:u w:val="single" w:color="000000"/>
                <w14:textOutline w14:w="30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第4</w:t>
            </w:r>
            <w:r>
              <w:fldChar w:fldCharType="begin"/>
            </w:r>
            <w:r>
              <w:instrText xml:space="preserve">EQ \* jc3 \* hps18 \o\al(\s\up 4(</w:instrText>
            </w:r>
            <w:r>
              <w:rPr>
                <w:rFonts w:ascii="黑体" w:hAnsi="黑体" w:eastAsia="黑体" w:cs="黑体"/>
                <w:spacing w:val="-13"/>
                <w:w w:val="73"/>
                <w:sz w:val="18"/>
                <w:szCs w:val="18"/>
                <w:u w:val="single" w:color="000000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instrText xml:space="preserve">个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0"/>
                <w:position w:val="-5"/>
                <w:sz w:val="15"/>
                <w:szCs w:val="15"/>
                <w:u w:val="single" w:color="auto"/>
              </w:rPr>
              <w:instrText xml:space="preserve">日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1"/>
                <w:position w:val="8"/>
                <w:sz w:val="16"/>
                <w:szCs w:val="16"/>
                <w:u w:val="single" w:color="000000"/>
                <w14:textOutline w14:w="303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</w:t>
            </w:r>
          </w:p>
          <w:p>
            <w:pPr>
              <w:spacing w:line="351" w:lineRule="exact"/>
              <w:ind w:left="4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3"/>
                <w:position w:val="11"/>
                <w:sz w:val="13"/>
                <w:szCs w:val="13"/>
              </w:rPr>
              <w:t xml:space="preserve">收阶段 </w:t>
            </w:r>
            <w:r>
              <w:rPr>
                <w:rFonts w:ascii="黑体" w:hAnsi="黑体" w:eastAsia="黑体" w:cs="黑体"/>
                <w:spacing w:val="3"/>
                <w:position w:val="1"/>
                <w:sz w:val="15"/>
                <w:szCs w:val="15"/>
              </w:rPr>
              <w:t xml:space="preserve">工作日       </w:t>
            </w:r>
            <w:r>
              <w:rPr>
                <w:rFonts w:ascii="黑体" w:hAnsi="黑体" w:eastAsia="黑体" w:cs="黑体"/>
                <w:spacing w:val="3"/>
                <w:position w:val="5"/>
                <w:sz w:val="13"/>
                <w:szCs w:val="13"/>
              </w:rPr>
              <w:t xml:space="preserve">区住建局 </w:t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89"/>
                <w:position w:val="5"/>
                <w:sz w:val="15"/>
                <w:szCs w:val="15"/>
              </w:rPr>
              <w:instrText xml:space="preserve">房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-3"/>
                <w:sz w:val="15"/>
                <w:szCs w:val="15"/>
              </w:rPr>
              <w:instrText xml:space="preserve">施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91"/>
                <w:position w:val="5"/>
                <w:sz w:val="15"/>
                <w:szCs w:val="15"/>
              </w:rPr>
              <w:instrText xml:space="preserve">屋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工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5"/>
                <w:sz w:val="15"/>
                <w:szCs w:val="15"/>
              </w:rPr>
              <w:instrText xml:space="preserve">建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程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5"/>
                <w:sz w:val="15"/>
                <w:szCs w:val="15"/>
              </w:rPr>
              <w:instrText xml:space="preserve">筑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竣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90"/>
                <w:position w:val="5"/>
                <w:sz w:val="15"/>
                <w:szCs w:val="15"/>
              </w:rPr>
              <w:instrText xml:space="preserve">和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工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89"/>
                <w:position w:val="5"/>
                <w:sz w:val="15"/>
                <w:szCs w:val="15"/>
              </w:rPr>
              <w:instrText xml:space="preserve">市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验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89"/>
                <w:position w:val="5"/>
                <w:sz w:val="15"/>
                <w:szCs w:val="15"/>
              </w:rPr>
              <w:instrText xml:space="preserve">政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收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89"/>
                <w:position w:val="5"/>
                <w:sz w:val="15"/>
                <w:szCs w:val="15"/>
              </w:rPr>
              <w:instrText xml:space="preserve">基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备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hps15 \o\al(\s\up 2(</w:instrText>
            </w:r>
            <w:r>
              <w:rPr>
                <w:rFonts w:ascii="黑体" w:hAnsi="黑体" w:eastAsia="黑体" w:cs="黑体"/>
                <w:spacing w:val="-13"/>
                <w:w w:val="88"/>
                <w:position w:val="5"/>
                <w:sz w:val="15"/>
                <w:szCs w:val="15"/>
              </w:rPr>
              <w:instrText xml:space="preserve">础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24"/>
                <w:position w:val="-3"/>
                <w:sz w:val="15"/>
                <w:szCs w:val="15"/>
              </w:rPr>
              <w:instrText xml:space="preserve">案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3"/>
                <w:position w:val="9"/>
                <w:sz w:val="13"/>
                <w:szCs w:val="13"/>
              </w:rPr>
              <w:t xml:space="preserve">设 </w:t>
            </w:r>
            <w:r>
              <w:rPr>
                <w:rFonts w:ascii="黑体" w:hAnsi="黑体" w:eastAsia="黑体" w:cs="黑体"/>
                <w:spacing w:val="3"/>
                <w:position w:val="9"/>
                <w:sz w:val="15"/>
                <w:szCs w:val="15"/>
              </w:rPr>
              <w:t>第4</w:t>
            </w:r>
            <w:r>
              <w:fldChar w:fldCharType="begin"/>
            </w:r>
            <w:r>
              <w:instrText xml:space="preserve">EQ \* jc3 \* hps18 \o\al(\s\up 1(</w:instrText>
            </w:r>
            <w:r>
              <w:rPr>
                <w:rFonts w:ascii="黑体" w:hAnsi="黑体" w:eastAsia="黑体" w:cs="黑体"/>
                <w:spacing w:val="-14"/>
                <w:w w:val="78"/>
                <w:position w:val="5"/>
                <w:sz w:val="18"/>
                <w:szCs w:val="18"/>
              </w:rPr>
              <w:instrText xml:space="preserve">个</w:instrText>
            </w:r>
            <w:r>
              <w:instrText xml:space="preserve">),</w:instrText>
            </w:r>
            <w:r>
              <w:rPr>
                <w:rFonts w:ascii="黑体" w:hAnsi="黑体" w:eastAsia="黑体" w:cs="黑体"/>
                <w:spacing w:val="-8"/>
                <w:position w:val="-5"/>
                <w:sz w:val="15"/>
                <w:szCs w:val="15"/>
              </w:rPr>
              <w:instrText xml:space="preserve">日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黑体" w:hAnsi="黑体" w:eastAsia="黑体" w:cs="黑体"/>
                <w:spacing w:val="1"/>
                <w:position w:val="8"/>
                <w:sz w:val="15"/>
                <w:szCs w:val="15"/>
              </w:rPr>
              <w:t>工</w:t>
            </w:r>
            <w:r>
              <w:rPr>
                <w:rFonts w:ascii="黑体" w:hAnsi="黑体" w:eastAsia="黑体" w:cs="黑体"/>
                <w:position w:val="8"/>
                <w:sz w:val="15"/>
                <w:szCs w:val="15"/>
              </w:rPr>
              <w:t>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172" w:type="dxa"/>
            <w:gridSpan w:val="5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95" w:line="199" w:lineRule="auto"/>
              <w:ind w:left="1594" w:right="22" w:hanging="9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2"/>
                <w:sz w:val="15"/>
                <w:szCs w:val="15"/>
              </w:rPr>
              <w:t>市</w:t>
            </w:r>
            <w:r>
              <w:rPr>
                <w:rFonts w:ascii="黑体" w:hAnsi="黑体" w:eastAsia="黑体" w:cs="黑体"/>
                <w:spacing w:val="-21"/>
                <w:sz w:val="15"/>
                <w:szCs w:val="15"/>
              </w:rPr>
              <w:t>自然资源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15"/>
                <w:szCs w:val="15"/>
              </w:rPr>
              <w:t>和</w:t>
            </w:r>
            <w:r>
              <w:rPr>
                <w:rFonts w:ascii="黑体" w:hAnsi="黑体" w:eastAsia="黑体" w:cs="黑体"/>
                <w:spacing w:val="-17"/>
                <w:sz w:val="15"/>
                <w:szCs w:val="15"/>
              </w:rPr>
              <w:t>规划局</w:t>
            </w:r>
          </w:p>
        </w:tc>
        <w:tc>
          <w:tcPr>
            <w:tcW w:w="1309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66" w:line="222" w:lineRule="auto"/>
              <w:ind w:left="24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27"/>
                <w:sz w:val="15"/>
                <w:szCs w:val="15"/>
              </w:rPr>
              <w:t>不</w:t>
            </w:r>
            <w:r>
              <w:rPr>
                <w:rFonts w:ascii="黑体" w:hAnsi="黑体" w:eastAsia="黑体" w:cs="黑体"/>
                <w:spacing w:val="-22"/>
                <w:sz w:val="15"/>
                <w:szCs w:val="15"/>
              </w:rPr>
              <w:t>动产初始登记</w:t>
            </w:r>
          </w:p>
        </w:tc>
        <w:tc>
          <w:tcPr>
            <w:tcW w:w="1133" w:type="dxa"/>
            <w:gridSpan w:val="3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75" w:line="188" w:lineRule="auto"/>
              <w:ind w:left="2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7"/>
                <w:sz w:val="17"/>
                <w:szCs w:val="17"/>
                <w14:textOutline w14:w="3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黑体" w:hAnsi="黑体" w:eastAsia="黑体" w:cs="黑体"/>
                <w:spacing w:val="-25"/>
                <w:sz w:val="17"/>
                <w:szCs w:val="17"/>
                <w14:textOutline w14:w="3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5个工作</w:t>
            </w:r>
          </w:p>
          <w:p>
            <w:pPr>
              <w:spacing w:line="225" w:lineRule="auto"/>
              <w:ind w:left="243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z w:val="14"/>
                <w:szCs w:val="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614" w:type="dxa"/>
            <w:gridSpan w:val="10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235" w:line="196" w:lineRule="auto"/>
              <w:ind w:left="1504" w:right="5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>注</w:t>
            </w:r>
            <w:r>
              <w:rPr>
                <w:rFonts w:ascii="宋体" w:hAnsi="宋体" w:eastAsia="宋体" w:cs="宋体"/>
                <w:spacing w:val="-12"/>
                <w:sz w:val="13"/>
                <w:szCs w:val="13"/>
              </w:rPr>
              <w:t>：其他建设工程消防验收备案(0.5个工作日)与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7"/>
                <w:sz w:val="13"/>
                <w:szCs w:val="13"/>
              </w:rPr>
              <w:t>监</w:t>
            </w: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>督工程竣工验收并行办理，备案后抽查列为事中事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3"/>
                <w:szCs w:val="13"/>
              </w:rPr>
              <w:t>后监管。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49" w:line="208" w:lineRule="auto"/>
        <w:ind w:right="4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34"/>
          <w:sz w:val="15"/>
          <w:szCs w:val="15"/>
        </w:rPr>
        <w:t>备注</w:t>
      </w:r>
      <w:r>
        <w:rPr>
          <w:rFonts w:ascii="宋体" w:hAnsi="宋体" w:eastAsia="宋体" w:cs="宋体"/>
          <w:spacing w:val="-20"/>
          <w:sz w:val="15"/>
          <w:szCs w:val="15"/>
        </w:rPr>
        <w:t>：</w:t>
      </w:r>
      <w:r>
        <w:rPr>
          <w:rFonts w:ascii="宋体" w:hAnsi="宋体" w:eastAsia="宋体" w:cs="宋体"/>
          <w:spacing w:val="-17"/>
          <w:sz w:val="15"/>
          <w:szCs w:val="15"/>
        </w:rPr>
        <w:t>1.社会投资小型低风险工业项目： 社会投资，一般工业项目，建筑物高度不超过24米，建筑面积不超10000平方米，无地下室，低风险(新建项目没有自然水资源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34"/>
          <w:sz w:val="15"/>
          <w:szCs w:val="15"/>
        </w:rPr>
        <w:t>、自然</w:t>
      </w:r>
      <w:r>
        <w:rPr>
          <w:rFonts w:ascii="宋体" w:hAnsi="宋体" w:eastAsia="宋体" w:cs="宋体"/>
          <w:spacing w:val="-20"/>
          <w:sz w:val="15"/>
          <w:szCs w:val="15"/>
        </w:rPr>
        <w:t>保</w:t>
      </w:r>
      <w:r>
        <w:rPr>
          <w:rFonts w:ascii="宋体" w:hAnsi="宋体" w:eastAsia="宋体" w:cs="宋体"/>
          <w:spacing w:val="-17"/>
          <w:sz w:val="15"/>
          <w:szCs w:val="15"/>
        </w:rPr>
        <w:t>护区及任何历史纪念物，不涉及危险化学品，不涉及名木古树、单株胸径超过</w:t>
      </w:r>
      <w:r>
        <w:rPr>
          <w:rFonts w:ascii="Times New Roman" w:hAnsi="Times New Roman" w:eastAsia="Times New Roman" w:cs="Times New Roman"/>
          <w:spacing w:val="-17"/>
          <w:sz w:val="15"/>
          <w:szCs w:val="15"/>
        </w:rPr>
        <w:t>30cm</w:t>
      </w:r>
      <w:r>
        <w:rPr>
          <w:rFonts w:ascii="宋体" w:hAnsi="宋体" w:eastAsia="宋体" w:cs="宋体"/>
          <w:spacing w:val="-17"/>
          <w:sz w:val="15"/>
          <w:szCs w:val="15"/>
        </w:rPr>
        <w:t>以上树木、长势好的成片林和成排树木林地、20-29cm的树木在10株以下等特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26"/>
          <w:sz w:val="15"/>
          <w:szCs w:val="15"/>
        </w:rPr>
        <w:t>殊情</w:t>
      </w:r>
      <w:r>
        <w:rPr>
          <w:rFonts w:ascii="宋体" w:hAnsi="宋体" w:eastAsia="宋体" w:cs="宋体"/>
          <w:spacing w:val="-14"/>
          <w:sz w:val="15"/>
          <w:szCs w:val="15"/>
        </w:rPr>
        <w:t>形</w:t>
      </w:r>
      <w:r>
        <w:rPr>
          <w:rFonts w:ascii="宋体" w:hAnsi="宋体" w:eastAsia="宋体" w:cs="宋体"/>
          <w:spacing w:val="-13"/>
          <w:sz w:val="15"/>
          <w:szCs w:val="15"/>
        </w:rPr>
        <w:t>的工程),符合区域规划环评，该项目年综合能源消费量不满1000吨标准煤且年电力消费量不满500万千瓦;距高现有水源和下水道接口不超过200米;施工单位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30"/>
          <w:sz w:val="15"/>
          <w:szCs w:val="15"/>
        </w:rPr>
        <w:t>提</w:t>
      </w:r>
      <w:r>
        <w:rPr>
          <w:rFonts w:ascii="宋体" w:hAnsi="宋体" w:eastAsia="宋体" w:cs="宋体"/>
          <w:spacing w:val="-18"/>
          <w:sz w:val="15"/>
          <w:szCs w:val="15"/>
        </w:rPr>
        <w:t>供的农民工工资保证金保函、主动服务的白蚁防治两个事项不列入清单。</w:t>
      </w:r>
      <w:r>
        <w:rPr>
          <w:rFonts w:ascii="宋体" w:hAnsi="宋体" w:eastAsia="宋体" w:cs="宋体"/>
          <w:sz w:val="15"/>
          <w:szCs w:val="15"/>
        </w:rPr>
        <w:t xml:space="preserve">                                                                      </w:t>
      </w:r>
      <w:r>
        <w:rPr>
          <w:rFonts w:ascii="宋体" w:hAnsi="宋体" w:eastAsia="宋体" w:cs="宋体"/>
          <w:spacing w:val="-18"/>
          <w:sz w:val="15"/>
          <w:szCs w:val="15"/>
        </w:rPr>
        <w:t>2.以上阶段时限不含申请人修改文本和专家论证、公示时间等特别程序占用时间均不计入在内</w:t>
      </w:r>
      <w:r>
        <w:rPr>
          <w:rFonts w:ascii="宋体" w:hAnsi="宋体" w:eastAsia="宋体" w:cs="宋体"/>
          <w:spacing w:val="-10"/>
          <w:sz w:val="15"/>
          <w:szCs w:val="15"/>
        </w:rPr>
        <w:t>。</w:t>
      </w:r>
    </w:p>
    <w:sectPr>
      <w:footerReference r:id="rId14" w:type="default"/>
      <w:pgSz w:w="11910" w:h="16840"/>
      <w:pgMar w:top="1275" w:right="1190" w:bottom="400" w:left="10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762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left="766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65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69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767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69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767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69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673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yYjY4ZmI4ZmFjMGE5NGE2MDU2MjNiZTc4YTUwNTkifQ=="/>
  </w:docVars>
  <w:rsids>
    <w:rsidRoot w:val="00000000"/>
    <w:rsid w:val="1F2A6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jpe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5011</Words>
  <Characters>5101</Characters>
  <TotalTime>0</TotalTime>
  <ScaleCrop>false</ScaleCrop>
  <LinksUpToDate>false</LinksUpToDate>
  <CharactersWithSpaces>5508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2022-08-15T09:38:00Z</dcterms:created>
  <dc:creator>Kingsoft-PDF</dc:creator>
  <cp:keywords>62f9a37b3ff9110015708f10</cp:keywords>
  <cp:lastModifiedBy>九曜当空</cp:lastModifiedBy>
  <dcterms:modified xsi:type="dcterms:W3CDTF">2022-08-15T01:38:52Z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2022-08-15T09:38:21Z</vt:filetime>
  </property>
  <property fmtid="{D5CDD505-2E9C-101B-9397-08002B2CF9AE}" pid="4" name="KSOProductBuildVer">
    <vt:lpwstr>2052-11.1.0.12302</vt:lpwstr>
  </property>
  <property fmtid="{D5CDD505-2E9C-101B-9397-08002B2CF9AE}" pid="5" name="ICV">
    <vt:lpwstr>942FB5632BF14538B2B8AAD4A9F5C0BF</vt:lpwstr>
  </property>
</Properties>
</file>