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ind w:firstLine="0" w:firstLineChars="0"/>
        <w:jc w:val="center"/>
        <w:rPr>
          <w:color w:val="000000" w:themeColor="text1"/>
          <w14:textFill>
            <w14:solidFill>
              <w14:schemeClr w14:val="tx1"/>
            </w14:solidFill>
          </w14:textFill>
        </w:rPr>
      </w:pPr>
    </w:p>
    <w:p>
      <w:pPr>
        <w:spacing w:line="240" w:lineRule="auto"/>
        <w:ind w:firstLine="0" w:firstLineChars="0"/>
        <w:jc w:val="center"/>
        <w:rPr>
          <w:color w:val="FF0000"/>
        </w:rPr>
      </w:pPr>
      <w:r>
        <w:rPr>
          <w:color w:val="000000" w:themeColor="text1"/>
          <w14:textFill>
            <w14:solidFill>
              <w14:schemeClr w14:val="tx1"/>
            </w14:solidFill>
          </w14:textFill>
        </w:rPr>
        <w:pict>
          <v:shape id="_x0000_i1025" o:spt="136" alt="合肥市瑶海区人民政府文件" type="#_x0000_t136" style="height:87.05pt;width:393.8pt;" fillcolor="#FF0000" filled="t" stroked="t" coordsize="21600,21600">
            <v:path/>
            <v:fill on="t" focussize="0,0"/>
            <v:stroke color="#FF0000"/>
            <v:imagedata o:title=""/>
            <o:lock v:ext="edit"/>
            <v:textpath on="t" fitshape="t" fitpath="t" trim="t" xscale="f" string="合肥市瑶海区人民政府办公室文件" style="font-family:方正小标宋简体;font-size:54pt;v-text-align:center;"/>
            <w10:wrap type="none"/>
            <w10:anchorlock/>
          </v:shape>
        </w:pict>
      </w:r>
    </w:p>
    <w:p>
      <w:pPr>
        <w:spacing w:line="320" w:lineRule="exact"/>
        <w:ind w:firstLine="0" w:firstLineChars="0"/>
        <w:jc w:val="center"/>
        <w:rPr>
          <w:color w:val="FF0000"/>
        </w:rPr>
      </w:pPr>
    </w:p>
    <w:p>
      <w:pPr>
        <w:spacing w:line="320" w:lineRule="exact"/>
        <w:ind w:firstLine="0" w:firstLineChars="0"/>
        <w:jc w:val="center"/>
        <w:rPr>
          <w:color w:val="FF0000"/>
        </w:rPr>
      </w:pPr>
    </w:p>
    <w:p>
      <w:pPr>
        <w:spacing w:line="320" w:lineRule="exact"/>
        <w:ind w:firstLine="0" w:firstLineChars="0"/>
        <w:jc w:val="center"/>
        <w:rPr>
          <w:color w:val="FF0000"/>
        </w:rPr>
      </w:pPr>
    </w:p>
    <w:p>
      <w:pPr>
        <w:spacing w:line="320" w:lineRule="exact"/>
        <w:ind w:firstLine="0" w:firstLineChars="0"/>
        <w:jc w:val="center"/>
        <w:rPr>
          <w:color w:val="FF0000"/>
        </w:rPr>
      </w:pPr>
    </w:p>
    <w:p>
      <w:pPr>
        <w:spacing w:line="320" w:lineRule="exact"/>
        <w:ind w:firstLine="0" w:firstLineChars="0"/>
        <w:jc w:val="center"/>
      </w:pPr>
      <w:r>
        <w:rPr>
          <w:rFonts w:hint="eastAsia"/>
        </w:rPr>
        <w:t>瑶政办〔20</w:t>
      </w:r>
      <w:r>
        <w:rPr>
          <w:rFonts w:hint="eastAsia"/>
          <w:lang w:val="en-US" w:eastAsia="zh-CN"/>
        </w:rPr>
        <w:t>22</w:t>
      </w:r>
      <w:r>
        <w:rPr>
          <w:rFonts w:hint="eastAsia"/>
        </w:rPr>
        <w:t>〕</w:t>
      </w:r>
      <w:r>
        <w:rPr>
          <w:rFonts w:hint="eastAsia"/>
          <w:lang w:val="en-US" w:eastAsia="zh-CN"/>
        </w:rPr>
        <w:t>19</w:t>
      </w:r>
      <w:r>
        <w:rPr>
          <w:rFonts w:hint="eastAsia"/>
        </w:rPr>
        <w:t>号</w:t>
      </w:r>
    </w:p>
    <w:p>
      <w:pPr>
        <w:spacing w:line="320" w:lineRule="exact"/>
        <w:ind w:firstLine="0" w:firstLineChars="0"/>
        <w:jc w:val="center"/>
        <w:rPr>
          <w:color w:val="FF0000"/>
        </w:rPr>
      </w:pPr>
      <w: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173355</wp:posOffset>
                </wp:positionV>
                <wp:extent cx="5615940" cy="0"/>
                <wp:effectExtent l="0" t="19050" r="3810" b="190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16053" cy="0"/>
                        </a:xfrm>
                        <a:prstGeom prst="straightConnector1">
                          <a:avLst/>
                        </a:prstGeom>
                        <a:noFill/>
                        <a:ln w="38100">
                          <a:solidFill>
                            <a:srgbClr val="FF0000"/>
                          </a:solidFill>
                          <a:round/>
                        </a:ln>
                      </wps:spPr>
                      <wps:bodyPr/>
                    </wps:wsp>
                  </a:graphicData>
                </a:graphic>
              </wp:anchor>
            </w:drawing>
          </mc:Choice>
          <mc:Fallback>
            <w:pict>
              <v:shape id="_x0000_s1026" o:spid="_x0000_s1026" o:spt="32" type="#_x0000_t32" style="position:absolute;left:0pt;margin-left:0.65pt;margin-top:13.65pt;height:0pt;width:442.2pt;z-index:251660288;mso-width-relative:page;mso-height-relative:page;" filled="f" stroked="t" coordsize="21600,21600" o:gfxdata="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UrCrtYAAAAHAQAADwAAAAAAAAABACAAAAAiAAAAZHJzL2Rvd25yZXYueG1sUEsB&#10;AhQAFAAAAAgAh07iQFWqoJj3AQAAvwMAAA4AAAAAAAAAAQAgAAAAJQEAAGRycy9lMm9Eb2MueG1s&#10;UEsFBgAAAAAGAAYAWQEAAI4FAAAAAA==&#10;">
                <v:fill on="f" focussize="0,0"/>
                <v:stroke weight="3pt" color="#FF0000" joinstyle="round"/>
                <v:imagedata o:title=""/>
                <o:lock v:ext="edit" aspectratio="f"/>
              </v:shape>
            </w:pict>
          </mc:Fallback>
        </mc:AlternateContent>
      </w:r>
    </w:p>
    <w:p>
      <w:pPr>
        <w:spacing w:line="320" w:lineRule="exact"/>
        <w:ind w:firstLine="0" w:firstLineChars="0"/>
        <w:jc w:val="center"/>
        <w:rPr>
          <w:color w:val="FF0000"/>
        </w:rPr>
      </w:pPr>
    </w:p>
    <w:p>
      <w:pPr>
        <w:spacing w:line="240" w:lineRule="exact"/>
        <w:ind w:firstLine="0" w:firstLineChars="0"/>
        <w:jc w:val="cente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rPr>
        <w:t>合肥市</w:t>
      </w:r>
      <w:r>
        <w:rPr>
          <w:rFonts w:hint="eastAsia" w:ascii="方正小标宋简体" w:hAnsi="方正小标宋简体" w:eastAsia="方正小标宋简体" w:cs="方正小标宋简体"/>
          <w:spacing w:val="-6"/>
          <w:sz w:val="44"/>
          <w:szCs w:val="44"/>
          <w:lang w:eastAsia="zh-CN"/>
        </w:rPr>
        <w:t>瑶海区</w:t>
      </w:r>
      <w:r>
        <w:rPr>
          <w:rFonts w:hint="eastAsia" w:ascii="方正小标宋简体" w:hAnsi="方正小标宋简体" w:eastAsia="方正小标宋简体" w:cs="方正小标宋简体"/>
          <w:spacing w:val="-6"/>
          <w:sz w:val="44"/>
          <w:szCs w:val="44"/>
        </w:rPr>
        <w:t>人民政府办公室关于印发</w:t>
      </w:r>
      <w:r>
        <w:rPr>
          <w:rFonts w:hint="eastAsia" w:ascii="方正小标宋简体" w:hAnsi="方正小标宋简体" w:eastAsia="方正小标宋简体" w:cs="方正小标宋简体"/>
          <w:spacing w:val="-6"/>
          <w:sz w:val="44"/>
          <w:szCs w:val="44"/>
          <w:lang w:eastAsia="zh-CN"/>
        </w:rPr>
        <w:t>《瑶海区“十四五”大健康产业和卫生健康事业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发展规划</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合肥东部新中心建设管理办公室，各镇街开发区、区直各单位</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驻区有关单位: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瑶海区“十四五”大健康产业和卫生健康事业发展规划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已经</w:t>
      </w:r>
      <w:r>
        <w:rPr>
          <w:rFonts w:hint="default" w:ascii="Times New Roman" w:hAnsi="Times New Roman" w:eastAsia="仿宋_GB2312" w:cs="Times New Roman"/>
          <w:sz w:val="32"/>
          <w:szCs w:val="32"/>
          <w:lang w:val="en-US" w:eastAsia="zh-CN"/>
        </w:rPr>
        <w:t>2022年区政府第</w:t>
      </w:r>
      <w:r>
        <w:rPr>
          <w:rFonts w:hint="eastAsia" w:ascii="Times New Roman" w:hAnsi="Times New Roman" w:cs="Times New Roman"/>
          <w:sz w:val="32"/>
          <w:szCs w:val="32"/>
          <w:lang w:val="en-US" w:eastAsia="zh-CN"/>
        </w:rPr>
        <w:t>22</w:t>
      </w:r>
      <w:r>
        <w:rPr>
          <w:rFonts w:hint="default" w:ascii="Times New Roman" w:hAnsi="Times New Roman" w:eastAsia="仿宋_GB2312" w:cs="Times New Roman"/>
          <w:sz w:val="32"/>
          <w:szCs w:val="32"/>
          <w:lang w:val="en-US" w:eastAsia="zh-CN"/>
        </w:rPr>
        <w:t>次常务会议审议通过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sz w:val="30"/>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pPr>
      <w:r>
        <w:rPr>
          <w:rFonts w:hint="eastAsia"/>
        </w:rPr>
        <w:t>合肥市瑶海区人民政府办公室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left"/>
        <w:textAlignment w:val="auto"/>
        <w:rPr>
          <w:rFonts w:hint="eastAsia"/>
        </w:rPr>
      </w:pPr>
      <w:r>
        <w:rPr>
          <w:rFonts w:hint="eastAsia"/>
        </w:rPr>
        <w:t>20</w:t>
      </w:r>
      <w:r>
        <w:rPr>
          <w:rFonts w:hint="eastAsia"/>
          <w:lang w:val="en-US" w:eastAsia="zh-CN"/>
        </w:rPr>
        <w:t>22</w:t>
      </w:r>
      <w:r>
        <w:rPr>
          <w:rFonts w:hint="eastAsia"/>
        </w:rPr>
        <w:t>年</w:t>
      </w:r>
      <w:r>
        <w:rPr>
          <w:rFonts w:hint="eastAsia"/>
          <w:lang w:val="en-US" w:eastAsia="zh-CN"/>
        </w:rPr>
        <w:t>12</w:t>
      </w:r>
      <w:r>
        <w:rPr>
          <w:rFonts w:hint="eastAsia"/>
        </w:rPr>
        <w:t>月</w:t>
      </w:r>
      <w:r>
        <w:rPr>
          <w:rFonts w:hint="eastAsia"/>
          <w:lang w:val="en-US" w:eastAsia="zh-CN"/>
        </w:rPr>
        <w:t>8</w:t>
      </w:r>
      <w:r>
        <w:rPr>
          <w:rFonts w:hint="eastAsia"/>
        </w:rPr>
        <w:t>日</w:t>
      </w:r>
    </w:p>
    <w:p>
      <w:pPr>
        <w:bidi w:val="0"/>
        <w:rPr>
          <w:rFonts w:hint="eastAsia"/>
        </w:rPr>
      </w:pPr>
    </w:p>
    <w:p>
      <w:pPr>
        <w:jc w:val="center"/>
        <w:rPr>
          <w:rFonts w:hint="eastAsia" w:ascii="黑体" w:hAnsi="黑体" w:eastAsia="黑体" w:cs="宋体"/>
          <w:bCs/>
          <w:sz w:val="48"/>
          <w:szCs w:val="48"/>
          <w:lang w:eastAsia="zh-CN"/>
        </w:rPr>
        <w:sectPr>
          <w:footerReference r:id="rId5" w:type="default"/>
          <w:pgSz w:w="11906" w:h="16838"/>
          <w:pgMar w:top="2098" w:right="1474" w:bottom="1984" w:left="1587" w:header="851" w:footer="992" w:gutter="0"/>
          <w:pgNumType w:fmt="numberInDash"/>
          <w:cols w:space="425" w:num="1"/>
          <w:docGrid w:type="lines" w:linePitch="312" w:charSpace="0"/>
        </w:sectPr>
      </w:pPr>
    </w:p>
    <w:p>
      <w:pPr>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瑶海区</w:t>
      </w:r>
      <w:r>
        <w:rPr>
          <w:rFonts w:hint="eastAsia" w:ascii="方正小标宋简体" w:hAnsi="方正小标宋简体" w:eastAsia="方正小标宋简体" w:cs="方正小标宋简体"/>
          <w:bCs/>
          <w:sz w:val="44"/>
          <w:szCs w:val="44"/>
        </w:rPr>
        <w:t>“十四五”</w:t>
      </w:r>
      <w:r>
        <w:rPr>
          <w:rFonts w:hint="eastAsia" w:ascii="方正小标宋简体" w:hAnsi="方正小标宋简体" w:eastAsia="方正小标宋简体" w:cs="方正小标宋简体"/>
          <w:bCs/>
          <w:sz w:val="44"/>
          <w:szCs w:val="44"/>
          <w:lang w:eastAsia="zh-CN"/>
        </w:rPr>
        <w:t>大健康产业和</w:t>
      </w:r>
    </w:p>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卫生健康事业发展规划</w:t>
      </w:r>
    </w:p>
    <w:p>
      <w:pPr>
        <w:pStyle w:val="10"/>
        <w:rPr>
          <w:rFonts w:hint="eastAsia"/>
        </w:rPr>
      </w:pPr>
    </w:p>
    <w:p>
      <w:pPr>
        <w:pStyle w:val="10"/>
        <w:jc w:val="center"/>
        <w:rPr>
          <w:rFonts w:hint="eastAsia" w:ascii="楷体_GB2312" w:hAnsi="楷体_GB2312" w:eastAsia="楷体_GB2312" w:cs="楷体_GB2312"/>
          <w:b/>
          <w:bCs w:val="0"/>
          <w:color w:val="auto"/>
          <w:w w:val="80"/>
          <w:kern w:val="0"/>
          <w:sz w:val="36"/>
          <w:szCs w:val="36"/>
          <w:lang w:val="en-US" w:eastAsia="zh-CN" w:bidi="ar-SA"/>
        </w:rPr>
      </w:pPr>
    </w:p>
    <w:p>
      <w:pPr>
        <w:pStyle w:val="10"/>
        <w:jc w:val="center"/>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（2022年9月16日合肥市瑶海区政府第22次</w:t>
      </w:r>
    </w:p>
    <w:p>
      <w:pPr>
        <w:pStyle w:val="10"/>
        <w:jc w:val="center"/>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常务会议批准）</w:t>
      </w: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both"/>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pStyle w:val="10"/>
        <w:jc w:val="center"/>
        <w:rPr>
          <w:rFonts w:hint="eastAsia" w:ascii="方正楷体_GBK" w:hAnsi="方正楷体_GBK" w:eastAsia="方正楷体_GBK" w:cs="方正楷体_GBK"/>
          <w:b/>
          <w:sz w:val="36"/>
          <w:szCs w:val="36"/>
        </w:rPr>
      </w:pPr>
    </w:p>
    <w:p>
      <w:pPr>
        <w:jc w:val="center"/>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合肥市瑶海区人民政府办公室</w:t>
      </w:r>
    </w:p>
    <w:p>
      <w:pPr>
        <w:jc w:val="center"/>
        <w:rPr>
          <w:rFonts w:hint="default" w:ascii="Times New Roman" w:hAnsi="Times New Roman" w:eastAsia="仿宋_GB2312" w:cs="Times New Roman"/>
          <w:bCs/>
          <w:color w:val="auto"/>
          <w:sz w:val="32"/>
          <w:szCs w:val="32"/>
          <w:shd w:val="clear" w:color="auto" w:fill="FFFFFF"/>
          <w:lang w:eastAsia="zh-CN"/>
        </w:rPr>
        <w:sectPr>
          <w:footerReference r:id="rId6" w:type="default"/>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color w:val="auto"/>
          <w:kern w:val="2"/>
          <w:sz w:val="32"/>
          <w:szCs w:val="32"/>
          <w:lang w:val="en-US" w:eastAsia="zh-CN" w:bidi="ar-SA"/>
        </w:rPr>
        <w:t>2022年</w:t>
      </w: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月</w:t>
      </w:r>
    </w:p>
    <w:sdt>
      <w:sdtPr>
        <w:rPr>
          <w:rFonts w:hint="eastAsia" w:ascii="黑体" w:hAnsi="黑体" w:eastAsia="黑体" w:cs="黑体"/>
          <w:kern w:val="2"/>
          <w:sz w:val="32"/>
          <w:szCs w:val="32"/>
          <w:lang w:val="en-US" w:eastAsia="zh-CN" w:bidi="ar-SA"/>
        </w:rPr>
        <w:id w:val="147451034"/>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录</w:t>
          </w:r>
        </w:p>
        <w:p>
          <w:pPr>
            <w:pStyle w:val="12"/>
            <w:tabs>
              <w:tab w:val="right" w:leader="dot" w:pos="8845"/>
            </w:tabs>
            <w:rPr>
              <w:rFonts w:hint="eastAsia" w:ascii="宋体" w:hAnsi="宋体" w:eastAsia="宋体" w:cs="宋体"/>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\u </w:instrText>
          </w:r>
          <w:r>
            <w:rPr>
              <w:rFonts w:hint="eastAsia" w:ascii="宋体" w:hAnsi="宋体" w:eastAsia="宋体" w:cs="宋体"/>
              <w:sz w:val="32"/>
              <w:szCs w:val="32"/>
            </w:rPr>
            <w:fldChar w:fldCharType="separate"/>
          </w:r>
          <w:r>
            <w:rPr>
              <w:rFonts w:hint="eastAsia" w:ascii="宋体" w:hAnsi="宋体" w:eastAsia="宋体" w:cs="宋体"/>
              <w:szCs w:val="32"/>
            </w:rPr>
            <w:fldChar w:fldCharType="begin"/>
          </w:r>
          <w:r>
            <w:rPr>
              <w:rFonts w:hint="eastAsia" w:ascii="宋体" w:hAnsi="宋体" w:eastAsia="宋体" w:cs="宋体"/>
              <w:szCs w:val="32"/>
            </w:rPr>
            <w:instrText xml:space="preserve"> HYPERLINK \l _Toc12678 </w:instrText>
          </w:r>
          <w:r>
            <w:rPr>
              <w:rFonts w:hint="eastAsia" w:ascii="宋体" w:hAnsi="宋体" w:eastAsia="宋体" w:cs="宋体"/>
              <w:szCs w:val="32"/>
            </w:rPr>
            <w:fldChar w:fldCharType="separate"/>
          </w:r>
          <w:r>
            <w:rPr>
              <w:rFonts w:hint="eastAsia" w:ascii="宋体" w:hAnsi="宋体" w:eastAsia="宋体" w:cs="宋体"/>
              <w:bCs/>
            </w:rPr>
            <w:t xml:space="preserve">第一章 </w:t>
          </w:r>
          <w:r>
            <w:rPr>
              <w:rFonts w:hint="eastAsia" w:ascii="宋体" w:hAnsi="宋体" w:eastAsia="宋体" w:cs="宋体"/>
              <w:bCs/>
              <w:lang w:val="en-US" w:eastAsia="zh-CN"/>
            </w:rPr>
            <w:t>发展</w:t>
          </w:r>
          <w:r>
            <w:rPr>
              <w:rFonts w:hint="eastAsia" w:ascii="宋体" w:hAnsi="宋体" w:eastAsia="宋体" w:cs="宋体"/>
              <w:bCs/>
            </w:rPr>
            <w:t>背景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_Toc12678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_Toc9664 </w:instrText>
          </w:r>
          <w:r>
            <w:rPr>
              <w:rFonts w:hint="eastAsia" w:ascii="宋体" w:hAnsi="宋体" w:eastAsia="宋体" w:cs="宋体"/>
              <w:szCs w:val="32"/>
            </w:rPr>
            <w:fldChar w:fldCharType="separate"/>
          </w:r>
          <w:r>
            <w:rPr>
              <w:rFonts w:hint="eastAsia" w:ascii="宋体" w:hAnsi="宋体" w:eastAsia="宋体" w:cs="宋体"/>
              <w:bCs/>
              <w:szCs w:val="32"/>
            </w:rPr>
            <w:t>一、发展</w:t>
          </w:r>
          <w:r>
            <w:rPr>
              <w:rFonts w:hint="eastAsia" w:ascii="宋体" w:hAnsi="宋体" w:eastAsia="宋体" w:cs="宋体"/>
              <w:bCs/>
              <w:szCs w:val="32"/>
              <w:lang w:val="en-US" w:eastAsia="zh-CN"/>
            </w:rPr>
            <w:t>成效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_Toc9664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_Toc27421 </w:instrText>
          </w:r>
          <w:r>
            <w:rPr>
              <w:rFonts w:hint="eastAsia" w:ascii="宋体" w:hAnsi="宋体" w:eastAsia="宋体" w:cs="宋体"/>
              <w:szCs w:val="32"/>
            </w:rPr>
            <w:fldChar w:fldCharType="separate"/>
          </w:r>
          <w:r>
            <w:rPr>
              <w:rFonts w:hint="eastAsia" w:ascii="宋体" w:hAnsi="宋体" w:eastAsia="宋体" w:cs="宋体"/>
              <w:bCs/>
              <w:szCs w:val="32"/>
            </w:rPr>
            <w:t>二、存在问题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_Toc27421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szCs w:val="32"/>
            </w:rPr>
            <w:fldChar w:fldCharType="end"/>
          </w:r>
        </w:p>
        <w:p>
          <w:pPr>
            <w:pStyle w:val="12"/>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_Toc11738 </w:instrText>
          </w:r>
          <w:r>
            <w:rPr>
              <w:rFonts w:hint="eastAsia" w:ascii="宋体" w:hAnsi="宋体" w:eastAsia="宋体" w:cs="宋体"/>
              <w:szCs w:val="32"/>
            </w:rPr>
            <w:fldChar w:fldCharType="separate"/>
          </w:r>
          <w:r>
            <w:rPr>
              <w:rFonts w:hint="eastAsia" w:ascii="宋体" w:hAnsi="宋体" w:eastAsia="宋体" w:cs="宋体"/>
              <w:bCs/>
              <w:kern w:val="2"/>
              <w:szCs w:val="36"/>
              <w:lang w:val="en-US" w:eastAsia="zh-CN" w:bidi="ar-SA"/>
            </w:rPr>
            <w:t>第二章 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_Toc11738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_Toc599 </w:instrText>
          </w:r>
          <w:r>
            <w:rPr>
              <w:rFonts w:hint="eastAsia" w:ascii="宋体" w:hAnsi="宋体" w:eastAsia="宋体" w:cs="宋体"/>
              <w:szCs w:val="32"/>
            </w:rPr>
            <w:fldChar w:fldCharType="separate"/>
          </w:r>
          <w:r>
            <w:rPr>
              <w:rFonts w:hint="eastAsia" w:ascii="宋体" w:hAnsi="宋体" w:eastAsia="宋体" w:cs="宋体"/>
              <w:bCs/>
              <w:szCs w:val="32"/>
            </w:rPr>
            <w:t>一、指导思想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_Toc28465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二、</w:t>
          </w:r>
          <w:r>
            <w:rPr>
              <w:rFonts w:hint="eastAsia" w:ascii="宋体" w:hAnsi="宋体" w:eastAsia="宋体" w:cs="宋体"/>
              <w:bCs/>
              <w:szCs w:val="32"/>
            </w:rPr>
            <w:t>基本原则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_Toc28465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_Toc26723 </w:instrText>
          </w:r>
          <w:r>
            <w:rPr>
              <w:rFonts w:hint="eastAsia" w:ascii="宋体" w:hAnsi="宋体" w:eastAsia="宋体" w:cs="宋体"/>
              <w:szCs w:val="32"/>
            </w:rPr>
            <w:fldChar w:fldCharType="separate"/>
          </w:r>
          <w:r>
            <w:rPr>
              <w:rFonts w:hint="eastAsia" w:ascii="宋体" w:hAnsi="宋体" w:eastAsia="宋体" w:cs="宋体"/>
              <w:bCs/>
              <w:szCs w:val="32"/>
            </w:rPr>
            <w:t>三、发展目标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_Toc26723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szCs w:val="32"/>
            </w:rPr>
            <w:fldChar w:fldCharType="end"/>
          </w:r>
        </w:p>
        <w:p>
          <w:pPr>
            <w:pStyle w:val="12"/>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_Toc380 </w:instrText>
          </w:r>
          <w:r>
            <w:rPr>
              <w:rFonts w:hint="eastAsia" w:ascii="宋体" w:hAnsi="宋体" w:eastAsia="宋体" w:cs="宋体"/>
              <w:szCs w:val="32"/>
            </w:rPr>
            <w:fldChar w:fldCharType="separate"/>
          </w:r>
          <w:r>
            <w:rPr>
              <w:rFonts w:hint="eastAsia" w:ascii="宋体" w:hAnsi="宋体" w:eastAsia="宋体" w:cs="宋体"/>
              <w:bCs/>
            </w:rPr>
            <w:t>第三章 主要任务及重点项目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_Toc380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_Toc7250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一</w:t>
          </w:r>
          <w:r>
            <w:rPr>
              <w:rFonts w:hint="eastAsia" w:ascii="宋体" w:hAnsi="宋体" w:eastAsia="宋体" w:cs="宋体"/>
              <w:bCs/>
              <w:szCs w:val="32"/>
            </w:rPr>
            <w:t>、推动健康产业</w:t>
          </w:r>
          <w:r>
            <w:rPr>
              <w:rFonts w:hint="eastAsia" w:ascii="宋体" w:hAnsi="宋体" w:eastAsia="宋体" w:cs="宋体"/>
              <w:bCs/>
              <w:szCs w:val="32"/>
              <w:lang w:val="en-US" w:eastAsia="zh-CN"/>
            </w:rPr>
            <w:t>高质量发展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_Toc7250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_Toc31963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二</w:t>
          </w:r>
          <w:r>
            <w:rPr>
              <w:rFonts w:hint="eastAsia" w:ascii="宋体" w:hAnsi="宋体" w:eastAsia="宋体" w:cs="宋体"/>
              <w:bCs/>
              <w:szCs w:val="32"/>
            </w:rPr>
            <w:t>、推进健康</w:t>
          </w:r>
          <w:r>
            <w:rPr>
              <w:rFonts w:hint="eastAsia" w:ascii="宋体" w:hAnsi="宋体" w:eastAsia="宋体" w:cs="宋体"/>
              <w:bCs/>
              <w:szCs w:val="32"/>
              <w:lang w:eastAsia="zh-CN"/>
            </w:rPr>
            <w:t>瑶海</w:t>
          </w:r>
          <w:r>
            <w:rPr>
              <w:rFonts w:hint="eastAsia" w:ascii="宋体" w:hAnsi="宋体" w:eastAsia="宋体" w:cs="宋体"/>
              <w:bCs/>
              <w:szCs w:val="32"/>
            </w:rPr>
            <w:t>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_Toc31963 \h </w:instrText>
          </w:r>
          <w:r>
            <w:rPr>
              <w:rFonts w:hint="eastAsia" w:ascii="宋体" w:hAnsi="宋体" w:eastAsia="宋体" w:cs="宋体"/>
            </w:rPr>
            <w:fldChar w:fldCharType="separate"/>
          </w:r>
          <w:r>
            <w:rPr>
              <w:rFonts w:hint="eastAsia" w:ascii="宋体" w:hAnsi="宋体" w:eastAsia="宋体" w:cs="宋体"/>
            </w:rPr>
            <w:t>- 18 -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_Toc24019 </w:instrText>
          </w:r>
          <w:r>
            <w:rPr>
              <w:rFonts w:hint="eastAsia" w:ascii="宋体" w:hAnsi="宋体" w:eastAsia="宋体" w:cs="宋体"/>
              <w:szCs w:val="32"/>
            </w:rPr>
            <w:fldChar w:fldCharType="separate"/>
          </w:r>
          <w:r>
            <w:rPr>
              <w:rFonts w:hint="eastAsia" w:ascii="宋体" w:hAnsi="宋体" w:eastAsia="宋体" w:cs="宋体"/>
              <w:lang w:val="en-US" w:eastAsia="zh-CN"/>
            </w:rPr>
            <w:t>三</w:t>
          </w:r>
          <w:r>
            <w:rPr>
              <w:rFonts w:hint="eastAsia" w:ascii="宋体" w:hAnsi="宋体" w:eastAsia="宋体" w:cs="宋体"/>
            </w:rPr>
            <w:t>、构建整合型优质医疗服务体系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_Toc24019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_Toc12835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四</w:t>
          </w:r>
          <w:r>
            <w:rPr>
              <w:rFonts w:hint="eastAsia" w:ascii="宋体" w:hAnsi="宋体" w:eastAsia="宋体" w:cs="宋体"/>
              <w:bCs/>
              <w:szCs w:val="32"/>
            </w:rPr>
            <w:t>、优化升级公共卫生服务体系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_Toc12835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_Toc4796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五</w:t>
          </w:r>
          <w:r>
            <w:rPr>
              <w:rFonts w:hint="eastAsia" w:ascii="宋体" w:hAnsi="宋体" w:eastAsia="宋体" w:cs="宋体"/>
              <w:bCs/>
              <w:szCs w:val="32"/>
            </w:rPr>
            <w:t>、推进妇幼保健及新时期</w:t>
          </w:r>
          <w:r>
            <w:rPr>
              <w:rFonts w:hint="eastAsia" w:ascii="宋体" w:hAnsi="宋体" w:eastAsia="宋体" w:cs="宋体"/>
              <w:bCs/>
              <w:szCs w:val="32"/>
              <w:lang w:val="en-US" w:eastAsia="zh-CN"/>
            </w:rPr>
            <w:t>家庭发展能力建设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_Toc4796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_Toc20162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六、提升中医药服务能力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_Toc20162 \h </w:instrText>
          </w:r>
          <w:r>
            <w:rPr>
              <w:rFonts w:hint="eastAsia" w:ascii="宋体" w:hAnsi="宋体" w:eastAsia="宋体" w:cs="宋体"/>
            </w:rPr>
            <w:fldChar w:fldCharType="separate"/>
          </w:r>
          <w:r>
            <w:rPr>
              <w:rFonts w:hint="eastAsia" w:ascii="宋体" w:hAnsi="宋体" w:eastAsia="宋体" w:cs="宋体"/>
            </w:rPr>
            <w:t>- 31 -</w:t>
          </w:r>
          <w:r>
            <w:rPr>
              <w:rFonts w:hint="eastAsia" w:ascii="宋体" w:hAnsi="宋体" w:eastAsia="宋体" w:cs="宋体"/>
            </w:rPr>
            <w:fldChar w:fldCharType="end"/>
          </w:r>
          <w:r>
            <w:rPr>
              <w:rFonts w:hint="eastAsia" w:ascii="宋体" w:hAnsi="宋体" w:eastAsia="宋体" w:cs="宋体"/>
              <w:szCs w:val="32"/>
            </w:rPr>
            <w:fldChar w:fldCharType="end"/>
          </w:r>
        </w:p>
        <w:p>
          <w:pPr>
            <w:pStyle w:val="13"/>
            <w:tabs>
              <w:tab w:val="right" w:leader="dot" w:pos="884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_Toc24049 </w:instrText>
          </w:r>
          <w:r>
            <w:rPr>
              <w:rFonts w:hint="eastAsia" w:ascii="宋体" w:hAnsi="宋体" w:eastAsia="宋体" w:cs="宋体"/>
              <w:szCs w:val="32"/>
            </w:rPr>
            <w:fldChar w:fldCharType="separate"/>
          </w:r>
          <w:r>
            <w:rPr>
              <w:rFonts w:hint="eastAsia" w:ascii="宋体" w:hAnsi="宋体" w:eastAsia="宋体" w:cs="宋体"/>
              <w:bCs/>
              <w:szCs w:val="32"/>
              <w:lang w:val="en-US" w:eastAsia="zh-CN"/>
            </w:rPr>
            <w:t>七、强化卫生健康综合监管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_Toc24049 \h </w:instrText>
          </w:r>
          <w:r>
            <w:rPr>
              <w:rFonts w:hint="eastAsia" w:ascii="宋体" w:hAnsi="宋体" w:eastAsia="宋体" w:cs="宋体"/>
            </w:rPr>
            <w:fldChar w:fldCharType="separate"/>
          </w:r>
          <w:r>
            <w:rPr>
              <w:rFonts w:hint="eastAsia" w:ascii="宋体" w:hAnsi="宋体" w:eastAsia="宋体" w:cs="宋体"/>
            </w:rPr>
            <w:t>- 33 -</w:t>
          </w:r>
          <w:r>
            <w:rPr>
              <w:rFonts w:hint="eastAsia" w:ascii="宋体" w:hAnsi="宋体" w:eastAsia="宋体" w:cs="宋体"/>
            </w:rPr>
            <w:fldChar w:fldCharType="end"/>
          </w:r>
          <w:r>
            <w:rPr>
              <w:rFonts w:hint="eastAsia" w:ascii="宋体" w:hAnsi="宋体" w:eastAsia="宋体" w:cs="宋体"/>
              <w:szCs w:val="32"/>
            </w:rPr>
            <w:fldChar w:fldCharType="end"/>
          </w:r>
        </w:p>
        <w:p>
          <w:pPr>
            <w:pStyle w:val="12"/>
            <w:tabs>
              <w:tab w:val="right" w:leader="dot" w:pos="8845"/>
            </w:tabs>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_Toc4238 </w:instrText>
          </w:r>
          <w:r>
            <w:rPr>
              <w:rFonts w:hint="eastAsia" w:ascii="宋体" w:hAnsi="宋体" w:eastAsia="宋体" w:cs="宋体"/>
              <w:szCs w:val="32"/>
            </w:rPr>
            <w:fldChar w:fldCharType="separate"/>
          </w:r>
          <w:r>
            <w:rPr>
              <w:rFonts w:hint="eastAsia" w:ascii="宋体" w:hAnsi="宋体" w:eastAsia="宋体" w:cs="宋体"/>
            </w:rPr>
            <w:t>第四章 保障措施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_Toc4238 \h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r>
            <w:rPr>
              <w:rFonts w:hint="eastAsia" w:ascii="宋体" w:hAnsi="宋体" w:eastAsia="宋体" w:cs="宋体"/>
              <w:szCs w:val="32"/>
            </w:rPr>
            <w:fldChar w:fldCharType="end"/>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28"/>
            </w:rPr>
          </w:pPr>
          <w:r>
            <w:rPr>
              <w:rFonts w:hint="eastAsia" w:ascii="宋体" w:hAnsi="宋体" w:eastAsia="宋体" w:cs="宋体"/>
              <w:szCs w:val="32"/>
            </w:rPr>
            <w:fldChar w:fldCharType="end"/>
          </w:r>
        </w:p>
      </w:sdtContent>
    </w:sdt>
    <w:p>
      <w:pPr>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br w:type="page"/>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33" w:firstLineChars="198"/>
        <w:rPr>
          <w:rFonts w:ascii="仿宋_GB2312" w:eastAsia="仿宋_GB2312"/>
          <w:bCs/>
          <w:color w:val="auto"/>
          <w:sz w:val="32"/>
          <w:szCs w:val="32"/>
        </w:rPr>
      </w:pPr>
      <w:r>
        <w:rPr>
          <w:rFonts w:hint="eastAsia" w:ascii="仿宋_GB2312" w:eastAsia="仿宋_GB2312"/>
          <w:bCs/>
          <w:color w:val="auto"/>
          <w:sz w:val="32"/>
          <w:szCs w:val="32"/>
          <w:shd w:val="clear" w:color="auto" w:fill="FFFFFF"/>
        </w:rPr>
        <w:t>“十四五”</w:t>
      </w:r>
      <w:r>
        <w:rPr>
          <w:rFonts w:hint="eastAsia" w:ascii="仿宋_GB2312" w:eastAsia="仿宋_GB2312"/>
          <w:bCs/>
          <w:color w:val="auto"/>
          <w:sz w:val="32"/>
          <w:szCs w:val="32"/>
        </w:rPr>
        <w:t>时期，</w:t>
      </w:r>
      <w:r>
        <w:rPr>
          <w:rFonts w:hint="eastAsia" w:ascii="仿宋_GB2312" w:eastAsia="仿宋_GB2312"/>
          <w:bCs/>
          <w:color w:val="auto"/>
          <w:sz w:val="32"/>
          <w:szCs w:val="32"/>
          <w:shd w:val="clear" w:color="auto" w:fill="FFFFFF"/>
        </w:rPr>
        <w:t>是全面深化医疗健康事业改革</w:t>
      </w:r>
      <w:r>
        <w:rPr>
          <w:rFonts w:hint="eastAsia" w:ascii="仿宋_GB2312" w:eastAsia="仿宋_GB2312"/>
          <w:bCs/>
          <w:color w:val="auto"/>
          <w:sz w:val="32"/>
          <w:szCs w:val="32"/>
          <w:shd w:val="clear" w:color="auto" w:fill="FFFFFF"/>
          <w:lang w:eastAsia="zh-CN"/>
        </w:rPr>
        <w:t>，</w:t>
      </w:r>
      <w:r>
        <w:rPr>
          <w:rFonts w:hint="eastAsia" w:ascii="仿宋_GB2312" w:eastAsia="仿宋_GB2312"/>
          <w:bCs/>
          <w:color w:val="auto"/>
          <w:sz w:val="32"/>
          <w:szCs w:val="32"/>
        </w:rPr>
        <w:t>优化我区卫生健康事业体系，促进卫生健康事业全面、协调、可持续发展的重要时期。为进一步明确“十四五”时期</w:t>
      </w:r>
      <w:r>
        <w:rPr>
          <w:rFonts w:hint="eastAsia" w:ascii="仿宋_GB2312" w:eastAsia="仿宋_GB2312"/>
          <w:bCs/>
          <w:color w:val="auto"/>
          <w:sz w:val="32"/>
          <w:szCs w:val="32"/>
          <w:lang w:eastAsia="zh-CN"/>
        </w:rPr>
        <w:t>大健康产业和</w:t>
      </w:r>
      <w:r>
        <w:rPr>
          <w:rFonts w:hint="eastAsia" w:ascii="仿宋_GB2312" w:eastAsia="仿宋_GB2312"/>
          <w:bCs/>
          <w:color w:val="auto"/>
          <w:sz w:val="32"/>
          <w:szCs w:val="32"/>
        </w:rPr>
        <w:t>卫生健康事业发展目标、主要任务，落实保障措施，使我区卫生健康事业与国民经济和社会发展同步，</w:t>
      </w:r>
      <w:r>
        <w:rPr>
          <w:rFonts w:hint="eastAsia" w:ascii="仿宋_GB2312" w:eastAsia="仿宋_GB2312"/>
          <w:bCs/>
          <w:color w:val="auto"/>
          <w:sz w:val="32"/>
          <w:szCs w:val="32"/>
          <w:lang w:eastAsia="zh-CN"/>
        </w:rPr>
        <w:t>根据</w:t>
      </w:r>
      <w:r>
        <w:rPr>
          <w:rFonts w:hint="eastAsia" w:ascii="仿宋_GB2312" w:eastAsia="仿宋_GB2312"/>
          <w:bCs/>
          <w:color w:val="auto"/>
          <w:sz w:val="32"/>
          <w:szCs w:val="32"/>
        </w:rPr>
        <w:t>《合肥市瑶海区国民经济和社会发展第十四个五年规划和2035年远景目标纲要》</w:t>
      </w:r>
      <w:r>
        <w:rPr>
          <w:rFonts w:hint="eastAsia" w:ascii="仿宋_GB2312" w:eastAsia="仿宋_GB2312"/>
          <w:bCs/>
          <w:color w:val="auto"/>
          <w:sz w:val="32"/>
          <w:szCs w:val="32"/>
          <w:lang w:val="en-US" w:eastAsia="zh-CN"/>
        </w:rPr>
        <w:t>等文件</w:t>
      </w:r>
      <w:r>
        <w:rPr>
          <w:rFonts w:hint="eastAsia" w:ascii="仿宋_GB2312" w:eastAsia="仿宋_GB2312"/>
          <w:bCs/>
          <w:color w:val="auto"/>
          <w:sz w:val="32"/>
          <w:szCs w:val="32"/>
        </w:rPr>
        <w:t>，制定本规划。</w:t>
      </w: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val="0"/>
        <w:topLinePunct w:val="0"/>
        <w:autoSpaceDE/>
        <w:autoSpaceDN/>
        <w:bidi w:val="0"/>
        <w:adjustRightInd/>
        <w:snapToGrid/>
        <w:spacing w:before="0" w:beforeAutospacing="0" w:after="0" w:afterAutospacing="0" w:line="560" w:lineRule="exact"/>
        <w:ind w:firstLine="0" w:firstLineChars="0"/>
        <w:jc w:val="center"/>
        <w:textAlignment w:val="center"/>
        <w:rPr>
          <w:rFonts w:hint="eastAsia" w:ascii="黑体" w:hAnsi="黑体" w:eastAsia="黑体"/>
          <w:b w:val="0"/>
          <w:bCs/>
          <w:color w:val="auto"/>
          <w:kern w:val="2"/>
          <w:sz w:val="36"/>
          <w:szCs w:val="36"/>
          <w:lang w:val="en-US" w:eastAsia="zh-CN"/>
        </w:rPr>
      </w:pPr>
      <w:bookmarkStart w:id="0" w:name="_Toc12678"/>
      <w:r>
        <w:rPr>
          <w:rFonts w:hint="eastAsia" w:ascii="黑体" w:hAnsi="黑体" w:eastAsia="黑体"/>
          <w:b w:val="0"/>
          <w:bCs/>
          <w:color w:val="auto"/>
          <w:kern w:val="2"/>
          <w:sz w:val="36"/>
          <w:szCs w:val="36"/>
          <w:lang w:val="en-US" w:eastAsia="zh-CN"/>
        </w:rPr>
        <w:t>第一章 发展背景</w:t>
      </w:r>
      <w:bookmarkEnd w:id="0"/>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黑体" w:hAnsi="黑体" w:eastAsia="黑体" w:cstheme="minorBidi"/>
          <w:b w:val="0"/>
          <w:bCs/>
          <w:color w:val="auto"/>
          <w:sz w:val="32"/>
          <w:szCs w:val="32"/>
          <w:lang w:val="en-US" w:eastAsia="zh-CN"/>
        </w:rPr>
      </w:pPr>
      <w:bookmarkStart w:id="1" w:name="_Toc9664"/>
      <w:r>
        <w:rPr>
          <w:rFonts w:hint="eastAsia" w:ascii="黑体" w:hAnsi="黑体" w:eastAsia="黑体" w:cstheme="minorBidi"/>
          <w:b w:val="0"/>
          <w:bCs/>
          <w:color w:val="auto"/>
          <w:sz w:val="32"/>
          <w:szCs w:val="32"/>
        </w:rPr>
        <w:t>一、发展</w:t>
      </w:r>
      <w:r>
        <w:rPr>
          <w:rFonts w:hint="eastAsia" w:ascii="黑体" w:hAnsi="黑体" w:eastAsia="黑体" w:cstheme="minorBidi"/>
          <w:b w:val="0"/>
          <w:bCs/>
          <w:color w:val="auto"/>
          <w:sz w:val="32"/>
          <w:szCs w:val="32"/>
          <w:lang w:val="en-US" w:eastAsia="zh-CN"/>
        </w:rPr>
        <w:t>成效</w:t>
      </w:r>
      <w:bookmarkEnd w:id="1"/>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beforeAutospacing="0" w:afterAutospacing="0" w:line="560" w:lineRule="exact"/>
        <w:ind w:firstLine="633" w:firstLineChars="198"/>
        <w:rPr>
          <w:rFonts w:hint="eastAsia" w:ascii="仿宋_GB2312" w:eastAsia="仿宋_GB2312"/>
          <w:bCs/>
          <w:color w:val="auto"/>
          <w:sz w:val="32"/>
          <w:szCs w:val="32"/>
          <w:shd w:val="clear" w:color="auto" w:fill="FFFFFF"/>
        </w:rPr>
      </w:pPr>
      <w:r>
        <w:rPr>
          <w:rFonts w:hint="eastAsia" w:ascii="仿宋_GB2312" w:eastAsia="仿宋_GB2312"/>
          <w:bCs/>
          <w:color w:val="auto"/>
          <w:sz w:val="32"/>
          <w:szCs w:val="32"/>
          <w:shd w:val="clear" w:color="auto" w:fill="FFFFFF"/>
        </w:rPr>
        <w:t>“十三五”以来，我区坚持把人民健康放在优先发展的战略位置，以维护和增进人民群众健康为宗旨，贯彻新时代卫生与健康工作方针，持续深化医药卫生体制改革,逐步形成以健康为中心的卫生服务体系，基层医改、医疗卫生服务体系及能力建设、计划生育服务管理等重点工作均达到了预期目标，全区居民健康水平显著提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（一）大健康产业格局初步形成，产业集群蓄势待发</w:t>
      </w:r>
    </w:p>
    <w:p>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hAnsiTheme="minorHAnsi" w:cstheme="minorBidi"/>
          <w:bCs/>
          <w:color w:val="auto"/>
          <w:kern w:val="2"/>
          <w:sz w:val="32"/>
          <w:szCs w:val="32"/>
          <w:shd w:val="clear" w:color="auto" w:fill="FFFFFF"/>
          <w:lang w:val="en-US" w:eastAsia="zh-CN" w:bidi="ar-SA"/>
        </w:rPr>
      </w:pPr>
      <w:r>
        <w:rPr>
          <w:rFonts w:hint="eastAsia" w:ascii="仿宋_GB2312" w:eastAsia="仿宋_GB2312" w:hAnsiTheme="minorHAnsi" w:cstheme="minorBidi"/>
          <w:bCs/>
          <w:color w:val="auto"/>
          <w:kern w:val="2"/>
          <w:sz w:val="32"/>
          <w:szCs w:val="32"/>
          <w:shd w:val="clear" w:color="auto" w:fill="FFFFFF"/>
          <w:lang w:val="en-US" w:eastAsia="zh-CN" w:bidi="ar-SA"/>
        </w:rPr>
        <w:t>以健康养老、生物医药、医疗器械为主的大健康产业</w:t>
      </w:r>
      <w:r>
        <w:rPr>
          <w:rFonts w:hint="eastAsia" w:ascii="仿宋_GB2312" w:eastAsia="仿宋_GB2312" w:cstheme="minorBidi"/>
          <w:bCs/>
          <w:color w:val="auto"/>
          <w:kern w:val="2"/>
          <w:sz w:val="32"/>
          <w:szCs w:val="32"/>
          <w:shd w:val="clear" w:color="auto" w:fill="FFFFFF"/>
          <w:lang w:val="en-US" w:eastAsia="zh-CN" w:bidi="ar-SA"/>
        </w:rPr>
        <w:t>格局初步形成</w:t>
      </w:r>
      <w:r>
        <w:rPr>
          <w:rFonts w:hint="eastAsia" w:ascii="仿宋_GB2312" w:eastAsia="仿宋_GB2312" w:hAnsiTheme="minorHAnsi" w:cstheme="minorBidi"/>
          <w:bCs/>
          <w:color w:val="auto"/>
          <w:kern w:val="2"/>
          <w:sz w:val="32"/>
          <w:szCs w:val="32"/>
          <w:shd w:val="clear" w:color="auto" w:fill="FFFFFF"/>
          <w:lang w:val="en-US" w:eastAsia="zh-CN" w:bidi="ar-SA"/>
        </w:rPr>
        <w:t>。引进深圳尚荣医疗集团，投资建设安徽尚荣医疗产业园，正积极打造集研发、生产、办公、展示等于一体的华东地区高端智慧医疗全产业链聚集区，健康盒子、卡迪生物等一批知名企业入驻园区，其中安徽盒子健康获得欧盟CE认证、澳洲TGA认证等20多项国际认证，入选商务部医保商会医用、民用“双白名单”，是安徽唯一一家生产、销售医用N95口罩的企业。安徽比格尼斯医药自主研发的腔镜吻合器等医疗用品达到国内先进水平。狠抓项目建设，谋划和引进了罗欣药业科技产业园、弘帆医药科技园、九久夕阳红健康养老总部等一批大健康重点项目。静安健康产业集团是安徽省唯一的全国养老服务标准化单位、安徽省首批智慧养老示范机构，旗下静安养亲苑，成功入选首批长三角异地养老机构名单。安徽省社家老年服务中心是全省首家省级民办非企业专业化养老服务机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）公共卫生服务全面加强，健康</w:t>
      </w:r>
      <w:r>
        <w:rPr>
          <w:rFonts w:hint="eastAsia" w:ascii="楷体_GB2312" w:hAnsi="楷体_GB2312" w:eastAsia="楷体_GB2312" w:cs="楷体_GB2312"/>
          <w:b/>
          <w:bCs/>
          <w:color w:val="auto"/>
          <w:sz w:val="32"/>
          <w:szCs w:val="32"/>
          <w:lang w:eastAsia="zh-CN"/>
        </w:rPr>
        <w:t>瑶海</w:t>
      </w:r>
      <w:r>
        <w:rPr>
          <w:rFonts w:hint="eastAsia" w:ascii="楷体_GB2312" w:hAnsi="楷体_GB2312" w:eastAsia="楷体_GB2312" w:cs="楷体_GB2312"/>
          <w:b/>
          <w:bCs/>
          <w:color w:val="auto"/>
          <w:sz w:val="32"/>
          <w:szCs w:val="32"/>
        </w:rPr>
        <w:t>建设扎实推进</w:t>
      </w:r>
    </w:p>
    <w:p>
      <w:pPr>
        <w:pStyle w:val="26"/>
        <w:keepNext w:val="0"/>
        <w:keepLines w:val="0"/>
        <w:pageBreakBefore w:val="0"/>
        <w:kinsoku/>
        <w:wordWrap/>
        <w:topLinePunct w:val="0"/>
        <w:autoSpaceDE/>
        <w:bidi w:val="0"/>
        <w:spacing w:line="560" w:lineRule="exact"/>
        <w:rPr>
          <w:rFonts w:hint="eastAsia"/>
          <w:color w:val="auto"/>
        </w:rPr>
      </w:pPr>
      <w:r>
        <w:rPr>
          <w:rFonts w:hint="eastAsia"/>
          <w:b/>
          <w:bCs/>
          <w:color w:val="auto"/>
        </w:rPr>
        <w:t>居民健康水平持续提升。</w:t>
      </w:r>
      <w:r>
        <w:rPr>
          <w:rFonts w:hint="eastAsia" w:ascii="仿宋_GB2312" w:eastAsia="仿宋_GB2312" w:hAnsiTheme="minorHAnsi" w:cstheme="minorBidi"/>
          <w:bCs/>
          <w:color w:val="auto"/>
          <w:kern w:val="2"/>
          <w:sz w:val="32"/>
          <w:szCs w:val="32"/>
          <w:shd w:val="clear" w:color="auto" w:fill="FFFFFF"/>
          <w:lang w:val="en-US" w:eastAsia="zh-CN" w:bidi="ar-SA"/>
        </w:rPr>
        <w:t>“十三五”期间，瑶海区进一步完善了公共卫生服务体系和监测网络，扩大妇幼公共卫生项目覆盖范围，推动公共卫生服务提质增效升级，全方位全周期维护和保障居民健康。截至2020年，瑶海区婴儿死亡率由2015年的3.28‰下降至2.65‰，5岁以下儿童死亡率降至3.53‰，孕产妇死亡率为0。居民健康素养水平由2015年的10.2%上升到2020年的41.5%，居民健康水平持续向好发展。</w:t>
      </w:r>
    </w:p>
    <w:p>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hAnsiTheme="minorHAnsi" w:cstheme="minorBidi"/>
          <w:b/>
          <w:bCs/>
          <w:color w:val="auto"/>
          <w:kern w:val="2"/>
          <w:sz w:val="32"/>
          <w:szCs w:val="32"/>
          <w:lang w:val="en-US" w:eastAsia="zh-CN" w:bidi="ar-SA"/>
        </w:rPr>
        <w:t>基本公共卫生服务逐步实现均等化。</w:t>
      </w:r>
      <w:r>
        <w:rPr>
          <w:rFonts w:hint="eastAsia" w:ascii="仿宋_GB2312" w:eastAsia="仿宋_GB2312" w:hAnsiTheme="minorHAnsi" w:cstheme="minorBidi"/>
          <w:bCs/>
          <w:color w:val="auto"/>
          <w:kern w:val="2"/>
          <w:sz w:val="32"/>
          <w:szCs w:val="32"/>
          <w:shd w:val="clear" w:color="auto" w:fill="FFFFFF"/>
          <w:lang w:val="en-US" w:eastAsia="zh-CN" w:bidi="ar-SA"/>
        </w:rPr>
        <w:t>全面加强了重点区域、重点疾病、重点人群疾病防治和健康管理，建立全方位关怀计划生育特殊困难家庭帮扶体系，动员各方力量预防儿童青少年意外伤害。建立了完善的传染病防控体系，重点传染病监测到位。目前，儿童预防接种建证率100%，接种率达95%，居民健康档案建档率92.04%，高血压患者规范管理率61%。全区共组建84个家庭医生团队，签约居民27.8万人，签约率37.35%，免费优质的基本公共卫生服务覆盖范围进一步扩大，逐步实现均等化。</w:t>
      </w:r>
    </w:p>
    <w:p>
      <w:pPr>
        <w:pStyle w:val="26"/>
        <w:keepNext w:val="0"/>
        <w:keepLines w:val="0"/>
        <w:pageBreakBefore w:val="0"/>
        <w:kinsoku/>
        <w:wordWrap/>
        <w:topLinePunct w:val="0"/>
        <w:autoSpaceDE/>
        <w:bidi w:val="0"/>
        <w:spacing w:line="560" w:lineRule="exact"/>
        <w:rPr>
          <w:rFonts w:hint="eastAsia"/>
          <w:color w:val="auto"/>
        </w:rPr>
      </w:pPr>
      <w:r>
        <w:rPr>
          <w:rFonts w:hint="eastAsia"/>
          <w:b/>
          <w:bCs/>
          <w:color w:val="auto"/>
          <w:lang w:eastAsia="zh-CN"/>
        </w:rPr>
        <w:t>三大</w:t>
      </w:r>
      <w:r>
        <w:rPr>
          <w:rFonts w:hint="eastAsia"/>
          <w:b/>
          <w:bCs/>
          <w:color w:val="auto"/>
        </w:rPr>
        <w:t>融合服务模式创新成效突出。</w:t>
      </w:r>
      <w:r>
        <w:rPr>
          <w:rFonts w:hint="eastAsia" w:ascii="仿宋_GB2312" w:eastAsia="仿宋_GB2312" w:hAnsiTheme="minorHAnsi" w:cstheme="minorBidi"/>
          <w:bCs/>
          <w:color w:val="auto"/>
          <w:kern w:val="2"/>
          <w:sz w:val="32"/>
          <w:szCs w:val="32"/>
          <w:shd w:val="clear" w:color="auto" w:fill="FFFFFF"/>
          <w:lang w:val="en-US" w:eastAsia="zh-CN" w:bidi="ar-SA"/>
        </w:rPr>
        <w:t>开展教卫融合，推动优秀全科医生进校园，普及健康保健知识，为学生提供口腔健康检查和免费窝沟封闭，有效提升了校园卫生建设水平，保障学生健康；医卫融合依托目前的基层医疗机构建设体系</w:t>
      </w:r>
      <w:r>
        <w:rPr>
          <w:rFonts w:hint="eastAsia" w:cstheme="minorBidi"/>
          <w:bCs/>
          <w:color w:val="auto"/>
          <w:kern w:val="2"/>
          <w:sz w:val="32"/>
          <w:szCs w:val="32"/>
          <w:shd w:val="clear" w:color="auto" w:fill="FFFFFF"/>
          <w:lang w:val="en-US" w:eastAsia="zh-CN" w:bidi="ar-SA"/>
        </w:rPr>
        <w:t>，</w:t>
      </w:r>
      <w:r>
        <w:rPr>
          <w:rFonts w:hint="eastAsia" w:ascii="仿宋_GB2312" w:eastAsia="仿宋_GB2312" w:hAnsiTheme="minorHAnsi" w:cstheme="minorBidi"/>
          <w:bCs/>
          <w:color w:val="auto"/>
          <w:kern w:val="2"/>
          <w:sz w:val="32"/>
          <w:szCs w:val="32"/>
          <w:shd w:val="clear" w:color="auto" w:fill="FFFFFF"/>
          <w:lang w:val="en-US" w:eastAsia="zh-CN" w:bidi="ar-SA"/>
        </w:rPr>
        <w:t>整合三家公共卫生服务机构技术力量，以社区网格化管理为支撑，在突发公共卫生事件联防联控、居民健康状况动态管理、医疗卫生服务均等化方面发挥积极作用。常态化开展健康巡讲、义诊进社区进企业等活动，普及健康知识和防病防疫理念，将慢性疾病防控关口前移，建立慢病“预防-筛查-诊断-治疗-转诊-随访-康复-护理-自我管理”全链条医防融合服务模式，构建完善的医防融合体系。2017年12月成功创建“省级慢性病综合防控示范区”。整合资源创新健康养老模式，逐步打通健康养老的最后一公里，医养融合得到充分肯定。</w:t>
      </w:r>
    </w:p>
    <w:p>
      <w:pPr>
        <w:pStyle w:val="26"/>
        <w:keepNext w:val="0"/>
        <w:keepLines w:val="0"/>
        <w:pageBreakBefore w:val="0"/>
        <w:kinsoku/>
        <w:wordWrap/>
        <w:topLinePunct w:val="0"/>
        <w:autoSpaceDE/>
        <w:bidi w:val="0"/>
        <w:spacing w:line="560" w:lineRule="exact"/>
        <w:rPr>
          <w:rFonts w:hint="eastAsia" w:hAnsi="仿宋_GB2312" w:cs="仿宋_GB2312"/>
          <w:bCs/>
          <w:color w:val="auto"/>
        </w:rPr>
      </w:pPr>
      <w:r>
        <w:rPr>
          <w:rFonts w:hint="eastAsia"/>
          <w:b/>
          <w:bCs/>
          <w:color w:val="auto"/>
        </w:rPr>
        <w:t>爱国卫生运动成效显著。</w:t>
      </w:r>
      <w:r>
        <w:rPr>
          <w:rFonts w:hint="eastAsia" w:ascii="仿宋_GB2312" w:eastAsia="仿宋_GB2312" w:hAnsiTheme="minorHAnsi" w:cstheme="minorBidi"/>
          <w:bCs/>
          <w:color w:val="auto"/>
          <w:kern w:val="2"/>
          <w:sz w:val="32"/>
          <w:szCs w:val="32"/>
          <w:shd w:val="clear" w:color="auto" w:fill="FFFFFF"/>
          <w:lang w:val="en-US" w:eastAsia="zh-CN" w:bidi="ar-SA"/>
        </w:rPr>
        <w:t>全区上下齐动员，各职能部门通力协作，助力全区环境改善。推行条块结合，市容环境卫生、病媒生物消杀领域以街道为单位实行片区划分管理，提升政府城市治理效能。</w:t>
      </w:r>
      <w:r>
        <w:rPr>
          <w:rFonts w:hint="eastAsia" w:cstheme="minorBidi"/>
          <w:bCs/>
          <w:strike w:val="0"/>
          <w:dstrike w:val="0"/>
          <w:color w:val="auto"/>
          <w:kern w:val="2"/>
          <w:sz w:val="32"/>
          <w:szCs w:val="32"/>
          <w:shd w:val="clear" w:color="auto" w:fill="FFFFFF"/>
          <w:lang w:val="en-US" w:eastAsia="zh-CN" w:bidi="ar-SA"/>
        </w:rPr>
        <w:t>结合</w:t>
      </w:r>
      <w:r>
        <w:rPr>
          <w:rFonts w:hint="eastAsia" w:ascii="仿宋_GB2312" w:eastAsia="仿宋_GB2312" w:hAnsiTheme="minorHAnsi" w:cstheme="minorBidi"/>
          <w:bCs/>
          <w:strike w:val="0"/>
          <w:dstrike w:val="0"/>
          <w:color w:val="auto"/>
          <w:kern w:val="2"/>
          <w:sz w:val="32"/>
          <w:szCs w:val="32"/>
          <w:shd w:val="clear" w:color="auto" w:fill="FFFFFF"/>
          <w:lang w:val="en-US" w:eastAsia="zh-CN" w:bidi="ar-SA"/>
        </w:rPr>
        <w:t>“党群齐奉献，共建美好家园”</w:t>
      </w:r>
      <w:r>
        <w:rPr>
          <w:rFonts w:hint="eastAsia" w:cstheme="minorBidi"/>
          <w:bCs/>
          <w:strike w:val="0"/>
          <w:dstrike w:val="0"/>
          <w:color w:val="auto"/>
          <w:kern w:val="2"/>
          <w:sz w:val="32"/>
          <w:szCs w:val="32"/>
          <w:shd w:val="clear" w:color="auto" w:fill="FFFFFF"/>
          <w:lang w:val="en-US" w:eastAsia="zh-CN" w:bidi="ar-SA"/>
        </w:rPr>
        <w:t>主题活动，常态化开展</w:t>
      </w:r>
      <w:r>
        <w:rPr>
          <w:rFonts w:hint="eastAsia" w:ascii="仿宋_GB2312" w:eastAsia="仿宋_GB2312" w:hAnsiTheme="minorHAnsi" w:cstheme="minorBidi"/>
          <w:bCs/>
          <w:strike w:val="0"/>
          <w:dstrike w:val="0"/>
          <w:color w:val="auto"/>
          <w:kern w:val="2"/>
          <w:sz w:val="32"/>
          <w:szCs w:val="32"/>
          <w:shd w:val="clear" w:color="auto" w:fill="FFFFFF"/>
          <w:lang w:val="en-US" w:eastAsia="zh-CN" w:bidi="ar-SA"/>
        </w:rPr>
        <w:t>春季灭鼠</w:t>
      </w:r>
      <w:r>
        <w:rPr>
          <w:rFonts w:hint="eastAsia" w:cstheme="minorBidi"/>
          <w:bCs/>
          <w:strike w:val="0"/>
          <w:dstrike w:val="0"/>
          <w:color w:val="auto"/>
          <w:kern w:val="2"/>
          <w:sz w:val="32"/>
          <w:szCs w:val="32"/>
          <w:shd w:val="clear" w:color="auto" w:fill="FFFFFF"/>
          <w:lang w:val="en-US" w:eastAsia="zh-CN" w:bidi="ar-SA"/>
        </w:rPr>
        <w:t>、夏秋季</w:t>
      </w:r>
      <w:r>
        <w:rPr>
          <w:rFonts w:hint="eastAsia" w:ascii="仿宋_GB2312" w:eastAsia="仿宋_GB2312" w:hAnsiTheme="minorHAnsi" w:cstheme="minorBidi"/>
          <w:bCs/>
          <w:strike w:val="0"/>
          <w:dstrike w:val="0"/>
          <w:color w:val="auto"/>
          <w:kern w:val="2"/>
          <w:sz w:val="32"/>
          <w:szCs w:val="32"/>
          <w:shd w:val="clear" w:color="auto" w:fill="FFFFFF"/>
          <w:lang w:val="en-US" w:eastAsia="zh-CN" w:bidi="ar-SA"/>
        </w:rPr>
        <w:t>灭蚊蝇蟑螂</w:t>
      </w:r>
      <w:r>
        <w:rPr>
          <w:rFonts w:hint="eastAsia" w:cstheme="minorBidi"/>
          <w:bCs/>
          <w:strike w:val="0"/>
          <w:dstrike w:val="0"/>
          <w:color w:val="auto"/>
          <w:kern w:val="2"/>
          <w:sz w:val="32"/>
          <w:szCs w:val="32"/>
          <w:shd w:val="clear" w:color="auto" w:fill="FFFFFF"/>
          <w:lang w:val="en-US" w:eastAsia="zh-CN" w:bidi="ar-SA"/>
        </w:rPr>
        <w:t>等</w:t>
      </w:r>
      <w:r>
        <w:rPr>
          <w:rFonts w:hint="eastAsia" w:ascii="仿宋_GB2312" w:eastAsia="仿宋_GB2312" w:hAnsiTheme="minorHAnsi" w:cstheme="minorBidi"/>
          <w:bCs/>
          <w:strike w:val="0"/>
          <w:dstrike w:val="0"/>
          <w:color w:val="auto"/>
          <w:kern w:val="2"/>
          <w:sz w:val="32"/>
          <w:szCs w:val="32"/>
          <w:shd w:val="clear" w:color="auto" w:fill="FFFFFF"/>
          <w:lang w:val="en-US" w:eastAsia="zh-CN" w:bidi="ar-SA"/>
        </w:rPr>
        <w:t>病媒生物防制活动，降低病媒生物传染病发生流行风险</w:t>
      </w:r>
      <w:r>
        <w:rPr>
          <w:rFonts w:hint="eastAsia" w:cstheme="minorBidi"/>
          <w:bCs/>
          <w:strike w:val="0"/>
          <w:dstrike w:val="0"/>
          <w:color w:val="auto"/>
          <w:kern w:val="2"/>
          <w:sz w:val="32"/>
          <w:szCs w:val="32"/>
          <w:shd w:val="clear" w:color="auto" w:fill="FFFFFF"/>
          <w:lang w:val="en-US" w:eastAsia="zh-CN" w:bidi="ar-SA"/>
        </w:rPr>
        <w:t>。</w:t>
      </w:r>
      <w:r>
        <w:rPr>
          <w:rFonts w:hint="eastAsia" w:ascii="仿宋_GB2312" w:eastAsia="仿宋_GB2312" w:hAnsiTheme="minorHAnsi" w:cstheme="minorBidi"/>
          <w:bCs/>
          <w:color w:val="auto"/>
          <w:kern w:val="2"/>
          <w:sz w:val="32"/>
          <w:szCs w:val="32"/>
          <w:shd w:val="clear" w:color="auto" w:fill="FFFFFF"/>
          <w:lang w:val="en-US" w:eastAsia="zh-CN" w:bidi="ar-SA"/>
        </w:rPr>
        <w:t>大力开展健康教育，健康促进活动，提高人民健康生活水</w:t>
      </w:r>
      <w:r>
        <w:rPr>
          <w:rFonts w:hint="eastAsia" w:cstheme="minorBidi"/>
          <w:bCs/>
          <w:color w:val="auto"/>
          <w:kern w:val="2"/>
          <w:sz w:val="32"/>
          <w:szCs w:val="32"/>
          <w:shd w:val="clear" w:color="auto" w:fill="FFFFFF"/>
          <w:lang w:val="en-US" w:eastAsia="zh-CN" w:bidi="ar-SA"/>
        </w:rPr>
        <w:t>评</w:t>
      </w:r>
      <w:r>
        <w:rPr>
          <w:rFonts w:hint="eastAsia" w:ascii="仿宋_GB2312" w:eastAsia="仿宋_GB2312" w:hAnsiTheme="minorHAnsi" w:cstheme="minorBidi"/>
          <w:bCs/>
          <w:color w:val="auto"/>
          <w:kern w:val="2"/>
          <w:sz w:val="32"/>
          <w:szCs w:val="32"/>
          <w:shd w:val="clear" w:color="auto" w:fill="FFFFFF"/>
          <w:lang w:val="en-US" w:eastAsia="zh-CN" w:bidi="ar-SA"/>
        </w:rPr>
        <w:t>素养。落实医疗系统厕所整治和垃圾分类工作，对设施陈旧、装修简陋、功能缺失的厕所进行提升改造，各医疗卫生机构自评已达到90分以上。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（三）深化医改工作取得显著成果，关口前移落到实处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eastAsia="仿宋_GB2312" w:hAnsiTheme="minorHAnsi" w:cstheme="minorBidi"/>
          <w:b/>
          <w:bCs/>
          <w:color w:val="auto"/>
          <w:kern w:val="2"/>
          <w:sz w:val="32"/>
          <w:szCs w:val="32"/>
          <w:lang w:val="en-US" w:eastAsia="zh-CN" w:bidi="ar-SA"/>
        </w:rPr>
        <w:t>分级诊疗制度渐趋成熟。</w:t>
      </w:r>
      <w:r>
        <w:rPr>
          <w:rFonts w:hint="eastAsia" w:ascii="仿宋_GB2312" w:eastAsia="仿宋_GB2312" w:hAnsiTheme="minorHAnsi" w:cstheme="minorBidi"/>
          <w:bCs/>
          <w:color w:val="auto"/>
          <w:kern w:val="2"/>
          <w:sz w:val="32"/>
          <w:szCs w:val="32"/>
          <w:shd w:val="clear" w:color="auto" w:fill="FFFFFF"/>
          <w:lang w:val="en-US" w:eastAsia="zh-CN" w:bidi="ar-SA"/>
        </w:rPr>
        <w:t>依托市二院医疗资源优势，探索三甲医院带社区卫生服务中心的“1+X”城市紧密型医联体建设新路径，以“四个不变”（法人地位不变、固定资产所有权不变、政府投入不变、社会职责不变）为基础，以“四以”（以问题为导向，以目标为引领，以项目为支撑，以利益为纽带）为指导，得到“四联”（联体、联心、联通、联动）状态，最终实现“四方满意”（居民满意、政府满意、牵头医院满意、基层单位满意）。全省首家城市医联体集团市第二人民医院城市医联体集团瑶海区大兴分院正式挂牌运营，受到居民普遍欢迎。在医联体专科共建帮扶下社区卫生服务中心慢病专科门诊、口腔科、眼耳鼻喉科、介入疼痛科、泌尿外科等科室开诊，无痛分娩、介入疼痛治疗等新技术新项目开展，基层服务能力大大提升，2020年门诊人次较2019年上升15个百分点。5家社区卫生服务中心新开设全科综合病房，解决辖区老年人及慢性病病人就近住院需求，实现住院患者在医联体范围内的双向转诊。截止目前累计上转病</w:t>
      </w:r>
      <w:r>
        <w:rPr>
          <w:rFonts w:hint="eastAsia" w:ascii="仿宋_GB2312" w:eastAsia="仿宋_GB2312" w:cstheme="minorBidi"/>
          <w:bCs/>
          <w:color w:val="auto"/>
          <w:kern w:val="2"/>
          <w:sz w:val="32"/>
          <w:szCs w:val="32"/>
          <w:shd w:val="clear" w:color="auto" w:fill="FFFFFF"/>
          <w:lang w:val="en-US" w:eastAsia="zh-CN" w:bidi="ar-SA"/>
        </w:rPr>
        <w:t>人</w:t>
      </w:r>
      <w:r>
        <w:rPr>
          <w:rFonts w:hint="eastAsia" w:ascii="仿宋_GB2312" w:eastAsia="仿宋_GB2312" w:hAnsiTheme="minorHAnsi" w:cstheme="minorBidi"/>
          <w:bCs/>
          <w:color w:val="auto"/>
          <w:kern w:val="2"/>
          <w:sz w:val="32"/>
          <w:szCs w:val="32"/>
          <w:shd w:val="clear" w:color="auto" w:fill="FFFFFF"/>
          <w:lang w:val="en-US" w:eastAsia="zh-CN" w:bidi="ar-SA"/>
        </w:rPr>
        <w:t>3259人次、下转病人1432人次，到基层坐诊共计4536人次、接诊患者3万余人次，高年资护士下基层186人次，一个科学有序的诊疗秩序逐步建立。</w:t>
      </w:r>
    </w:p>
    <w:p>
      <w:pPr>
        <w:pStyle w:val="26"/>
        <w:keepNext w:val="0"/>
        <w:keepLines w:val="0"/>
        <w:pageBreakBefore w:val="0"/>
        <w:kinsoku/>
        <w:wordWrap/>
        <w:topLinePunct w:val="0"/>
        <w:autoSpaceDE/>
        <w:bidi w:val="0"/>
        <w:spacing w:line="560" w:lineRule="exact"/>
        <w:rPr>
          <w:rFonts w:hint="eastAsia"/>
          <w:b/>
          <w:color w:val="auto"/>
        </w:rPr>
      </w:pPr>
      <w:r>
        <w:rPr>
          <w:rFonts w:hint="eastAsia"/>
          <w:b/>
          <w:color w:val="auto"/>
        </w:rPr>
        <w:t>卫生资源总量稳步增长。</w:t>
      </w:r>
      <w:r>
        <w:rPr>
          <w:rFonts w:hint="eastAsia"/>
          <w:color w:val="auto"/>
        </w:rPr>
        <w:t>“十三五”期间，政府卫生投入不断增加，2019年卫生投入达17348万元，较2016年16028万元相比增长8.24%，年均增长率为2.74%。截至2020年，辖区内共有医疗卫生机构254所，公立医院床位数3102张，较2015年分别新增32家机构和745张床位。2020年全区卫生技术人员共计7952人，其中执业（助理）医师2750人，注册护士4851人，较“十二五”期末分别增长32.53%、15.65%、17.28%，基层卫技人员总数达2782人。每千人口医疗机构床位数为4.45张，每千人口执业（助理）医师数3.95人，每千人口注册护士数6.96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hAnsiTheme="minorHAnsi" w:cstheme="minorBidi"/>
          <w:b/>
          <w:bCs/>
          <w:color w:val="auto"/>
          <w:kern w:val="2"/>
          <w:sz w:val="32"/>
          <w:szCs w:val="32"/>
          <w:lang w:val="en-US" w:eastAsia="zh-CN" w:bidi="ar-SA"/>
        </w:rPr>
        <w:t>医疗技术水平逐步提升。</w:t>
      </w:r>
      <w:r>
        <w:rPr>
          <w:rFonts w:hint="eastAsia" w:ascii="仿宋_GB2312" w:hAnsi="仿宋_GB2312" w:eastAsia="仿宋_GB2312" w:cs="仿宋_GB2312"/>
          <w:color w:val="auto"/>
          <w:sz w:val="32"/>
          <w:szCs w:val="32"/>
          <w:lang w:eastAsia="zh-CN"/>
        </w:rPr>
        <w:t>定期安排医联体中心医护人员进行轮训，并选派业务骨干赴市二院相关科室进修学习。创新专家坐诊“1+1+1”模式，即1小时接诊病人、1小时健康宣教、1小时现场教学，通过“传帮带”切实提升社区全科医生临床技术水平。强化技术指导，定期安排医务、护理、质控等方面的专家对中心进行督查，提高医疗护理质量，构建医联体内同质化服务。2020年，共完成人员进修40余人次，开展技能操作考核20次、各类督查10次，大兴中心、铜陵路中心、七里站中心、城东中心、长淮中心顺利通过省优质服务基层行创建。开展医联体专科共建和科研共享，进一步发挥市二院优势专科的技术优势，提升基层医疗服务能力和科研学术水平，目前已形成城东中心高血压病专科共建，和平路中心消化内科专科共建等7个共建项目，七里站中心与市二院内分泌科联合开展的《社区慢病管理对2型糖尿病患者糖化血红蛋白的影响》科研课题顺利结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）卫生应急工作稳步开展，监督执法能力增强</w:t>
      </w:r>
    </w:p>
    <w:p>
      <w:pPr>
        <w:pStyle w:val="26"/>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b/>
          <w:color w:val="auto"/>
        </w:rPr>
      </w:pPr>
      <w:r>
        <w:rPr>
          <w:rFonts w:hint="eastAsia"/>
          <w:b/>
          <w:color w:val="auto"/>
        </w:rPr>
        <w:t>卫生应急体系与能力建设逐步完善。</w:t>
      </w:r>
      <w:r>
        <w:rPr>
          <w:rFonts w:hint="eastAsia"/>
          <w:color w:val="auto"/>
        </w:rPr>
        <w:t>我区建立和完善了突发公共卫生事件应急预案和应急体系，以及卫生应急队伍的管理、考核和评估制度。“十三五”期间，突发公共卫生事件监测预警和风险评估得到加强，重大传染病联防联控工作机制已基本建立。始终着力强化应急队伍建设，并定期组织开展突发公共卫生事件应急培训和演练，有效提高了突发公共卫生事件和重点传染病防控早期的应急处置能力和水平。积极开展了卫生应急进校园活动，推动卫生应急工作关口前移。</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color w:val="auto"/>
        </w:rPr>
      </w:pPr>
      <w:r>
        <w:rPr>
          <w:rFonts w:hint="eastAsia" w:ascii="仿宋_GB2312" w:eastAsia="仿宋_GB2312" w:hAnsiTheme="minorHAnsi" w:cstheme="minorBidi"/>
          <w:b/>
          <w:color w:val="auto"/>
          <w:kern w:val="2"/>
          <w:sz w:val="32"/>
          <w:szCs w:val="32"/>
          <w:lang w:val="en-US" w:eastAsia="zh-CN" w:bidi="ar-SA"/>
        </w:rPr>
        <w:t>卫生监督执法能力增强。</w:t>
      </w:r>
      <w:r>
        <w:rPr>
          <w:rFonts w:ascii="Times New Roman" w:hAnsi="Times New Roman" w:eastAsia="仿宋_GB2312" w:cs="Times New Roman"/>
          <w:color w:val="auto"/>
          <w:sz w:val="32"/>
          <w:szCs w:val="32"/>
          <w:shd w:val="clear" w:color="auto" w:fill="FFFFFF"/>
        </w:rPr>
        <w:t>坚持政府主导</w:t>
      </w:r>
      <w:r>
        <w:rPr>
          <w:rFonts w:hint="eastAsia"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rPr>
        <w:t>制定出台《</w:t>
      </w:r>
      <w:r>
        <w:rPr>
          <w:rFonts w:hint="eastAsia" w:ascii="Times New Roman" w:hAnsi="Times New Roman" w:eastAsia="仿宋_GB2312" w:cs="Times New Roman"/>
          <w:color w:val="auto"/>
          <w:sz w:val="32"/>
          <w:szCs w:val="32"/>
          <w:lang w:val="en-US" w:eastAsia="zh-CN"/>
        </w:rPr>
        <w:t>瑶海区</w:t>
      </w:r>
      <w:r>
        <w:rPr>
          <w:rFonts w:ascii="Times New Roman" w:hAnsi="Times New Roman" w:eastAsia="仿宋_GB2312" w:cs="Times New Roman"/>
          <w:color w:val="auto"/>
          <w:sz w:val="32"/>
          <w:szCs w:val="32"/>
        </w:rPr>
        <w:t>关于改革完善医疗卫生行业综合监管制度的实施方案》，</w:t>
      </w:r>
      <w:r>
        <w:rPr>
          <w:rFonts w:hint="eastAsia" w:ascii="Times New Roman" w:hAnsi="Times New Roman" w:eastAsia="仿宋_GB2312" w:cs="Times New Roman"/>
          <w:color w:val="auto"/>
          <w:sz w:val="32"/>
          <w:szCs w:val="32"/>
          <w:lang w:val="en-US" w:eastAsia="zh-CN"/>
        </w:rPr>
        <w:t>进一步</w:t>
      </w:r>
      <w:r>
        <w:rPr>
          <w:rFonts w:ascii="Times New Roman" w:hAnsi="Times New Roman" w:eastAsia="仿宋_GB2312" w:cs="Times New Roman"/>
          <w:color w:val="auto"/>
          <w:sz w:val="32"/>
          <w:szCs w:val="32"/>
        </w:rPr>
        <w:t>转变监管理念和方式，明确政府及相关部门的管理权力和职责。</w:t>
      </w:r>
      <w:r>
        <w:rPr>
          <w:rFonts w:hint="eastAsia" w:ascii="Times New Roman" w:hAnsi="Times New Roman" w:eastAsia="仿宋_GB2312" w:cs="Times New Roman"/>
          <w:color w:val="auto"/>
          <w:sz w:val="32"/>
          <w:szCs w:val="32"/>
          <w:lang w:val="en-US" w:eastAsia="zh-CN"/>
        </w:rPr>
        <w:t>各社区卫生服务中心均配有卫生监督协管员，承担辖区疫情防控和卫生监督协管工作。</w:t>
      </w:r>
      <w:r>
        <w:rPr>
          <w:rFonts w:hint="eastAsia" w:ascii="仿宋_GB2312" w:hAnsi="仿宋_GB2312" w:eastAsia="仿宋_GB2312" w:cs="仿宋_GB2312"/>
          <w:b w:val="0"/>
          <w:bCs w:val="0"/>
          <w:color w:val="auto"/>
          <w:kern w:val="2"/>
          <w:sz w:val="32"/>
          <w:szCs w:val="32"/>
          <w:lang w:val="en-US" w:eastAsia="zh-CN" w:bidi="ar-SA"/>
        </w:rPr>
        <w:t>累计办结行政处罚案件286件，罚没款总额164.255万元。</w:t>
      </w:r>
      <w:r>
        <w:rPr>
          <w:rFonts w:hint="eastAsia" w:ascii="仿宋_GB2312" w:hAnsi="仿宋_GB2312" w:eastAsia="仿宋_GB2312" w:cs="仿宋_GB2312"/>
          <w:b w:val="0"/>
          <w:bCs w:val="0"/>
          <w:i w:val="0"/>
          <w:caps w:val="0"/>
          <w:color w:val="auto"/>
          <w:spacing w:val="0"/>
          <w:w w:val="100"/>
          <w:sz w:val="32"/>
          <w:szCs w:val="32"/>
          <w:lang w:val="en-US" w:eastAsia="zh-CN"/>
        </w:rPr>
        <w:t>严肃查处医疗乱象，</w:t>
      </w:r>
      <w:r>
        <w:rPr>
          <w:rFonts w:hint="eastAsia" w:ascii="仿宋_GB2312" w:hAnsi="仿宋_GB2312" w:eastAsia="仿宋_GB2312" w:cs="仿宋_GB2312"/>
          <w:b w:val="0"/>
          <w:i w:val="0"/>
          <w:caps w:val="0"/>
          <w:color w:val="auto"/>
          <w:spacing w:val="0"/>
          <w:w w:val="100"/>
          <w:sz w:val="32"/>
          <w:szCs w:val="32"/>
          <w:lang w:eastAsia="zh-CN"/>
        </w:rPr>
        <w:t>监督检查</w:t>
      </w:r>
      <w:r>
        <w:rPr>
          <w:rFonts w:hint="eastAsia" w:ascii="仿宋_GB2312" w:hAnsi="仿宋_GB2312" w:eastAsia="仿宋_GB2312" w:cs="仿宋_GB2312"/>
          <w:b w:val="0"/>
          <w:i w:val="0"/>
          <w:caps w:val="0"/>
          <w:color w:val="auto"/>
          <w:spacing w:val="0"/>
          <w:w w:val="100"/>
          <w:sz w:val="32"/>
          <w:szCs w:val="32"/>
        </w:rPr>
        <w:t>覆盖率100%</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color w:val="auto"/>
          <w:sz w:val="32"/>
          <w:szCs w:val="32"/>
          <w:lang w:val="en-US" w:eastAsia="zh-CN"/>
        </w:rPr>
        <w:t>严格落实执法公示制度，</w:t>
      </w:r>
      <w:r>
        <w:rPr>
          <w:rFonts w:hint="eastAsia" w:ascii="仿宋_GB2312" w:hAnsi="仿宋_GB2312" w:eastAsia="仿宋_GB2312" w:cs="仿宋_GB2312"/>
          <w:b w:val="0"/>
          <w:i w:val="0"/>
          <w:caps w:val="0"/>
          <w:color w:val="auto"/>
          <w:spacing w:val="0"/>
          <w:w w:val="100"/>
          <w:sz w:val="32"/>
          <w:szCs w:val="32"/>
          <w:lang w:val="en-US" w:eastAsia="zh-CN"/>
        </w:rPr>
        <w:t>受理医疗机构类行政审批事项及服务事项共计1504件，均及时公示。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）卫生信息化建设逐步完善，服务效率有效提高</w:t>
      </w:r>
    </w:p>
    <w:p>
      <w:pPr>
        <w:pStyle w:val="15"/>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color w:val="auto"/>
          <w:sz w:val="32"/>
          <w:szCs w:val="32"/>
        </w:rPr>
        <w:t>开发全流程智能导检系统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儿童免费先心筛查和母婴阻断随访信息系统</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，优化服务流程。</w:t>
      </w:r>
      <w:r>
        <w:rPr>
          <w:rFonts w:hint="eastAsia" w:ascii="仿宋_GB2312" w:hAnsi="仿宋"/>
          <w:bCs/>
          <w:color w:val="auto"/>
          <w:sz w:val="32"/>
          <w:szCs w:val="32"/>
          <w:lang w:val="en-US" w:eastAsia="zh-CN"/>
        </w:rPr>
        <w:t>13</w:t>
      </w:r>
      <w:r>
        <w:rPr>
          <w:rFonts w:hint="eastAsia" w:ascii="仿宋_GB2312" w:hAnsi="仿宋" w:eastAsia="仿宋_GB2312"/>
          <w:bCs/>
          <w:color w:val="auto"/>
          <w:sz w:val="32"/>
          <w:szCs w:val="32"/>
        </w:rPr>
        <w:t>家社区服务中心通过</w:t>
      </w:r>
      <w:r>
        <w:rPr>
          <w:rFonts w:hint="eastAsia" w:ascii="仿宋_GB2312" w:hAnsi="仿宋" w:eastAsia="仿宋_GB2312"/>
          <w:bCs/>
          <w:color w:val="auto"/>
          <w:sz w:val="32"/>
          <w:szCs w:val="32"/>
          <w:lang w:eastAsia="zh-CN"/>
        </w:rPr>
        <w:t>合肥市</w:t>
      </w:r>
      <w:r>
        <w:rPr>
          <w:rFonts w:hint="eastAsia" w:ascii="仿宋_GB2312" w:hAnsi="仿宋" w:eastAsia="仿宋_GB2312"/>
          <w:bCs/>
          <w:color w:val="auto"/>
          <w:sz w:val="32"/>
          <w:szCs w:val="32"/>
        </w:rPr>
        <w:t>儿童及妇女保健门诊规范化建设</w:t>
      </w:r>
      <w:r>
        <w:rPr>
          <w:rFonts w:hint="eastAsia" w:ascii="仿宋_GB2312" w:hAnsi="仿宋" w:eastAsia="仿宋_GB2312"/>
          <w:bCs/>
          <w:color w:val="auto"/>
          <w:sz w:val="32"/>
          <w:szCs w:val="32"/>
          <w:lang w:eastAsia="zh-CN"/>
        </w:rPr>
        <w:t>，区妇幼保健计划生育服务中心获得合肥市婚检规范化建设单位。</w:t>
      </w:r>
      <w:r>
        <w:rPr>
          <w:rFonts w:hint="eastAsia" w:ascii="仿宋_GB2312" w:hAnsi="仿宋_GB2312" w:eastAsia="仿宋_GB2312" w:cs="仿宋_GB2312"/>
          <w:b w:val="0"/>
          <w:bCs w:val="0"/>
          <w:color w:val="auto"/>
          <w:sz w:val="32"/>
          <w:szCs w:val="32"/>
        </w:rPr>
        <w:t>全区共</w:t>
      </w:r>
      <w:r>
        <w:rPr>
          <w:rFonts w:hint="eastAsia" w:ascii="仿宋_GB2312" w:hAnsi="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rPr>
        <w:t>家社区卫生服务中心完成预防接种智慧化门诊建设并投入使用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18家预防接种门诊</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7家产科接种室和狂苗门诊</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区疾控中心完成疫苗全程追溯平台安装，实现疫苗流通全程可追溯。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（六）计划生育工作基础逐步夯实，服务能力显著提升</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right="160" w:rightChars="5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楷体_GB2312" w:eastAsia="仿宋_GB2312" w:cs="楷体_GB2312"/>
          <w:bCs/>
          <w:color w:val="auto"/>
          <w:sz w:val="32"/>
          <w:szCs w:val="32"/>
          <w:lang w:eastAsia="zh-CN"/>
        </w:rPr>
        <w:t>我</w:t>
      </w:r>
      <w:r>
        <w:rPr>
          <w:rFonts w:hint="eastAsia" w:ascii="仿宋_GB2312" w:hAnsi="楷体_GB2312" w:eastAsia="仿宋_GB2312" w:cs="楷体_GB2312"/>
          <w:bCs/>
          <w:color w:val="auto"/>
          <w:sz w:val="32"/>
          <w:szCs w:val="32"/>
        </w:rPr>
        <w:t>区全面落实生育登记服务制度和“一次登记</w:t>
      </w:r>
      <w:r>
        <w:rPr>
          <w:rFonts w:hint="eastAsia" w:ascii="仿宋_GB2312" w:hAnsi="楷体_GB2312" w:eastAsia="仿宋_GB2312" w:cs="楷体_GB2312"/>
          <w:bCs/>
          <w:color w:val="auto"/>
          <w:sz w:val="32"/>
          <w:szCs w:val="32"/>
          <w:lang w:eastAsia="zh-CN"/>
        </w:rPr>
        <w:t>、</w:t>
      </w:r>
      <w:r>
        <w:rPr>
          <w:rFonts w:hint="eastAsia" w:ascii="仿宋_GB2312" w:hAnsi="楷体_GB2312" w:eastAsia="仿宋_GB2312" w:cs="楷体_GB2312"/>
          <w:bCs/>
          <w:color w:val="auto"/>
          <w:sz w:val="32"/>
          <w:szCs w:val="32"/>
        </w:rPr>
        <w:t>全程服务”工作</w:t>
      </w:r>
      <w:r>
        <w:rPr>
          <w:rFonts w:hint="eastAsia" w:ascii="仿宋_GB2312" w:hAnsi="楷体_GB2312" w:eastAsia="仿宋_GB2312" w:cs="楷体_GB2312"/>
          <w:bCs/>
          <w:color w:val="auto"/>
          <w:sz w:val="32"/>
          <w:szCs w:val="32"/>
          <w:lang w:eastAsia="zh-CN"/>
        </w:rPr>
        <w:t>。</w:t>
      </w:r>
      <w:r>
        <w:rPr>
          <w:rFonts w:hint="eastAsia" w:ascii="仿宋_GB2312" w:hAnsi="楷体_GB2312" w:eastAsia="仿宋_GB2312" w:cs="楷体_GB2312"/>
          <w:bCs/>
          <w:color w:val="auto"/>
          <w:sz w:val="32"/>
          <w:szCs w:val="32"/>
        </w:rPr>
        <w:t>依托省级人口信息数据库逐步整合计生人口信息、妇幼保健信息，实现健康信息互通、资源共享。以孕产保健、儿童保健、妇女保健、计生服务为依托，打造以母婴健康为核心的家庭保健服务链条，实现婚、孕、产、保、育一站式服务。以</w:t>
      </w:r>
      <w:r>
        <w:rPr>
          <w:rFonts w:hint="eastAsia" w:ascii="仿宋_GB2312" w:hAnsi="楷体_GB2312" w:eastAsia="仿宋_GB2312" w:cs="楷体_GB2312"/>
          <w:bCs/>
          <w:color w:val="auto"/>
          <w:sz w:val="32"/>
          <w:szCs w:val="32"/>
          <w:lang w:eastAsia="zh-CN"/>
        </w:rPr>
        <w:t>加快</w:t>
      </w:r>
      <w:r>
        <w:rPr>
          <w:rFonts w:hint="eastAsia" w:ascii="仿宋_GB2312" w:hAnsi="楷体_GB2312" w:eastAsia="仿宋_GB2312" w:cs="楷体_GB2312"/>
          <w:bCs/>
          <w:color w:val="auto"/>
          <w:sz w:val="32"/>
          <w:szCs w:val="32"/>
        </w:rPr>
        <w:t>“全面两孩”及</w:t>
      </w:r>
      <w:r>
        <w:rPr>
          <w:rFonts w:hint="eastAsia" w:ascii="仿宋_GB2312" w:hAnsi="楷体_GB2312" w:eastAsia="仿宋_GB2312" w:cs="楷体_GB2312"/>
          <w:bCs/>
          <w:color w:val="auto"/>
          <w:sz w:val="32"/>
          <w:szCs w:val="32"/>
          <w:lang w:eastAsia="zh-CN"/>
        </w:rPr>
        <w:t>相关</w:t>
      </w:r>
      <w:r>
        <w:rPr>
          <w:rFonts w:hint="eastAsia" w:ascii="仿宋_GB2312" w:hAnsi="楷体_GB2312" w:eastAsia="仿宋_GB2312" w:cs="楷体_GB2312"/>
          <w:bCs/>
          <w:color w:val="auto"/>
          <w:sz w:val="32"/>
          <w:szCs w:val="32"/>
        </w:rPr>
        <w:t>配套政策落实为核心，</w:t>
      </w:r>
      <w:r>
        <w:rPr>
          <w:rFonts w:hint="eastAsia" w:ascii="仿宋_GB2312" w:hAnsi="楷体_GB2312" w:eastAsia="仿宋_GB2312" w:cs="楷体_GB2312"/>
          <w:bCs/>
          <w:color w:val="auto"/>
          <w:sz w:val="32"/>
          <w:szCs w:val="32"/>
          <w:lang w:val="en-US" w:eastAsia="zh-CN"/>
        </w:rPr>
        <w:t>推进婴幼儿照护服务和母婴设施建设工作开展</w:t>
      </w:r>
      <w:r>
        <w:rPr>
          <w:rFonts w:hint="eastAsia" w:ascii="仿宋_GB2312" w:hAnsi="楷体_GB2312" w:eastAsia="仿宋_GB2312" w:cs="楷体_GB2312"/>
          <w:bCs/>
          <w:color w:val="auto"/>
          <w:sz w:val="32"/>
          <w:szCs w:val="32"/>
          <w:lang w:eastAsia="zh-CN"/>
        </w:rPr>
        <w:t>，</w:t>
      </w:r>
      <w:r>
        <w:rPr>
          <w:rFonts w:hint="eastAsia" w:ascii="仿宋_GB2312" w:hAnsi="楷体_GB2312" w:eastAsia="仿宋_GB2312" w:cs="楷体_GB2312"/>
          <w:bCs/>
          <w:color w:val="auto"/>
          <w:sz w:val="32"/>
          <w:szCs w:val="32"/>
        </w:rPr>
        <w:t>明光</w:t>
      </w:r>
      <w:r>
        <w:rPr>
          <w:rFonts w:hint="eastAsia" w:ascii="仿宋_GB2312" w:hAnsi="楷体_GB2312" w:eastAsia="仿宋_GB2312" w:cs="楷体_GB2312"/>
          <w:bCs/>
          <w:color w:val="auto"/>
          <w:sz w:val="32"/>
          <w:szCs w:val="32"/>
          <w:lang w:val="en-US" w:eastAsia="zh-CN"/>
        </w:rPr>
        <w:t>路</w:t>
      </w:r>
      <w:r>
        <w:rPr>
          <w:rFonts w:hint="eastAsia" w:ascii="仿宋_GB2312" w:hAnsi="楷体_GB2312" w:eastAsia="仿宋_GB2312" w:cs="楷体_GB2312"/>
          <w:bCs/>
          <w:color w:val="auto"/>
          <w:sz w:val="32"/>
          <w:szCs w:val="32"/>
        </w:rPr>
        <w:t>街道培育的和平盛世幼儿园成功申报全省首批托育示范机构；全区</w:t>
      </w:r>
      <w:r>
        <w:rPr>
          <w:rFonts w:hint="eastAsia" w:ascii="仿宋_GB2312" w:hAnsi="楷体_GB2312" w:eastAsia="仿宋_GB2312" w:cs="楷体_GB2312"/>
          <w:bCs/>
          <w:color w:val="auto"/>
          <w:sz w:val="32"/>
          <w:szCs w:val="32"/>
          <w:lang w:eastAsia="zh-CN"/>
        </w:rPr>
        <w:t>重点场所</w:t>
      </w:r>
      <w:r>
        <w:rPr>
          <w:rFonts w:hint="eastAsia" w:ascii="仿宋_GB2312" w:hAnsi="楷体_GB2312" w:eastAsia="仿宋_GB2312" w:cs="楷体_GB2312"/>
          <w:bCs/>
          <w:color w:val="auto"/>
          <w:sz w:val="32"/>
          <w:szCs w:val="32"/>
        </w:rPr>
        <w:t>母婴设施</w:t>
      </w:r>
      <w:r>
        <w:rPr>
          <w:rFonts w:hint="eastAsia" w:ascii="仿宋_GB2312" w:hAnsi="楷体_GB2312" w:eastAsia="仿宋_GB2312" w:cs="楷体_GB2312"/>
          <w:bCs/>
          <w:color w:val="auto"/>
          <w:sz w:val="32"/>
          <w:szCs w:val="32"/>
          <w:lang w:eastAsia="zh-CN"/>
        </w:rPr>
        <w:t>配置</w:t>
      </w:r>
      <w:r>
        <w:rPr>
          <w:rFonts w:hint="eastAsia" w:ascii="仿宋_GB2312" w:hAnsi="楷体_GB2312" w:eastAsia="仿宋_GB2312" w:cs="楷体_GB2312"/>
          <w:bCs/>
          <w:color w:val="auto"/>
          <w:sz w:val="32"/>
          <w:szCs w:val="32"/>
        </w:rPr>
        <w:t>率</w:t>
      </w:r>
      <w:r>
        <w:rPr>
          <w:rFonts w:hint="eastAsia" w:ascii="仿宋_GB2312" w:hAnsi="楷体_GB2312" w:eastAsia="仿宋_GB2312" w:cs="楷体_GB2312"/>
          <w:bCs/>
          <w:color w:val="auto"/>
          <w:sz w:val="32"/>
          <w:szCs w:val="32"/>
          <w:lang w:eastAsia="zh-CN"/>
        </w:rPr>
        <w:t>达</w:t>
      </w:r>
      <w:r>
        <w:rPr>
          <w:rFonts w:hint="eastAsia" w:ascii="仿宋_GB2312" w:hAnsi="楷体_GB2312" w:eastAsia="仿宋_GB2312" w:cs="楷体_GB2312"/>
          <w:bCs/>
          <w:color w:val="auto"/>
          <w:sz w:val="32"/>
          <w:szCs w:val="32"/>
          <w:lang w:val="en-US" w:eastAsia="zh-CN"/>
        </w:rPr>
        <w:t>100</w:t>
      </w:r>
      <w:r>
        <w:rPr>
          <w:rFonts w:hint="eastAsia" w:ascii="仿宋_GB2312" w:hAnsi="楷体_GB2312" w:eastAsia="仿宋_GB2312" w:cs="楷体_GB2312"/>
          <w:bCs/>
          <w:color w:val="auto"/>
          <w:sz w:val="32"/>
          <w:szCs w:val="32"/>
        </w:rPr>
        <w:t>%。群众对计划生育满意度单项工作排名在全省县区中大幅提升，得到了省市卫生</w:t>
      </w:r>
      <w:r>
        <w:rPr>
          <w:rFonts w:hint="eastAsia" w:ascii="仿宋_GB2312" w:hAnsi="楷体_GB2312" w:eastAsia="仿宋_GB2312" w:cs="楷体_GB2312"/>
          <w:bCs/>
          <w:color w:val="auto"/>
          <w:sz w:val="32"/>
          <w:szCs w:val="32"/>
          <w:lang w:eastAsia="zh-CN"/>
        </w:rPr>
        <w:t>健康部门</w:t>
      </w:r>
      <w:r>
        <w:rPr>
          <w:rFonts w:hint="eastAsia" w:ascii="仿宋_GB2312" w:hAnsi="楷体_GB2312" w:eastAsia="仿宋_GB2312" w:cs="楷体_GB2312"/>
          <w:bCs/>
          <w:color w:val="auto"/>
          <w:sz w:val="32"/>
          <w:szCs w:val="32"/>
        </w:rPr>
        <w:t>的肯定。</w:t>
      </w:r>
      <w:r>
        <w:rPr>
          <w:rFonts w:hint="eastAsia" w:ascii="仿宋_GB2312" w:eastAsia="仿宋_GB2312"/>
          <w:color w:val="auto"/>
          <w:sz w:val="32"/>
          <w:szCs w:val="32"/>
        </w:rPr>
        <w:t>2016年我区一举摘掉了满意度单项预警的帽子，同时步入安徽省计划生育领导小组表彰的序列</w:t>
      </w:r>
      <w:r>
        <w:rPr>
          <w:rFonts w:hint="eastAsia" w:ascii="仿宋_GB2312" w:eastAsia="仿宋_GB2312"/>
          <w:color w:val="auto"/>
          <w:sz w:val="32"/>
          <w:szCs w:val="32"/>
          <w:lang w:eastAsia="zh-CN"/>
        </w:rPr>
        <w:t>，</w:t>
      </w:r>
      <w:r>
        <w:rPr>
          <w:rFonts w:hint="eastAsia" w:ascii="仿宋_GB2312" w:eastAsia="仿宋_GB2312"/>
          <w:color w:val="auto"/>
          <w:sz w:val="32"/>
          <w:szCs w:val="32"/>
        </w:rPr>
        <w:t>2017年获得合肥市计划生育领导小组的表彰，</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获得省计划生育工作领导小组通报表彰，市计划生育工作领导小组通报表彰优秀等次。</w:t>
      </w:r>
      <w:r>
        <w:rPr>
          <w:rFonts w:hint="eastAsia" w:ascii="仿宋_GB2312" w:hAnsi="仿宋_GB2312" w:eastAsia="仿宋_GB2312" w:cs="仿宋_GB2312"/>
          <w:b w:val="0"/>
          <w:bCs w:val="0"/>
          <w:color w:val="auto"/>
          <w:kern w:val="2"/>
          <w:sz w:val="32"/>
          <w:szCs w:val="32"/>
          <w:lang w:val="en-US" w:eastAsia="zh-CN" w:bidi="ar-SA"/>
        </w:rPr>
        <w:t>2019年获省人民政府通报表彰，市人民政府通报表彰考评位次靠前单位。</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eastAsia" w:ascii="黑体" w:hAnsi="黑体" w:eastAsia="黑体" w:cstheme="minorBidi"/>
          <w:b w:val="0"/>
          <w:bCs/>
          <w:color w:val="auto"/>
          <w:sz w:val="32"/>
          <w:szCs w:val="32"/>
        </w:rPr>
      </w:pPr>
      <w:bookmarkStart w:id="2" w:name="_Toc27421"/>
      <w:r>
        <w:rPr>
          <w:rFonts w:hint="eastAsia" w:ascii="黑体" w:hAnsi="黑体" w:eastAsia="黑体" w:cstheme="minorBidi"/>
          <w:b w:val="0"/>
          <w:bCs/>
          <w:color w:val="auto"/>
          <w:sz w:val="32"/>
          <w:szCs w:val="32"/>
        </w:rPr>
        <w:t>二、存在问题</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社区卫生服务能力有待加强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政府办社区卫生</w:t>
      </w:r>
      <w:r>
        <w:rPr>
          <w:rFonts w:hint="eastAsia" w:ascii="仿宋_GB2312" w:hAnsi="仿宋_GB2312" w:eastAsia="仿宋_GB2312" w:cs="仿宋_GB2312"/>
          <w:color w:val="auto"/>
          <w:sz w:val="32"/>
          <w:szCs w:val="32"/>
          <w:lang w:val="en-US" w:eastAsia="zh-CN"/>
        </w:rPr>
        <w:t>服务中</w:t>
      </w:r>
      <w:r>
        <w:rPr>
          <w:rFonts w:hint="eastAsia" w:ascii="仿宋_GB2312" w:hAnsi="仿宋_GB2312" w:eastAsia="仿宋_GB2312" w:cs="仿宋_GB2312"/>
          <w:color w:val="auto"/>
          <w:sz w:val="32"/>
          <w:szCs w:val="32"/>
        </w:rPr>
        <w:t>心业务用房面积对照《社区中心能力标准》及社区医院创建标准来说相对偏小，许多业务无法开展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非政府办社区中心工作用房多为租赁或部分租赁，其运转经费基本上</w:t>
      </w:r>
      <w:r>
        <w:rPr>
          <w:rFonts w:hint="eastAsia" w:ascii="仿宋_GB2312" w:hAnsi="仿宋_GB2312" w:eastAsia="仿宋_GB2312" w:cs="仿宋_GB2312"/>
          <w:color w:val="auto"/>
          <w:sz w:val="32"/>
          <w:szCs w:val="32"/>
          <w:lang w:eastAsia="zh-CN"/>
        </w:rPr>
        <w:t>依靠</w:t>
      </w:r>
      <w:r>
        <w:rPr>
          <w:rFonts w:hint="eastAsia" w:ascii="仿宋_GB2312" w:hAnsi="仿宋_GB2312" w:eastAsia="仿宋_GB2312" w:cs="仿宋_GB2312"/>
          <w:color w:val="auto"/>
          <w:sz w:val="32"/>
          <w:szCs w:val="32"/>
        </w:rPr>
        <w:t>机构的医疗服务和药品收入来弥补，基层卫生服务发展受限，与辖区日益增长的</w:t>
      </w:r>
      <w:r>
        <w:rPr>
          <w:rFonts w:hint="eastAsia" w:ascii="仿宋_GB2312" w:hAnsi="仿宋_GB2312" w:eastAsia="仿宋_GB2312" w:cs="仿宋_GB2312"/>
          <w:color w:val="auto"/>
          <w:sz w:val="32"/>
          <w:szCs w:val="32"/>
          <w:lang w:eastAsia="zh-CN"/>
        </w:rPr>
        <w:t>居民健康</w:t>
      </w:r>
      <w:r>
        <w:rPr>
          <w:rFonts w:hint="eastAsia" w:ascii="仿宋_GB2312" w:hAnsi="仿宋_GB2312" w:eastAsia="仿宋_GB2312" w:cs="仿宋_GB2312"/>
          <w:color w:val="auto"/>
          <w:sz w:val="32"/>
          <w:szCs w:val="32"/>
        </w:rPr>
        <w:t>需求存在差距</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2.人才紧缺矛盾依然突出。</w:t>
      </w:r>
      <w:r>
        <w:rPr>
          <w:rFonts w:hint="eastAsia" w:ascii="仿宋_GB2312" w:hAnsi="仿宋_GB2312" w:eastAsia="仿宋_GB2312" w:cs="仿宋_GB2312"/>
          <w:color w:val="auto"/>
          <w:sz w:val="32"/>
          <w:szCs w:val="32"/>
        </w:rPr>
        <w:t>一是特殊岗位和中高级人才</w:t>
      </w:r>
      <w:r>
        <w:rPr>
          <w:rFonts w:hint="eastAsia" w:ascii="仿宋_GB2312" w:hAnsi="仿宋_GB2312" w:eastAsia="仿宋_GB2312" w:cs="仿宋_GB2312"/>
          <w:color w:val="auto"/>
          <w:sz w:val="32"/>
          <w:szCs w:val="32"/>
          <w:lang w:val="en-US" w:eastAsia="zh-CN"/>
        </w:rPr>
        <w:t>匮乏</w:t>
      </w:r>
      <w:r>
        <w:rPr>
          <w:rFonts w:hint="eastAsia" w:ascii="仿宋_GB2312" w:hAnsi="仿宋_GB2312" w:eastAsia="仿宋_GB2312" w:cs="仿宋_GB2312"/>
          <w:color w:val="auto"/>
          <w:sz w:val="32"/>
          <w:szCs w:val="32"/>
        </w:rPr>
        <w:t>，如影像、放射、妇科等人才难以引进，尤其是新冠</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对公共卫生人才提出更高需求；二是职称晋升难度大，人社部门对单位专业技术岗位是根据编制数核定的，由于单位专业技术岗位编制数和岗位设置比例的限制，基层医护人员即使通过国家中级职称考试，也难以及时得到职称晋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3.医疗保障力度不够。</w:t>
      </w:r>
      <w:r>
        <w:rPr>
          <w:rFonts w:hint="eastAsia" w:ascii="仿宋_GB2312" w:hAnsi="仿宋_GB2312" w:eastAsia="仿宋_GB2312" w:cs="仿宋_GB2312"/>
          <w:color w:val="auto"/>
          <w:sz w:val="32"/>
          <w:szCs w:val="32"/>
        </w:rPr>
        <w:t>医养结合机构服务强度较大，大部分老年人护理服务项目多，专业的医疗服务导致收费较高，与失能半失能老年人、残疾老年人、患病老人、高龄老人的收入水平不符，从而严重影响入住率。建议提升社区医疗机构医养结合服务能力，推动居家、社区和机构养老融合发展，让老年人在家、在社区、在养老机构都能获得医疗服务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0"/>
          <w:sz w:val="32"/>
          <w:szCs w:val="32"/>
          <w:highlight w:val="none"/>
          <w:rtl w:val="0"/>
          <w:lang w:val="en-US" w:eastAsia="zh-CN" w:bidi="ar-SA"/>
        </w:rPr>
      </w:pPr>
      <w:r>
        <w:rPr>
          <w:rFonts w:hint="eastAsia" w:ascii="仿宋_GB2312" w:hAnsi="仿宋_GB2312" w:eastAsia="仿宋_GB2312" w:cs="仿宋_GB2312"/>
          <w:b/>
          <w:bCs/>
          <w:color w:val="auto"/>
          <w:sz w:val="32"/>
          <w:szCs w:val="32"/>
          <w:lang w:val="en-US" w:eastAsia="zh-CN"/>
        </w:rPr>
        <w:t>4.产业集聚程度不高。</w:t>
      </w:r>
      <w:r>
        <w:rPr>
          <w:rFonts w:hint="eastAsia" w:ascii="仿宋_GB2312" w:hAnsi="仿宋_GB2312" w:eastAsia="仿宋_GB2312" w:cs="仿宋_GB2312"/>
          <w:color w:val="auto"/>
          <w:sz w:val="32"/>
          <w:szCs w:val="32"/>
        </w:rPr>
        <w:t>瑶海大健康产业规模偏小，对瑶海的产业贡献度有限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主营业务收入超</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生物医药深加工企业只有</w:t>
      </w:r>
      <w:r>
        <w:rPr>
          <w:rFonts w:hint="eastAsia" w:ascii="仿宋_GB2312" w:hAnsi="仿宋_GB2312" w:eastAsia="仿宋_GB2312" w:cs="仿宋_GB2312"/>
          <w:color w:val="auto"/>
          <w:sz w:val="32"/>
          <w:szCs w:val="32"/>
          <w:lang w:val="en-US" w:eastAsia="zh-CN"/>
        </w:rPr>
        <w:t>国泰国瑞医药1</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b w:val="0"/>
          <w:bCs w:val="0"/>
          <w:color w:val="auto"/>
          <w:kern w:val="0"/>
          <w:sz w:val="32"/>
          <w:szCs w:val="32"/>
          <w:highlight w:val="none"/>
          <w:rtl w:val="0"/>
          <w:lang w:val="en-US" w:eastAsia="zh-CN" w:bidi="ar-SA"/>
        </w:rPr>
        <w:t>税收规模突破千万的大健康企业仅安徽静安一家，对区域内产业链上下游的中小企业带动作用还不够明显。</w:t>
      </w:r>
      <w:r>
        <w:rPr>
          <w:rFonts w:hint="eastAsia" w:ascii="仿宋_GB2312" w:hAnsi="仿宋_GB2312" w:eastAsia="仿宋_GB2312" w:cs="仿宋_GB2312"/>
          <w:color w:val="auto"/>
          <w:sz w:val="32"/>
          <w:szCs w:val="32"/>
          <w:rtl w:val="0"/>
          <w:lang w:val="en-US" w:eastAsia="zh-CN"/>
        </w:rPr>
        <w:t>大健</w:t>
      </w:r>
      <w:r>
        <w:rPr>
          <w:rFonts w:hint="eastAsia" w:ascii="仿宋_GB2312" w:hAnsi="仿宋_GB2312" w:eastAsia="仿宋_GB2312" w:cs="仿宋_GB2312"/>
          <w:b w:val="0"/>
          <w:bCs w:val="0"/>
          <w:color w:val="auto"/>
          <w:kern w:val="0"/>
          <w:sz w:val="32"/>
          <w:szCs w:val="32"/>
          <w:highlight w:val="none"/>
          <w:rtl w:val="0"/>
          <w:lang w:val="en-US" w:eastAsia="zh-CN" w:bidi="ar-SA"/>
        </w:rPr>
        <w:t>康服务业体量较小，规模小的民营医院较多，高端医疗资源不足，全区仅市二院一家三甲医院，四大主城区最少。尚荣产业园入驻率不高，多为小微企业，尚未出现集聚。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theme="minorBidi"/>
          <w:b w:val="0"/>
          <w:bCs/>
          <w:color w:val="auto"/>
          <w:kern w:val="2"/>
          <w:sz w:val="36"/>
          <w:szCs w:val="36"/>
          <w:lang w:val="en-US" w:eastAsia="zh-CN" w:bidi="ar-SA"/>
        </w:rPr>
      </w:pPr>
      <w:bookmarkStart w:id="3" w:name="_Toc11738"/>
      <w:r>
        <w:rPr>
          <w:rFonts w:hint="eastAsia" w:ascii="黑体" w:hAnsi="黑体" w:eastAsia="黑体" w:cstheme="minorBidi"/>
          <w:b w:val="0"/>
          <w:bCs/>
          <w:color w:val="auto"/>
          <w:kern w:val="2"/>
          <w:sz w:val="36"/>
          <w:szCs w:val="36"/>
          <w:lang w:val="en-US" w:eastAsia="zh-CN" w:bidi="ar-SA"/>
        </w:rPr>
        <w:t>第二章 总体要求</w:t>
      </w:r>
      <w:bookmarkEnd w:id="3"/>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rPr>
      </w:pPr>
      <w:bookmarkStart w:id="4" w:name="_Toc599"/>
      <w:r>
        <w:rPr>
          <w:rFonts w:hint="eastAsia" w:ascii="黑体" w:hAnsi="黑体" w:eastAsia="黑体" w:cs="黑体"/>
          <w:b w:val="0"/>
          <w:bCs/>
          <w:color w:val="auto"/>
          <w:sz w:val="32"/>
          <w:szCs w:val="32"/>
        </w:rPr>
        <w:t>一、指导思想</w:t>
      </w:r>
      <w:bookmarkEnd w:id="4"/>
    </w:p>
    <w:p>
      <w:pPr>
        <w:pStyle w:val="2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Autospacing="0" w:afterAutospacing="0" w:line="560" w:lineRule="exact"/>
        <w:ind w:firstLine="640"/>
        <w:textAlignment w:val="auto"/>
        <w:rPr>
          <w:rFonts w:hint="eastAsia" w:cs="Times New Roman"/>
          <w:bCs/>
          <w:color w:val="auto"/>
          <w:kern w:val="2"/>
          <w:sz w:val="32"/>
          <w:szCs w:val="32"/>
          <w:lang w:val="en-US" w:eastAsia="zh-CN" w:bidi="ar-SA"/>
        </w:rPr>
      </w:pPr>
      <w:r>
        <w:rPr>
          <w:rFonts w:hint="eastAsia" w:ascii="仿宋_GB2312" w:hAnsi="Calibri" w:eastAsia="仿宋_GB2312" w:cs="Times New Roman"/>
          <w:bCs/>
          <w:color w:val="auto"/>
          <w:kern w:val="2"/>
          <w:sz w:val="32"/>
          <w:szCs w:val="32"/>
          <w:lang w:val="en-US" w:eastAsia="zh-CN" w:bidi="ar-SA"/>
        </w:rPr>
        <w:t>以习近平新时代中国特色社会主义思想为指导，全面贯彻党的十九大和十九届</w:t>
      </w:r>
      <w:r>
        <w:rPr>
          <w:rFonts w:hint="eastAsia" w:hAnsi="Calibri" w:cs="Times New Roman"/>
          <w:bCs/>
          <w:color w:val="auto"/>
          <w:kern w:val="2"/>
          <w:sz w:val="32"/>
          <w:szCs w:val="32"/>
          <w:lang w:val="en-US" w:eastAsia="zh-CN" w:bidi="ar-SA"/>
        </w:rPr>
        <w:t>历次</w:t>
      </w:r>
      <w:r>
        <w:rPr>
          <w:rFonts w:hint="eastAsia" w:ascii="仿宋_GB2312" w:hAnsi="Calibri" w:eastAsia="仿宋_GB2312" w:cs="Times New Roman"/>
          <w:bCs/>
          <w:color w:val="auto"/>
          <w:kern w:val="2"/>
          <w:sz w:val="32"/>
          <w:szCs w:val="32"/>
          <w:lang w:val="en-US" w:eastAsia="zh-CN" w:bidi="ar-SA"/>
        </w:rPr>
        <w:t>全会精神，深入落实习近平总书记考察安徽重要讲话精神，围绕瑶海全面振兴发展</w:t>
      </w:r>
      <w:r>
        <w:rPr>
          <w:rFonts w:hint="eastAsia" w:hAnsi="Calibri" w:cs="Times New Roman"/>
          <w:bCs/>
          <w:color w:val="auto"/>
          <w:kern w:val="2"/>
          <w:sz w:val="32"/>
          <w:szCs w:val="32"/>
          <w:lang w:val="en-US" w:eastAsia="zh-CN" w:bidi="ar-SA"/>
        </w:rPr>
        <w:t>和“速度赶超全市、发展质量不断提升”，奋力跨上千亿元GDP新台阶的总体要求，</w:t>
      </w:r>
      <w:r>
        <w:rPr>
          <w:rFonts w:hint="eastAsia" w:ascii="仿宋_GB2312" w:hAnsi="Calibri" w:eastAsia="仿宋_GB2312" w:cs="Times New Roman"/>
          <w:bCs/>
          <w:color w:val="auto"/>
          <w:kern w:val="2"/>
          <w:sz w:val="32"/>
          <w:szCs w:val="32"/>
          <w:lang w:val="en-US" w:eastAsia="zh-CN" w:bidi="ar-SA"/>
        </w:rPr>
        <w:t>坚持以人民为中心，以改革创新为动力，以“促健康、转模式、强基层、重保障”为着力点，不断深化</w:t>
      </w:r>
      <w:r>
        <w:rPr>
          <w:rFonts w:hint="eastAsia" w:hAnsi="Calibri" w:cs="Times New Roman"/>
          <w:bCs/>
          <w:color w:val="auto"/>
          <w:kern w:val="2"/>
          <w:sz w:val="32"/>
          <w:szCs w:val="32"/>
          <w:lang w:val="en-US" w:eastAsia="zh-CN" w:bidi="ar-SA"/>
        </w:rPr>
        <w:t>“12345”发展战略和</w:t>
      </w:r>
      <w:r>
        <w:rPr>
          <w:rFonts w:hint="eastAsia" w:ascii="仿宋_GB2312" w:hAnsi="Calibri" w:eastAsia="仿宋_GB2312" w:cs="Times New Roman"/>
          <w:bCs/>
          <w:color w:val="auto"/>
          <w:kern w:val="2"/>
          <w:sz w:val="32"/>
          <w:szCs w:val="32"/>
          <w:lang w:val="en-US" w:eastAsia="zh-CN" w:bidi="ar-SA"/>
        </w:rPr>
        <w:t>医药卫生体制改革</w:t>
      </w:r>
      <w:r>
        <w:rPr>
          <w:rFonts w:hint="eastAsia" w:hAnsi="Calibri" w:cs="Times New Roman"/>
          <w:bCs/>
          <w:color w:val="auto"/>
          <w:kern w:val="2"/>
          <w:sz w:val="32"/>
          <w:szCs w:val="32"/>
          <w:lang w:val="en-US" w:eastAsia="zh-CN" w:bidi="ar-SA"/>
        </w:rPr>
        <w:t>，加快培育大健康产业集群，</w:t>
      </w:r>
      <w:r>
        <w:rPr>
          <w:rFonts w:hint="eastAsia" w:ascii="仿宋_GB2312" w:hAnsi="Calibri" w:eastAsia="仿宋_GB2312" w:cs="Times New Roman"/>
          <w:bCs/>
          <w:color w:val="auto"/>
          <w:kern w:val="2"/>
          <w:sz w:val="32"/>
          <w:szCs w:val="32"/>
          <w:lang w:val="en-US" w:eastAsia="zh-CN" w:bidi="ar-SA"/>
        </w:rPr>
        <w:t>优化卫生资源配置，提升医疗服务能级</w:t>
      </w:r>
      <w:r>
        <w:rPr>
          <w:rFonts w:hint="eastAsia" w:hAnsi="Calibri" w:cs="Times New Roman"/>
          <w:bCs/>
          <w:color w:val="auto"/>
          <w:kern w:val="2"/>
          <w:sz w:val="32"/>
          <w:szCs w:val="32"/>
          <w:lang w:val="en-US" w:eastAsia="zh-CN" w:bidi="ar-SA"/>
        </w:rPr>
        <w:t>，</w:t>
      </w:r>
      <w:r>
        <w:rPr>
          <w:rFonts w:hint="eastAsia" w:ascii="仿宋_GB2312" w:hAnsi="Calibri" w:eastAsia="仿宋_GB2312" w:cs="Times New Roman"/>
          <w:bCs/>
          <w:color w:val="auto"/>
          <w:kern w:val="2"/>
          <w:sz w:val="32"/>
          <w:szCs w:val="32"/>
          <w:lang w:val="en-US" w:eastAsia="zh-CN" w:bidi="ar-SA"/>
        </w:rPr>
        <w:t>全面推进瑶海</w:t>
      </w:r>
      <w:r>
        <w:rPr>
          <w:rFonts w:hint="eastAsia" w:hAnsi="Calibri" w:cs="Times New Roman"/>
          <w:bCs/>
          <w:color w:val="auto"/>
          <w:kern w:val="2"/>
          <w:sz w:val="32"/>
          <w:szCs w:val="32"/>
          <w:lang w:val="en-US" w:eastAsia="zh-CN" w:bidi="ar-SA"/>
        </w:rPr>
        <w:t>大健康产业和</w:t>
      </w:r>
      <w:r>
        <w:rPr>
          <w:rFonts w:hint="eastAsia" w:ascii="仿宋_GB2312" w:hAnsi="Calibri" w:eastAsia="仿宋_GB2312" w:cs="Times New Roman"/>
          <w:bCs/>
          <w:color w:val="auto"/>
          <w:kern w:val="2"/>
          <w:sz w:val="32"/>
          <w:szCs w:val="32"/>
          <w:lang w:val="en-US" w:eastAsia="zh-CN" w:bidi="ar-SA"/>
        </w:rPr>
        <w:t>卫生健康事业</w:t>
      </w:r>
      <w:r>
        <w:rPr>
          <w:rFonts w:hint="eastAsia" w:hAnsi="Calibri" w:cs="Times New Roman"/>
          <w:bCs/>
          <w:color w:val="auto"/>
          <w:kern w:val="2"/>
          <w:sz w:val="32"/>
          <w:szCs w:val="32"/>
          <w:lang w:val="en-US" w:eastAsia="zh-CN" w:bidi="ar-SA"/>
        </w:rPr>
        <w:t>发展</w:t>
      </w:r>
      <w:r>
        <w:rPr>
          <w:rFonts w:hint="eastAsia" w:ascii="仿宋_GB2312" w:hAnsi="Calibri" w:eastAsia="仿宋_GB2312" w:cs="Times New Roman"/>
          <w:bCs/>
          <w:color w:val="auto"/>
          <w:kern w:val="2"/>
          <w:sz w:val="32"/>
          <w:szCs w:val="32"/>
          <w:lang w:val="en-US" w:eastAsia="zh-CN" w:bidi="ar-SA"/>
        </w:rPr>
        <w:t>再上新台阶。</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rPr>
      </w:pPr>
      <w:bookmarkStart w:id="5" w:name="_Toc28465"/>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基本原则</w:t>
      </w:r>
      <w:bookmarkEnd w:id="5"/>
    </w:p>
    <w:p>
      <w:pPr>
        <w:pStyle w:val="10"/>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lang w:val="en-US"/>
        </w:rPr>
      </w:pPr>
      <w:r>
        <w:rPr>
          <w:rFonts w:hint="eastAsia" w:ascii="楷体_GB2312" w:hAnsi="楷体_GB2312" w:eastAsia="楷体_GB2312" w:cs="楷体_GB2312"/>
          <w:b/>
          <w:bCs/>
          <w:color w:val="auto"/>
          <w:kern w:val="2"/>
          <w:sz w:val="32"/>
          <w:szCs w:val="32"/>
          <w:lang w:val="en-US" w:eastAsia="zh-CN" w:bidi="ar-SA"/>
        </w:rPr>
        <w:t>（一）市场导向，错位发展。</w:t>
      </w:r>
      <w:r>
        <w:rPr>
          <w:rFonts w:hint="eastAsia" w:ascii="仿宋_GB2312" w:hAnsi="仿宋" w:eastAsia="仿宋_GB2312" w:cstheme="minorBidi"/>
          <w:b w:val="0"/>
          <w:color w:val="auto"/>
          <w:kern w:val="2"/>
          <w:sz w:val="32"/>
          <w:szCs w:val="32"/>
          <w:lang w:val="en-US" w:eastAsia="zh-CN" w:bidi="ar-SA"/>
        </w:rPr>
        <w:t>以市场消费为导向，加强关键核心共性技术研发和转化应用，全面增强自主创新能力，在重要科技领域实现跨越发展。因地制宜发展本地特色产品，避免同质化竞争，努力实现差异化和错位化发展。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heme="minorBidi"/>
          <w:b w:val="0"/>
          <w:color w:val="auto"/>
          <w:kern w:val="2"/>
          <w:sz w:val="32"/>
          <w:szCs w:val="32"/>
          <w:lang w:val="en-US" w:eastAsia="zh-CN" w:bidi="ar-SA"/>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）以人为本，需求导向</w:t>
      </w:r>
      <w:r>
        <w:rPr>
          <w:rFonts w:hint="eastAsia" w:ascii="楷体_GB2312" w:hAnsi="楷体_GB2312" w:eastAsia="楷体_GB2312" w:cs="楷体_GB2312"/>
          <w:b/>
          <w:bCs/>
          <w:color w:val="auto"/>
          <w:sz w:val="32"/>
          <w:szCs w:val="32"/>
          <w:lang w:eastAsia="zh-CN"/>
        </w:rPr>
        <w:t>。</w:t>
      </w:r>
      <w:r>
        <w:rPr>
          <w:rFonts w:hint="eastAsia" w:ascii="仿宋_GB2312" w:hAnsi="仿宋" w:eastAsia="仿宋_GB2312" w:cstheme="minorBidi"/>
          <w:b w:val="0"/>
          <w:color w:val="auto"/>
          <w:kern w:val="2"/>
          <w:sz w:val="32"/>
          <w:szCs w:val="32"/>
          <w:lang w:val="en-US" w:eastAsia="zh-CN" w:bidi="ar-SA"/>
        </w:rPr>
        <w:t>坚持把人民健康放在优先发展的战略地位。以健康需求为导向，深化体制机制改革，优化要素配置和服务供给，补齐发展短板，创新服务模式，推动健康产业转型升级。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heme="minorBidi"/>
          <w:b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（三）预防为主，健康促进。</w:t>
      </w:r>
      <w:r>
        <w:rPr>
          <w:rFonts w:hint="eastAsia" w:ascii="仿宋_GB2312" w:hAnsi="仿宋" w:eastAsia="仿宋_GB2312" w:cstheme="minorBidi"/>
          <w:b w:val="0"/>
          <w:color w:val="auto"/>
          <w:kern w:val="2"/>
          <w:sz w:val="32"/>
          <w:szCs w:val="32"/>
          <w:lang w:val="en-US" w:eastAsia="zh-CN" w:bidi="ar-SA"/>
        </w:rPr>
        <w:t>强化大健康理念，全面推进发展方式由以治病为中心向以健康为中心转变。深入开展全民健康教育和健康促进活动，覆盖全生命周期健康管理，全面维护和促进居民健康。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heme="minorBidi"/>
          <w:b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（四）优质整合，中西并重。</w:t>
      </w:r>
      <w:r>
        <w:rPr>
          <w:rFonts w:hint="eastAsia" w:ascii="仿宋_GB2312" w:hAnsi="仿宋_GB2312" w:eastAsia="仿宋_GB2312" w:cs="仿宋_GB2312"/>
          <w:b w:val="0"/>
          <w:color w:val="auto"/>
          <w:kern w:val="2"/>
          <w:sz w:val="32"/>
          <w:szCs w:val="32"/>
          <w:lang w:val="en-US" w:eastAsia="zh-CN" w:bidi="ar-SA"/>
        </w:rPr>
        <w:t>发挥市二院--瑶海区紧密型城市医联体作用，推进专家下沉、技术下沉、资源下沉，实现“基层检查、上级诊断”服务模式。中西医并重，充分发挥中医在“治未病”、慢性病诊疗和康复领域的作用。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theme="minorBidi"/>
          <w:b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（五）多元参与，协调发展。</w:t>
      </w:r>
      <w:r>
        <w:rPr>
          <w:rFonts w:hint="eastAsia" w:ascii="仿宋_GB2312" w:hAnsi="仿宋" w:eastAsia="仿宋_GB2312" w:cstheme="minorBidi"/>
          <w:b w:val="0"/>
          <w:color w:val="auto"/>
          <w:kern w:val="2"/>
          <w:sz w:val="32"/>
          <w:szCs w:val="32"/>
          <w:lang w:val="en-US" w:eastAsia="zh-CN" w:bidi="ar-SA"/>
        </w:rPr>
        <w:t>有效发挥政府调控作用，推进公立医疗机构与社会办医疗机构的合作，推进预防、医疗和康复护理服务链条整合，促进医疗资源配置效率最大化。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仿宋_GB2312" w:hAnsi="仿宋" w:eastAsia="仿宋_GB2312" w:cstheme="minorBidi"/>
          <w:b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（六）共治共享，改善民生。</w:t>
      </w:r>
      <w:r>
        <w:rPr>
          <w:rFonts w:hint="eastAsia" w:ascii="仿宋_GB2312" w:hAnsi="仿宋" w:eastAsia="仿宋_GB2312" w:cstheme="minorBidi"/>
          <w:b w:val="0"/>
          <w:color w:val="auto"/>
          <w:kern w:val="2"/>
          <w:sz w:val="32"/>
          <w:szCs w:val="32"/>
          <w:lang w:val="en-US" w:eastAsia="zh-CN" w:bidi="ar-SA"/>
        </w:rPr>
        <w:t>激励民众深入参与健康服务体系治理，完善健康保障，打造健康瑶海。全面提升居民健康素养，稳步推进健康数据共享、健康知识共享、健康成果共享和健康经济共享。</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rPr>
      </w:pPr>
      <w:bookmarkStart w:id="6" w:name="_Toc26723"/>
      <w:r>
        <w:rPr>
          <w:rFonts w:hint="eastAsia" w:ascii="黑体" w:hAnsi="黑体" w:eastAsia="黑体" w:cs="黑体"/>
          <w:b w:val="0"/>
          <w:bCs/>
          <w:color w:val="auto"/>
          <w:sz w:val="32"/>
          <w:szCs w:val="32"/>
        </w:rPr>
        <w:t>三、发展目标</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b/>
          <w:bCs/>
          <w:color w:val="auto"/>
          <w:kern w:val="2"/>
          <w:sz w:val="32"/>
          <w:szCs w:val="32"/>
          <w:highlight w:val="yellow"/>
          <w:lang w:val="en-US" w:eastAsia="zh-CN" w:bidi="ar-SA"/>
        </w:rPr>
      </w:pPr>
      <w:r>
        <w:rPr>
          <w:rFonts w:hint="eastAsia" w:ascii="仿宋_GB2312" w:eastAsia="仿宋_GB2312" w:hAnsiTheme="minorHAnsi" w:cstheme="minorBidi"/>
          <w:b/>
          <w:bCs/>
          <w:color w:val="auto"/>
          <w:kern w:val="2"/>
          <w:sz w:val="32"/>
          <w:szCs w:val="32"/>
          <w:lang w:val="en-US" w:eastAsia="zh-CN" w:bidi="ar-SA"/>
        </w:rPr>
        <w:t>一是</w:t>
      </w:r>
      <w:r>
        <w:rPr>
          <w:rFonts w:hint="eastAsia" w:ascii="仿宋_GB2312" w:hAnsi="仿宋_GB2312" w:eastAsia="仿宋_GB2312" w:cs="仿宋_GB2312"/>
          <w:b/>
          <w:bCs/>
          <w:color w:val="auto"/>
          <w:sz w:val="32"/>
          <w:szCs w:val="32"/>
        </w:rPr>
        <w:t>大健康产业规模</w:t>
      </w:r>
      <w:r>
        <w:rPr>
          <w:rFonts w:hint="eastAsia" w:ascii="仿宋_GB2312" w:hAnsi="仿宋_GB2312" w:eastAsia="仿宋_GB2312" w:cs="仿宋_GB2312"/>
          <w:b/>
          <w:bCs/>
          <w:color w:val="auto"/>
          <w:sz w:val="32"/>
          <w:szCs w:val="32"/>
          <w:lang w:val="en-US" w:eastAsia="zh-CN"/>
        </w:rPr>
        <w:t>进一步</w:t>
      </w:r>
      <w:r>
        <w:rPr>
          <w:rFonts w:hint="eastAsia" w:ascii="仿宋_GB2312" w:hAnsi="仿宋_GB2312" w:eastAsia="仿宋_GB2312" w:cs="仿宋_GB2312"/>
          <w:b/>
          <w:bCs/>
          <w:color w:val="auto"/>
          <w:sz w:val="32"/>
          <w:szCs w:val="32"/>
        </w:rPr>
        <w:t>扩大</w:t>
      </w:r>
      <w:r>
        <w:rPr>
          <w:rFonts w:hint="eastAsia" w:ascii="仿宋_GB2312" w:hAnsi="仿宋_GB2312" w:eastAsia="仿宋_GB2312" w:cs="仿宋_GB2312"/>
          <w:b/>
          <w:bCs/>
          <w:color w:val="auto"/>
          <w:sz w:val="32"/>
          <w:szCs w:val="32"/>
          <w:lang w:eastAsia="zh-CN"/>
        </w:rPr>
        <w:t>。</w:t>
      </w:r>
      <w:r>
        <w:rPr>
          <w:rFonts w:hint="eastAsia" w:ascii="仿宋_GB2312" w:eastAsia="仿宋_GB2312" w:hAnsiTheme="minorHAnsi" w:cstheme="minorBidi"/>
          <w:color w:val="auto"/>
          <w:kern w:val="2"/>
          <w:sz w:val="32"/>
          <w:szCs w:val="32"/>
          <w:lang w:val="en-US" w:eastAsia="zh-CN" w:bidi="ar-SA"/>
        </w:rPr>
        <w:t>立足产业基础和发展前景，大力发展医疗器械、生物医药、医养结合等产业，培育大健康产业集群，构建全方位、全周期的大健康产业链条。到2025年，大健康产业产值（营业收入）达到300亿元。</w:t>
      </w:r>
      <w:r>
        <w:rPr>
          <w:rFonts w:hint="eastAsia" w:ascii="仿宋_GB2312" w:hAnsi="仿宋_GB2312" w:eastAsia="仿宋_GB2312" w:cs="仿宋_GB2312"/>
          <w:color w:val="auto"/>
          <w:sz w:val="32"/>
          <w:szCs w:val="32"/>
        </w:rPr>
        <w:t>打造一个100亿产值的大健康产业集聚区，培育上市企业2个。打造5家医养结合康养机构、1-2个省内领先的医养结合示范项目、13个医养服务示范点。培育和发展优质药品医疗器械生产企业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形成一批具备核心竞争力的健康服务产品，2025年底，区内药品生产企业不少于3家，医疗器械生产企业不少于20家，东部新中心新（扩）建1家市属医院。</w:t>
      </w:r>
    </w:p>
    <w:p>
      <w:pPr>
        <w:pStyle w:val="8"/>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hAnsiTheme="minorHAnsi" w:cstheme="minorBidi"/>
          <w:b/>
          <w:bCs/>
          <w:color w:val="auto"/>
          <w:kern w:val="2"/>
          <w:sz w:val="32"/>
          <w:szCs w:val="32"/>
          <w:lang w:val="en-US" w:eastAsia="zh-CN" w:bidi="ar-SA"/>
        </w:rPr>
        <w:t>二是居民健康水平和健康素养进一步提升。</w:t>
      </w:r>
      <w:r>
        <w:rPr>
          <w:rFonts w:hint="eastAsia" w:ascii="仿宋_GB2312" w:hAnsi="仿宋_GB2312" w:eastAsia="仿宋_GB2312" w:cs="仿宋_GB2312"/>
          <w:color w:val="auto"/>
          <w:kern w:val="2"/>
          <w:sz w:val="32"/>
          <w:szCs w:val="32"/>
          <w:lang w:val="en-US" w:eastAsia="zh-CN" w:bidi="ar-SA"/>
        </w:rPr>
        <w:t>到2025年，早癌检测率提高5%，高血压规范管理率提高5%，全民健康素养水平提高5%。健康生活方式加快推广，青少年新发近视率明显下降。心脑血管疾病、癌症、慢性呼吸系统疾病、糖尿病等重大慢性病发病率上升趋势得到遏制，恶性肿瘤五年生存率在2020年基础上提高1%。重点传染病、严重精神障碍、地方病、职业病得到有效防控。</w:t>
      </w:r>
      <w:r>
        <w:rPr>
          <w:rFonts w:hint="eastAsia" w:ascii="仿宋_GB2312" w:hAnsi="仿宋_GB2312" w:eastAsia="仿宋_GB2312" w:cs="仿宋_GB2312"/>
          <w:b w:val="0"/>
          <w:color w:val="auto"/>
          <w:kern w:val="2"/>
          <w:sz w:val="32"/>
          <w:szCs w:val="32"/>
          <w:lang w:val="en-US" w:eastAsia="zh-CN" w:bidi="ar-SA"/>
        </w:rPr>
        <w:t>二级及以上综合医院牙椅数较2021年增加20%。全区牙椅数达到400张，其中公立医疗卫生机构牙椅占比达到15%以上。80%的社区卫生服务中心配备专职口腔医师，每万人口口腔执业（助理）医师数力争达到3人，医护比达到1：1.1。6-9岁人群口腔卫生知识知晓率达到85%以上，窝沟封闭完好率达到90%以上。口腔医疗卫生机构患者满意度达到90%以上。</w:t>
      </w:r>
    </w:p>
    <w:p>
      <w:pPr>
        <w:pStyle w:val="26"/>
        <w:keepNext w:val="0"/>
        <w:keepLines w:val="0"/>
        <w:pageBreakBefore w:val="0"/>
        <w:kinsoku/>
        <w:wordWrap/>
        <w:overflowPunct/>
        <w:topLinePunct w:val="0"/>
        <w:autoSpaceDE/>
        <w:autoSpaceDN/>
        <w:bidi w:val="0"/>
        <w:adjustRightInd/>
        <w:snapToGrid/>
        <w:spacing w:line="560" w:lineRule="exact"/>
        <w:textAlignment w:val="auto"/>
        <w:rPr>
          <w:rFonts w:hint="eastAsia"/>
          <w:b/>
          <w:bCs/>
          <w:color w:val="auto"/>
        </w:rPr>
      </w:pPr>
      <w:r>
        <w:rPr>
          <w:rFonts w:hint="eastAsia"/>
          <w:b/>
          <w:bCs/>
          <w:color w:val="auto"/>
          <w:lang w:val="en-US" w:eastAsia="zh-CN"/>
        </w:rPr>
        <w:t>三是</w:t>
      </w:r>
      <w:r>
        <w:rPr>
          <w:rFonts w:hint="eastAsia"/>
          <w:b/>
          <w:bCs/>
          <w:color w:val="auto"/>
        </w:rPr>
        <w:t>优质均衡的公共卫生服务体系基本形成。</w:t>
      </w:r>
      <w:r>
        <w:rPr>
          <w:rFonts w:hint="eastAsia"/>
          <w:color w:val="auto"/>
        </w:rPr>
        <w:t>到2</w:t>
      </w:r>
      <w:r>
        <w:rPr>
          <w:color w:val="auto"/>
        </w:rPr>
        <w:t>025</w:t>
      </w:r>
      <w:r>
        <w:rPr>
          <w:rFonts w:hint="eastAsia"/>
          <w:color w:val="auto"/>
        </w:rPr>
        <w:t>年，“医卫融合”“教卫融合”</w:t>
      </w:r>
      <w:r>
        <w:rPr>
          <w:rFonts w:hint="eastAsia"/>
          <w:color w:val="auto"/>
          <w:lang w:eastAsia="zh-CN"/>
        </w:rPr>
        <w:t>“</w:t>
      </w:r>
      <w:r>
        <w:rPr>
          <w:rFonts w:hint="eastAsia"/>
          <w:color w:val="auto"/>
          <w:lang w:val="en-US" w:eastAsia="zh-CN"/>
        </w:rPr>
        <w:t>医防融合</w:t>
      </w:r>
      <w:r>
        <w:rPr>
          <w:rFonts w:hint="eastAsia"/>
          <w:color w:val="auto"/>
          <w:lang w:eastAsia="zh-CN"/>
        </w:rPr>
        <w:t>”</w:t>
      </w:r>
      <w:r>
        <w:rPr>
          <w:rFonts w:hint="eastAsia"/>
          <w:color w:val="auto"/>
        </w:rPr>
        <w:t>与“医养融合”等举措进一步发挥战斗力。</w:t>
      </w:r>
      <w:r>
        <w:rPr>
          <w:rFonts w:hint="eastAsia"/>
          <w:bCs/>
          <w:color w:val="auto"/>
        </w:rPr>
        <w:t>做好居民全生命周期健康管理</w:t>
      </w:r>
      <w:r>
        <w:rPr>
          <w:rFonts w:hint="eastAsia"/>
          <w:bCs/>
          <w:color w:val="auto"/>
          <w:lang w:eastAsia="zh-CN"/>
        </w:rPr>
        <w:t>，做实</w:t>
      </w:r>
      <w:r>
        <w:rPr>
          <w:rFonts w:hint="eastAsia"/>
          <w:color w:val="auto"/>
        </w:rPr>
        <w:t>出生缺陷筛查、儿童健康管理、学校卫生、心理健康、康复、医养融合、临终关怀</w:t>
      </w:r>
      <w:r>
        <w:rPr>
          <w:rFonts w:hint="eastAsia"/>
          <w:color w:val="auto"/>
          <w:lang w:eastAsia="zh-CN"/>
        </w:rPr>
        <w:t>等</w:t>
      </w:r>
      <w:r>
        <w:rPr>
          <w:rFonts w:hint="eastAsia"/>
          <w:color w:val="auto"/>
        </w:rPr>
        <w:t>。加强康复、老年病、长期护理、慢性病管理等接续性医疗机构建设。完善计划生育服务管理。推进基本公共卫生服务均等化。</w:t>
      </w:r>
    </w:p>
    <w:p>
      <w:pPr>
        <w:pStyle w:val="26"/>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r>
        <w:rPr>
          <w:rFonts w:hint="eastAsia"/>
          <w:b/>
          <w:bCs/>
          <w:color w:val="auto"/>
          <w:lang w:val="en-US" w:eastAsia="zh-CN"/>
        </w:rPr>
        <w:t>四是</w:t>
      </w:r>
      <w:r>
        <w:rPr>
          <w:rFonts w:hint="eastAsia"/>
          <w:b/>
          <w:bCs/>
          <w:color w:val="auto"/>
        </w:rPr>
        <w:t>健康服务供给侧结构性改革进一步深化。</w:t>
      </w:r>
      <w:r>
        <w:rPr>
          <w:rFonts w:hint="eastAsia"/>
          <w:color w:val="auto"/>
        </w:rPr>
        <w:t>到2025年，多元办医格局进一步优化，推动非公立医疗机构向高水平、规模化方向发展。创新健康服务模式，</w:t>
      </w:r>
      <w:bookmarkStart w:id="7" w:name="_Hlk37368102"/>
      <w:r>
        <w:rPr>
          <w:rFonts w:hint="eastAsia"/>
          <w:color w:val="auto"/>
        </w:rPr>
        <w:t>推进智慧健康服务体系建设</w:t>
      </w:r>
      <w:bookmarkEnd w:id="7"/>
      <w:r>
        <w:rPr>
          <w:rFonts w:hint="eastAsia"/>
          <w:color w:val="auto"/>
        </w:rPr>
        <w:t>。拓展健康服务业，培育一批有特色的健康管理服务产业，推进可穿戴设备、智能健康电子产品和健康医疗移动应用服务等发展。</w:t>
      </w:r>
    </w:p>
    <w:p>
      <w:pPr>
        <w:pStyle w:val="26"/>
        <w:keepNext w:val="0"/>
        <w:keepLines w:val="0"/>
        <w:pageBreakBefore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hAnsi="仿宋_GB2312" w:cs="仿宋_GB2312"/>
          <w:b/>
          <w:bCs/>
          <w:color w:val="auto"/>
          <w:kern w:val="2"/>
          <w:sz w:val="32"/>
          <w:szCs w:val="32"/>
          <w:lang w:val="en-US" w:eastAsia="zh-CN" w:bidi="ar-SA"/>
        </w:rPr>
        <w:t>五</w:t>
      </w:r>
      <w:r>
        <w:rPr>
          <w:rFonts w:hint="eastAsia" w:ascii="仿宋_GB2312" w:hAnsi="仿宋_GB2312" w:eastAsia="仿宋_GB2312" w:cs="仿宋_GB2312"/>
          <w:b/>
          <w:bCs/>
          <w:color w:val="auto"/>
          <w:kern w:val="2"/>
          <w:sz w:val="32"/>
          <w:szCs w:val="32"/>
          <w:lang w:val="en-US" w:eastAsia="zh-CN" w:bidi="ar-SA"/>
        </w:rPr>
        <w:t>是托育服务建设力度进一步加大。</w:t>
      </w:r>
      <w:r>
        <w:rPr>
          <w:rFonts w:hint="eastAsia"/>
          <w:color w:val="auto"/>
        </w:rPr>
        <w:t>到2025年，总托位数达6495个左右，千人口托位数达5.6个以上，基本实现全区社区托育机构全覆盖。2022-2025年，全区每年至少建成1个普惠性托育服务机构。到2025年，全区公办独立托育机构不少于1个。</w:t>
      </w:r>
    </w:p>
    <w:p>
      <w:pPr>
        <w:rPr>
          <w:rFonts w:hint="eastAsia"/>
          <w:color w:val="auto"/>
        </w:rPr>
      </w:pPr>
      <w:r>
        <w:rPr>
          <w:rFonts w:hint="eastAsia" w:ascii="方正小标宋简体" w:hAnsi="方正小标宋简体" w:eastAsia="方正小标宋简体" w:cs="方正小标宋简体"/>
          <w:color w:val="auto"/>
        </w:rPr>
        <w:br w:type="page"/>
      </w:r>
    </w:p>
    <w:p>
      <w:pPr>
        <w:ind w:left="0" w:leftChars="0" w:firstLine="0" w:firstLineChars="0"/>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卫生健康事业发展“十四五”规划指标体系</w:t>
      </w:r>
    </w:p>
    <w:tbl>
      <w:tblPr>
        <w:tblStyle w:val="16"/>
        <w:tblW w:w="88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9"/>
        <w:gridCol w:w="1271"/>
        <w:gridCol w:w="4069"/>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指标类别</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40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指标名称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人群健康</w:t>
            </w:r>
          </w:p>
        </w:tc>
        <w:tc>
          <w:tcPr>
            <w:tcW w:w="12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b w:val="0"/>
                <w:bCs w:val="0"/>
                <w:i w:val="0"/>
                <w:iCs w:val="0"/>
                <w:color w:val="auto"/>
                <w:sz w:val="24"/>
                <w:szCs w:val="24"/>
                <w:u w:val="none"/>
              </w:rPr>
            </w:pPr>
            <w:r>
              <w:rPr>
                <w:rFonts w:hint="eastAsia" w:ascii="仿宋_GB2312" w:hAnsi="宋体" w:eastAsia="仿宋_GB2312" w:cs="仿宋_GB2312"/>
                <w:b w:val="0"/>
                <w:bCs w:val="0"/>
                <w:i w:val="0"/>
                <w:iCs w:val="0"/>
                <w:color w:val="auto"/>
                <w:kern w:val="0"/>
                <w:sz w:val="24"/>
                <w:szCs w:val="24"/>
                <w:u w:val="none"/>
                <w:lang w:val="en-US" w:eastAsia="zh-CN" w:bidi="ar"/>
              </w:rPr>
              <w:t>人均期望寿命（岁）</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b w:val="0"/>
                <w:bCs w:val="0"/>
                <w:i w:val="0"/>
                <w:iCs w:val="0"/>
                <w:color w:val="auto"/>
                <w:sz w:val="24"/>
                <w:szCs w:val="24"/>
                <w:u w:val="none"/>
              </w:rPr>
            </w:pPr>
            <w:r>
              <w:rPr>
                <w:rFonts w:hint="eastAsia" w:ascii="仿宋_GB2312" w:hAnsi="宋体" w:eastAsia="仿宋_GB2312" w:cs="仿宋_GB2312"/>
                <w:b w:val="0"/>
                <w:bCs w:val="0"/>
                <w:i w:val="0"/>
                <w:iCs w:val="0"/>
                <w:color w:val="auto"/>
                <w:kern w:val="0"/>
                <w:sz w:val="24"/>
                <w:szCs w:val="24"/>
                <w:u w:val="none"/>
                <w:lang w:val="en-US" w:eastAsia="zh-CN" w:bidi="ar"/>
              </w:rPr>
              <w:t>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甲乙类传染病发病率（%）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≤0.253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法定传染病报告率（%）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婴儿死亡率（‰）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5岁以下儿童死亡率（‰）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孕产妇死亡率（1/10万）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疾病预防</w:t>
            </w: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适龄儿童免疫规划疫苗接种率（%）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高血压规范管理率（%）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宋体" w:cs="宋体"/>
                <w:i w:val="0"/>
                <w:iCs w:val="0"/>
                <w:color w:val="000000"/>
                <w:sz w:val="22"/>
                <w:szCs w:val="22"/>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糖尿病规范管理率（%）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rPr>
                <w:rFonts w:hint="eastAsia" w:ascii="宋体" w:hAnsi="宋体" w:eastAsia="宋体" w:cs="宋体"/>
                <w:i w:val="0"/>
                <w:iCs w:val="0"/>
                <w:color w:val="000000"/>
                <w:sz w:val="22"/>
                <w:szCs w:val="22"/>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严重精神障碍患者规范管理率（%）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健康管理</w:t>
            </w: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居民健康素养水平（%）</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居民心理健康素养水平（%）</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居民健康档案规范化电子建档率（%）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孕产妇系统管理率（%）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40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65岁以上老年人健康管理率（%）</w:t>
            </w:r>
          </w:p>
        </w:tc>
        <w:tc>
          <w:tcPr>
            <w:tcW w:w="21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医疗服务</w:t>
            </w:r>
          </w:p>
        </w:tc>
        <w:tc>
          <w:tcPr>
            <w:tcW w:w="127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4069"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基层医疗卫生机构诊疗量占比（%）</w:t>
            </w:r>
          </w:p>
        </w:tc>
        <w:tc>
          <w:tcPr>
            <w:tcW w:w="214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医疗资源</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17</w:t>
            </w:r>
          </w:p>
        </w:tc>
        <w:tc>
          <w:tcPr>
            <w:tcW w:w="4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每千常住人口床位数（张）</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8.5左右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69"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18</w:t>
            </w:r>
          </w:p>
        </w:tc>
        <w:tc>
          <w:tcPr>
            <w:tcW w:w="4069"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每千常住人口执业（助理）医师数（人）</w:t>
            </w:r>
          </w:p>
        </w:tc>
        <w:tc>
          <w:tcPr>
            <w:tcW w:w="214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3.6左右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9"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19</w:t>
            </w:r>
          </w:p>
        </w:tc>
        <w:tc>
          <w:tcPr>
            <w:tcW w:w="4069"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每千常住人口注册护士数（人）</w:t>
            </w:r>
          </w:p>
        </w:tc>
        <w:tc>
          <w:tcPr>
            <w:tcW w:w="214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4.8左右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69"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4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auto"/>
                <w:kern w:val="0"/>
                <w:sz w:val="24"/>
                <w:szCs w:val="24"/>
                <w:u w:val="none"/>
                <w:lang w:val="en-US" w:eastAsia="zh-CN" w:bidi="ar"/>
              </w:rPr>
              <w:t>每万常住人口公共卫生人员数（人）</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69" w:type="dxa"/>
            <w:vMerge w:val="continue"/>
            <w:tcBorders>
              <w:left w:val="single" w:color="auto" w:sz="4" w:space="0"/>
              <w:bottom w:val="single" w:color="000000" w:sz="8" w:space="0"/>
              <w:right w:val="single" w:color="auto" w:sz="4" w:space="0"/>
            </w:tcBorders>
            <w:shd w:val="clear" w:color="auto" w:fill="auto"/>
            <w:vAlign w:val="center"/>
          </w:tcPr>
          <w:p>
            <w:pPr>
              <w:spacing w:line="240" w:lineRule="auto"/>
              <w:ind w:firstLine="0" w:firstLineChars="0"/>
              <w:jc w:val="center"/>
              <w:rPr>
                <w:rFonts w:hint="eastAsia" w:ascii="仿宋_GB2312" w:hAnsi="宋体" w:eastAsia="仿宋_GB2312" w:cs="仿宋_GB2312"/>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21</w:t>
            </w:r>
          </w:p>
        </w:tc>
        <w:tc>
          <w:tcPr>
            <w:tcW w:w="4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每万常住人口全科医生数（人）</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3.93</w:t>
            </w:r>
          </w:p>
        </w:tc>
      </w:tr>
    </w:tbl>
    <w:p>
      <w:pPr>
        <w:pStyle w:val="7"/>
        <w:bidi w:val="0"/>
        <w:ind w:left="0" w:leftChars="0" w:firstLine="0" w:firstLineChars="0"/>
        <w:rPr>
          <w:rFonts w:hint="eastAsia"/>
          <w:lang w:eastAsia="zh-CN"/>
        </w:rPr>
      </w:pPr>
    </w:p>
    <w:p>
      <w:pPr>
        <w:pStyle w:val="7"/>
        <w:bidi w:val="0"/>
        <w:rPr>
          <w:rFonts w:hint="eastAsia"/>
        </w:rPr>
      </w:pPr>
    </w:p>
    <w:p>
      <w:pPr>
        <w:rPr>
          <w:rFonts w:hint="eastAsia"/>
        </w:rPr>
        <w:sectPr>
          <w:footerReference r:id="rId7" w:type="default"/>
          <w:pgSz w:w="11906" w:h="16838"/>
          <w:pgMar w:top="2098" w:right="1474" w:bottom="1984" w:left="1587" w:header="851" w:footer="992" w:gutter="0"/>
          <w:pgNumType w:fmt="numberInDash" w:start="1"/>
          <w:cols w:space="425" w:num="1"/>
          <w:docGrid w:type="lines" w:linePitch="312" w:charSpace="0"/>
        </w:sectPr>
      </w:pP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val="0"/>
        <w:topLinePunct w:val="0"/>
        <w:autoSpaceDE/>
        <w:autoSpaceDN/>
        <w:bidi w:val="0"/>
        <w:adjustRightInd/>
        <w:snapToGrid/>
        <w:spacing w:before="0" w:beforeAutospacing="0" w:after="0" w:afterAutospacing="0" w:line="560" w:lineRule="exact"/>
        <w:jc w:val="center"/>
        <w:textAlignment w:val="center"/>
        <w:rPr>
          <w:rFonts w:hint="eastAsia" w:ascii="黑体" w:hAnsi="黑体" w:eastAsia="黑体" w:cs="黑体"/>
          <w:b w:val="0"/>
          <w:bCs/>
          <w:color w:val="auto"/>
        </w:rPr>
      </w:pPr>
      <w:bookmarkStart w:id="8" w:name="_Toc380"/>
      <w:r>
        <w:rPr>
          <w:rFonts w:hint="eastAsia" w:ascii="黑体" w:hAnsi="黑体" w:eastAsia="黑体" w:cs="黑体"/>
          <w:b w:val="0"/>
          <w:bCs/>
          <w:color w:val="auto"/>
        </w:rPr>
        <w:t>第三章 主要任务及重点项目</w:t>
      </w:r>
      <w:bookmarkEnd w:id="8"/>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lang w:val="en-US" w:eastAsia="zh-CN"/>
        </w:rPr>
      </w:pPr>
      <w:bookmarkStart w:id="9" w:name="_Toc7250"/>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、推动健康产业</w:t>
      </w:r>
      <w:r>
        <w:rPr>
          <w:rFonts w:hint="eastAsia" w:ascii="黑体" w:hAnsi="黑体" w:eastAsia="黑体" w:cs="黑体"/>
          <w:b w:val="0"/>
          <w:bCs/>
          <w:color w:val="auto"/>
          <w:sz w:val="32"/>
          <w:szCs w:val="32"/>
          <w:lang w:val="en-US" w:eastAsia="zh-CN"/>
        </w:rPr>
        <w:t>高质量发展</w:t>
      </w:r>
      <w:bookmarkEnd w:id="9"/>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（一）优化产业布局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东部新中心建设，高标准规划建设“龙岗大健康产业基地”，按照“一基地两区多点”进行规划布局。北区规划用地面积0.85平方公里，约1275亩，其中建设用地约1000亩，重点布局生物医药、高端医疗器械、健康管理和服务等产业，以长三角数字科技示范园及尚荣大健康产业园为主体。目前已入驻盒子健康、卡迪生物、安徽卓影医疗科技有限公司等一批优质大健康企业，已初具规模，后备待招商地块剩余119.2亩。南区规划用地面积0.60平方公里，约900亩，其中建设用地约500亩，重点布局医疗器械、诊断试剂、特医食品等产业。目前已入驻国泰国瑞研发生产基地项目，后备待招商地块剩余379.5亩。多点为分布在全区的已建、在建及拟建的大健康产业相关项目，包括辅助医疗器械制造基地、大健康总部基地、医养结合中心、健康消费中心四大类，发展辅助医疗器械制造、大健康生产性服务业、美体健身医学美容等美丽产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（二）加强龙头企业引进培育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olor w:val="auto"/>
          <w:sz w:val="32"/>
          <w:szCs w:val="32"/>
          <w:lang w:val="en-US" w:eastAsia="zh-CN"/>
        </w:rPr>
        <w:t>鼓励区大健康产业招商小组</w:t>
      </w:r>
      <w:r>
        <w:rPr>
          <w:rFonts w:hint="eastAsia" w:ascii="仿宋_GB2312" w:hAnsi="仿宋_GB2312" w:eastAsia="仿宋_GB2312" w:cs="仿宋_GB2312"/>
          <w:b w:val="0"/>
          <w:bCs w:val="0"/>
          <w:i w:val="0"/>
          <w:iCs w:val="0"/>
          <w:caps w:val="0"/>
          <w:color w:val="auto"/>
          <w:spacing w:val="0"/>
          <w:sz w:val="32"/>
          <w:szCs w:val="32"/>
          <w:shd w:val="clear" w:fill="FFFFFF"/>
        </w:rPr>
        <w:t>带队到深圳、</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江苏</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武汉</w:t>
      </w:r>
      <w:r>
        <w:rPr>
          <w:rFonts w:hint="eastAsia" w:ascii="仿宋_GB2312" w:hAnsi="仿宋_GB2312" w:eastAsia="仿宋_GB2312" w:cs="仿宋_GB2312"/>
          <w:b w:val="0"/>
          <w:bCs w:val="0"/>
          <w:i w:val="0"/>
          <w:iCs w:val="0"/>
          <w:caps w:val="0"/>
          <w:color w:val="auto"/>
          <w:spacing w:val="0"/>
          <w:sz w:val="32"/>
          <w:szCs w:val="32"/>
          <w:shd w:val="clear" w:fill="FFFFFF"/>
        </w:rPr>
        <w:t>等地考察学习</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大健康</w:t>
      </w:r>
      <w:r>
        <w:rPr>
          <w:rFonts w:hint="eastAsia" w:ascii="仿宋_GB2312" w:hAnsi="仿宋_GB2312" w:eastAsia="仿宋_GB2312" w:cs="仿宋_GB2312"/>
          <w:b w:val="0"/>
          <w:bCs w:val="0"/>
          <w:i w:val="0"/>
          <w:iCs w:val="0"/>
          <w:caps w:val="0"/>
          <w:color w:val="auto"/>
          <w:spacing w:val="0"/>
          <w:sz w:val="32"/>
          <w:szCs w:val="32"/>
          <w:shd w:val="clear" w:fill="FFFFFF"/>
        </w:rPr>
        <w:t>产业发展经验，</w:t>
      </w:r>
      <w:r>
        <w:rPr>
          <w:rFonts w:ascii="Times New Roman" w:hAnsi="Times New Roman" w:eastAsia="仿宋_GB2312" w:cs="Times New Roman"/>
          <w:sz w:val="32"/>
          <w:szCs w:val="32"/>
        </w:rPr>
        <w:t>主动走出去，走访相关重点企业，宣传和推介瑶海，力争在重大项目引进上有更大突破</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auto"/>
          <w:kern w:val="0"/>
          <w:sz w:val="32"/>
          <w:szCs w:val="32"/>
        </w:rPr>
        <w:t>加强行业龙头企业引进，</w:t>
      </w:r>
      <w:r>
        <w:rPr>
          <w:rFonts w:hint="eastAsia" w:ascii="仿宋_GB2312" w:hAnsi="仿宋_GB2312" w:eastAsia="仿宋_GB2312" w:cs="仿宋_GB2312"/>
          <w:color w:val="auto"/>
          <w:sz w:val="32"/>
          <w:szCs w:val="32"/>
        </w:rPr>
        <w:t>同时加强培育</w:t>
      </w:r>
      <w:r>
        <w:rPr>
          <w:rFonts w:hint="eastAsia" w:ascii="仿宋_GB2312" w:hAnsi="仿宋_GB2312" w:eastAsia="仿宋_GB2312" w:cs="仿宋_GB2312"/>
          <w:color w:val="auto"/>
          <w:kern w:val="0"/>
          <w:sz w:val="32"/>
          <w:szCs w:val="32"/>
        </w:rPr>
        <w:t>静安养老、九久夕阳红等本土龙头企业，形成区域性带动效应。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（三）引导企业集聚发展</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依托深圳尚荣医疗上下游产业链资源、</w:t>
      </w:r>
      <w:r>
        <w:rPr>
          <w:rFonts w:hint="eastAsia" w:ascii="仿宋_GB2312" w:hAnsi="仿宋_GB2312" w:eastAsia="仿宋_GB2312" w:cs="仿宋_GB2312"/>
          <w:sz w:val="32"/>
          <w:szCs w:val="32"/>
        </w:rPr>
        <w:t>深圳投资商会、</w:t>
      </w:r>
      <w:r>
        <w:rPr>
          <w:rFonts w:hint="eastAsia" w:ascii="仿宋_GB2312" w:hAnsi="仿宋_GB2312" w:eastAsia="仿宋_GB2312" w:cs="仿宋_GB2312"/>
          <w:color w:val="auto"/>
          <w:sz w:val="32"/>
          <w:szCs w:val="32"/>
        </w:rPr>
        <w:t>安徽医疗器械协会等平台，引导高端医疗器械产业集聚发展。紧抓静安集团国家级智慧健康养老示范企业总部建设契机，</w:t>
      </w:r>
      <w:r>
        <w:rPr>
          <w:rFonts w:hint="eastAsia" w:ascii="仿宋_GB2312" w:hAnsi="仿宋_GB2312" w:eastAsia="仿宋_GB2312" w:cs="仿宋_GB2312"/>
          <w:sz w:val="32"/>
          <w:szCs w:val="32"/>
        </w:rPr>
        <w:t>引进“海峡两岸健康养老高峰论坛”永久会址，</w:t>
      </w:r>
      <w:r>
        <w:rPr>
          <w:rFonts w:hint="eastAsia" w:ascii="仿宋_GB2312" w:hAnsi="仿宋_GB2312" w:eastAsia="仿宋_GB2312" w:cs="仿宋_GB2312"/>
          <w:color w:val="auto"/>
          <w:sz w:val="32"/>
          <w:szCs w:val="32"/>
        </w:rPr>
        <w:t>引导健康养老产业集聚发展。利用山东罗欣集团的影响力和产业号召力，组织开展医药产业发展论坛，吸引其合作企业和上下游企业，组建瑶海医药产业联盟，引导医药产业的集聚发展。</w:t>
      </w: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（四）加快重点项目建设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以重点项目建设为抓手，围绕增强产业发展后劲，狠抓项目建设，</w:t>
      </w:r>
      <w:r>
        <w:rPr>
          <w:rFonts w:hint="default" w:ascii="仿宋_GB2312" w:hAnsi="仿宋_GB2312" w:eastAsia="仿宋_GB2312" w:cs="仿宋_GB2312"/>
          <w:color w:val="auto"/>
          <w:kern w:val="0"/>
          <w:sz w:val="32"/>
          <w:szCs w:val="32"/>
          <w:lang w:val="en-US" w:eastAsia="zh-CN" w:bidi="ar-SA"/>
        </w:rPr>
        <w:t>做好项目前期服务和保障工作</w:t>
      </w:r>
      <w:r>
        <w:rPr>
          <w:rFonts w:hint="eastAsia" w:ascii="仿宋_GB2312" w:hAnsi="仿宋_GB2312" w:eastAsia="仿宋_GB2312" w:cs="仿宋_GB2312"/>
          <w:color w:val="auto"/>
          <w:kern w:val="0"/>
          <w:sz w:val="32"/>
          <w:szCs w:val="32"/>
          <w:lang w:val="en-US" w:eastAsia="zh-CN" w:bidi="ar-SA"/>
        </w:rPr>
        <w:t>，强化重点产业全周期项目服务，发挥项目包联和三级调度机制作用，加强在建项目跟踪监测，及时会商，化解问题。加快罗欣药业科技产业园、弘帆医药科技园、九久夕阳红健康养老总部等项目建设，持续推进龙岗第二社区卫生服务中心、七里站街道社区卫生服务中心、城东和胜利明光街道社区卫生服务中心等4个建设项目，</w:t>
      </w:r>
      <w:r>
        <w:rPr>
          <w:rFonts w:hint="default" w:ascii="仿宋_GB2312" w:hAnsi="仿宋_GB2312" w:eastAsia="仿宋_GB2312" w:cs="仿宋_GB2312"/>
          <w:color w:val="auto"/>
          <w:kern w:val="0"/>
          <w:sz w:val="32"/>
          <w:szCs w:val="32"/>
          <w:lang w:val="en-US" w:eastAsia="zh-CN" w:bidi="ar-SA"/>
        </w:rPr>
        <w:t>推动重点项目</w:t>
      </w:r>
      <w:r>
        <w:rPr>
          <w:rFonts w:hint="eastAsia" w:ascii="仿宋_GB2312" w:hAnsi="仿宋_GB2312" w:eastAsia="仿宋_GB2312" w:cs="仿宋_GB2312"/>
          <w:color w:val="auto"/>
          <w:kern w:val="0"/>
          <w:sz w:val="32"/>
          <w:szCs w:val="32"/>
          <w:lang w:val="en-US" w:eastAsia="zh-CN" w:bidi="ar-SA"/>
        </w:rPr>
        <w:t>早</w:t>
      </w:r>
      <w:r>
        <w:rPr>
          <w:rFonts w:hint="default" w:ascii="仿宋_GB2312" w:hAnsi="仿宋_GB2312" w:eastAsia="仿宋_GB2312" w:cs="仿宋_GB2312"/>
          <w:color w:val="auto"/>
          <w:kern w:val="0"/>
          <w:sz w:val="32"/>
          <w:szCs w:val="32"/>
          <w:lang w:val="en-US" w:eastAsia="zh-CN" w:bidi="ar-SA"/>
        </w:rPr>
        <w:t>落地。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（五）着力大健康产业链构建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依托安徽尚荣大健康产业园等现有平台，以省级智慧健康养老应用试点示范单位：龙岗综合经济开发区、瑶海区七里站街道为载体，以历年获得智慧健康养老应用试点示范企业为引擎，着力搭建集“教育、培训、应用、康养”于一体的新型产业基地，鼓励、支持重点企业建设医养结合产业项目，打造合肥市领先的医养结合示范标杆。依托罗欣药业、弘帆医药、尚荣医疗、盒子健康等行业头部企业,打造“省级生物医药和高端医疗器械重大新兴产业基地”。到2025年，上下游协同的大健康产业链基本形成。</w:t>
      </w:r>
    </w:p>
    <w:tbl>
      <w:tblPr>
        <w:tblStyle w:val="1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820" w:type="dxa"/>
          </w:tcPr>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华文楷体" w:hAnsi="华文楷体" w:eastAsia="华文楷体" w:cstheme="minorBidi"/>
                <w:color w:val="auto"/>
                <w:kern w:val="2"/>
                <w:sz w:val="32"/>
                <w:szCs w:val="32"/>
                <w:lang w:val="en-US" w:eastAsia="zh-CN" w:bidi="ar-SA"/>
              </w:rPr>
            </w:pPr>
            <w:r>
              <w:rPr>
                <w:rFonts w:hint="eastAsia" w:ascii="华文楷体" w:hAnsi="华文楷体" w:eastAsia="华文楷体" w:cstheme="minorBidi"/>
                <w:color w:val="auto"/>
                <w:kern w:val="2"/>
                <w:sz w:val="32"/>
                <w:szCs w:val="32"/>
                <w:lang w:val="zh-CN" w:eastAsia="zh-CN" w:bidi="ar-SA"/>
              </w:rPr>
              <w:t>专栏</w:t>
            </w:r>
            <w:r>
              <w:rPr>
                <w:rFonts w:hint="eastAsia" w:ascii="华文楷体" w:hAnsi="华文楷体" w:eastAsia="华文楷体" w:cstheme="minorBidi"/>
                <w:color w:val="auto"/>
                <w:kern w:val="2"/>
                <w:sz w:val="32"/>
                <w:szCs w:val="32"/>
                <w:lang w:val="en-US" w:eastAsia="zh-CN" w:bidi="ar-SA"/>
              </w:rPr>
              <w:t>1</w:t>
            </w: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医疗器械：</w:t>
            </w:r>
            <w:r>
              <w:rPr>
                <w:rFonts w:hint="eastAsia" w:ascii="仿宋_GB2312" w:hAnsi="仿宋_GB2312" w:eastAsia="仿宋_GB2312" w:cs="仿宋_GB2312"/>
                <w:color w:val="auto"/>
                <w:kern w:val="2"/>
                <w:sz w:val="32"/>
                <w:szCs w:val="32"/>
                <w:lang w:val="zh-CN" w:eastAsia="zh-CN" w:bidi="ar-SA"/>
              </w:rPr>
              <w:t>依托安徽盒子健康科技有限公司N95医用防护口罩超级工厂，深化盒子健康与安徽大学合作共建，进一步提升医用N95个人防护用品研发能力，打造科工贸、产学研一体化的高科技卫生材料产业。推动尚荣集团旗下优质关联企业入驻尚荣大健康产业园，加速承接长三角地区大健康产业转移，开发和提升移动医疗装备和高端医疗配套产品。支持安徽比格尼斯医药有限公司加快搬迁改造步伐，推动研发制造腔镜吻合器等外科手术用高端医疗器材。以智能化、网络化、便携化医疗器械和远程医学诊疗为主要发展方向，加快医学健康大数据、云计算、移动医学检诊系统的研究应用，发展可穿戴智能医疗设备、可携带多功能监测仪、掌上超声设备、即时检验产品、康复矫正设施、远程监测等智慧医疗设备。</w:t>
            </w: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生物医药：</w:t>
            </w:r>
            <w:r>
              <w:rPr>
                <w:rFonts w:hint="eastAsia" w:ascii="仿宋_GB2312" w:hAnsi="仿宋_GB2312" w:eastAsia="仿宋_GB2312" w:cs="仿宋_GB2312"/>
                <w:color w:val="auto"/>
                <w:kern w:val="2"/>
                <w:sz w:val="32"/>
                <w:szCs w:val="32"/>
                <w:lang w:val="zh-CN" w:eastAsia="zh-CN" w:bidi="ar-SA"/>
              </w:rPr>
              <w:t>抢抓罗欣药业入驻契机，以完善生物医药产业链为主线，加大对行业上下游企业的招商引资力度，强化产业补链延链，支持发展基因工程药物、生物医药、中成药、化学原料药及其制剂、抗生素原料药及其制剂、生化药品、中药饮片、保健食品等，配套建设药用辅料、药用包装材料等配套医药制造业，积极引入医药研发、试验、检测等服务业企业，培育供销、健康服务等生物医药总部，推动生物医药研发、生产、贸易一体</w:t>
            </w:r>
            <w:r>
              <w:rPr>
                <w:rFonts w:hint="eastAsia" w:ascii="仿宋_GB2312" w:hAnsi="仿宋_GB2312" w:eastAsia="仿宋_GB2312" w:cs="仿宋_GB2312"/>
                <w:color w:val="auto"/>
                <w:kern w:val="2"/>
                <w:sz w:val="32"/>
                <w:szCs w:val="32"/>
                <w:lang w:val="en-US" w:eastAsia="zh-CN" w:bidi="ar-SA"/>
              </w:rPr>
              <w:t>化发展</w:t>
            </w:r>
            <w:r>
              <w:rPr>
                <w:rFonts w:hint="eastAsia" w:ascii="仿宋_GB2312" w:hAnsi="仿宋_GB2312" w:eastAsia="仿宋_GB2312" w:cs="仿宋_GB2312"/>
                <w:color w:val="auto"/>
                <w:kern w:val="2"/>
                <w:sz w:val="32"/>
                <w:szCs w:val="32"/>
                <w:lang w:val="zh-CN" w:eastAsia="zh-CN" w:bidi="ar-SA"/>
              </w:rPr>
              <w:t>。</w:t>
            </w: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养老产业：</w:t>
            </w:r>
            <w:r>
              <w:rPr>
                <w:rFonts w:hint="eastAsia" w:ascii="仿宋_GB2312" w:hAnsi="仿宋_GB2312" w:eastAsia="仿宋_GB2312" w:cs="仿宋_GB2312"/>
                <w:color w:val="auto"/>
                <w:kern w:val="2"/>
                <w:sz w:val="32"/>
                <w:szCs w:val="32"/>
                <w:lang w:val="zh-CN" w:eastAsia="zh-CN" w:bidi="ar-SA"/>
              </w:rPr>
              <w:t>发挥市二院、静安中西医结合医院等医疗机构和市二院老年护理院、静安养亲苑、九久夕阳红总部基地及医养结合中心等养老机构的引领作用，引进一批知名医养结合机构入驻，加快建设智慧健康养老产业基地。发挥安徽静安养亲苑首批长三角异地养老机构品牌效应，探索新型养老模式，发展“</w:t>
            </w:r>
            <w:r>
              <w:rPr>
                <w:rFonts w:hint="eastAsia" w:ascii="仿宋_GB2312" w:hAnsi="仿宋_GB2312" w:eastAsia="仿宋_GB2312" w:cs="仿宋_GB2312"/>
                <w:color w:val="auto"/>
                <w:kern w:val="2"/>
                <w:sz w:val="32"/>
                <w:szCs w:val="32"/>
                <w:lang w:val="en-US" w:eastAsia="zh-CN" w:bidi="ar-SA"/>
              </w:rPr>
              <w:t>侯</w:t>
            </w:r>
            <w:r>
              <w:rPr>
                <w:rFonts w:hint="eastAsia" w:ascii="仿宋_GB2312" w:hAnsi="仿宋_GB2312" w:eastAsia="仿宋_GB2312" w:cs="仿宋_GB2312"/>
                <w:color w:val="auto"/>
                <w:kern w:val="2"/>
                <w:sz w:val="32"/>
                <w:szCs w:val="32"/>
                <w:lang w:val="zh-CN" w:eastAsia="zh-CN" w:bidi="ar-SA"/>
              </w:rPr>
              <w:t>鸟式养老”“迁居式异地养老”和“旅居式养老”等养老新模式，不断提高医疗诊断、健康管理、体检康复和养老服务水平。</w:t>
            </w:r>
          </w:p>
        </w:tc>
      </w:tr>
    </w:tbl>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sz w:val="32"/>
          <w:szCs w:val="32"/>
        </w:rPr>
      </w:pPr>
      <w:bookmarkStart w:id="10" w:name="_Toc31963"/>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、推进健康</w:t>
      </w:r>
      <w:r>
        <w:rPr>
          <w:rFonts w:hint="eastAsia" w:ascii="黑体" w:hAnsi="黑体" w:eastAsia="黑体" w:cs="黑体"/>
          <w:b w:val="0"/>
          <w:bCs/>
          <w:color w:val="auto"/>
          <w:sz w:val="32"/>
          <w:szCs w:val="32"/>
          <w:lang w:eastAsia="zh-CN"/>
        </w:rPr>
        <w:t>瑶海</w:t>
      </w:r>
      <w:r>
        <w:rPr>
          <w:rFonts w:hint="eastAsia" w:ascii="黑体" w:hAnsi="黑体" w:eastAsia="黑体" w:cs="黑体"/>
          <w:b w:val="0"/>
          <w:bCs/>
          <w:color w:val="auto"/>
          <w:sz w:val="32"/>
          <w:szCs w:val="32"/>
        </w:rPr>
        <w:t>建设</w:t>
      </w:r>
      <w:bookmarkEnd w:id="1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（一）全面健康制度建设</w:t>
      </w:r>
    </w:p>
    <w:p>
      <w:pPr>
        <w:pStyle w:val="26"/>
        <w:keepNext w:val="0"/>
        <w:keepLines w:val="0"/>
        <w:pageBreakBefore w:val="0"/>
        <w:kinsoku/>
        <w:wordWrap/>
        <w:topLinePunct w:val="0"/>
        <w:bidi w:val="0"/>
        <w:spacing w:line="560" w:lineRule="exact"/>
        <w:rPr>
          <w:rFonts w:hint="eastAsia"/>
          <w:color w:val="auto"/>
        </w:rPr>
      </w:pPr>
      <w:r>
        <w:rPr>
          <w:rFonts w:hint="eastAsia" w:hAnsi="仿宋_GB2312" w:cs="仿宋_GB2312"/>
          <w:b/>
          <w:bCs/>
          <w:color w:val="auto"/>
        </w:rPr>
        <w:t>落实全民健康服务体系共享制度。</w:t>
      </w:r>
      <w:r>
        <w:rPr>
          <w:rFonts w:hint="eastAsia"/>
          <w:color w:val="auto"/>
        </w:rPr>
        <w:t>强化重大疾病预防控制</w:t>
      </w:r>
      <w:r>
        <w:rPr>
          <w:rFonts w:hint="eastAsia"/>
          <w:color w:val="auto"/>
          <w:lang w:eastAsia="zh-CN"/>
        </w:rPr>
        <w:t>，</w:t>
      </w:r>
      <w:r>
        <w:rPr>
          <w:rFonts w:hint="eastAsia"/>
          <w:color w:val="auto"/>
          <w:lang w:val="en-US" w:eastAsia="zh-CN"/>
        </w:rPr>
        <w:t>落实以属地化管理为主的公共卫生风险排查、报告、处置责任，健全社区、社区卫生服务中心和社区警务室“三位一体”应对突发公共卫生事件联防联控机制。</w:t>
      </w:r>
      <w:r>
        <w:rPr>
          <w:rFonts w:hint="eastAsia"/>
          <w:color w:val="auto"/>
        </w:rPr>
        <w:t>逐步优化以</w:t>
      </w:r>
      <w:r>
        <w:rPr>
          <w:rFonts w:hint="eastAsia"/>
          <w:color w:val="auto"/>
          <w:lang w:eastAsia="zh-CN"/>
        </w:rPr>
        <w:t>社区卫生服务中心</w:t>
      </w:r>
      <w:r>
        <w:rPr>
          <w:rFonts w:hint="eastAsia"/>
          <w:color w:val="auto"/>
        </w:rPr>
        <w:t>为慢病防控据点的防控策略，打造多部门合作推进重点慢性病及高危人群管理模式。</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b/>
          <w:color w:val="auto"/>
        </w:rPr>
        <w:t>落实全民健康服务体系共治制度。</w:t>
      </w:r>
      <w:r>
        <w:rPr>
          <w:rFonts w:hint="eastAsia"/>
          <w:color w:val="auto"/>
        </w:rPr>
        <w:t>激励民众深入参与健康服务体系治理，提升民众对“健康权”的认知，鼓励民众从食品、职业、环境、行为方式等</w:t>
      </w:r>
      <w:r>
        <w:rPr>
          <w:rFonts w:hint="eastAsia"/>
          <w:color w:val="auto"/>
          <w:lang w:val="en-US" w:eastAsia="zh-CN"/>
        </w:rPr>
        <w:t>方面</w:t>
      </w:r>
      <w:r>
        <w:rPr>
          <w:rFonts w:hint="eastAsia"/>
          <w:color w:val="auto"/>
        </w:rPr>
        <w:t>全面参与健康促进活动，强调健康活动“主人翁”精神，从健康氛围营造、健康活动策划、健康活动组织、健康活动成效评价</w:t>
      </w:r>
      <w:r>
        <w:rPr>
          <w:rFonts w:hint="eastAsia"/>
          <w:color w:val="auto"/>
          <w:lang w:val="en-US" w:eastAsia="zh-CN"/>
        </w:rPr>
        <w:t>等方面</w:t>
      </w:r>
      <w:r>
        <w:rPr>
          <w:rFonts w:hint="eastAsia"/>
          <w:color w:val="auto"/>
        </w:rPr>
        <w:t>全面提升民众参与健康政策制定的健康权利素养。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（二）普及居民健康生活</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b/>
          <w:color w:val="auto"/>
        </w:rPr>
        <w:t>增强</w:t>
      </w:r>
      <w:r>
        <w:rPr>
          <w:rFonts w:hint="eastAsia"/>
          <w:b/>
          <w:color w:val="auto"/>
          <w:lang w:eastAsia="zh-CN"/>
        </w:rPr>
        <w:t>辖区居民</w:t>
      </w:r>
      <w:r>
        <w:rPr>
          <w:rFonts w:hint="eastAsia"/>
          <w:b/>
          <w:color w:val="auto"/>
        </w:rPr>
        <w:t>体质。</w:t>
      </w:r>
      <w:r>
        <w:rPr>
          <w:rFonts w:hint="eastAsia"/>
          <w:color w:val="auto"/>
        </w:rPr>
        <w:t>推进基本公共体育服务体系建设。推动公共体育设施免费或低收费开放。广泛组织开展全民健身运动，大力发展群众健身休闲项目。切实保证中小学生每周5-8小时校园体育活动。定期开展居民体质监测和全民健身活动状况线上调查，为群众提供个性化的科学健身线上指导服务。</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b/>
          <w:color w:val="auto"/>
        </w:rPr>
        <w:t>改善城市环境卫生面貌。</w:t>
      </w:r>
      <w:r>
        <w:rPr>
          <w:rFonts w:hint="eastAsia"/>
          <w:color w:val="auto"/>
        </w:rPr>
        <w:t>深入开展城市环境卫生</w:t>
      </w:r>
      <w:r>
        <w:rPr>
          <w:rFonts w:hint="eastAsia"/>
          <w:color w:val="auto"/>
          <w:lang w:eastAsia="zh-CN"/>
        </w:rPr>
        <w:t>整治</w:t>
      </w:r>
      <w:r>
        <w:rPr>
          <w:rFonts w:hint="eastAsia"/>
          <w:color w:val="auto"/>
        </w:rPr>
        <w:t>行动，统筹治理</w:t>
      </w:r>
      <w:r>
        <w:rPr>
          <w:rFonts w:hint="eastAsia"/>
          <w:color w:val="auto"/>
          <w:lang w:eastAsia="zh-CN"/>
        </w:rPr>
        <w:t>城市</w:t>
      </w:r>
      <w:r>
        <w:rPr>
          <w:rFonts w:hint="eastAsia"/>
          <w:color w:val="auto"/>
        </w:rPr>
        <w:t>环境卫生问题</w:t>
      </w:r>
      <w:r>
        <w:rPr>
          <w:rFonts w:hint="eastAsia"/>
          <w:color w:val="auto"/>
          <w:lang w:eastAsia="zh-CN"/>
        </w:rPr>
        <w:t>，</w:t>
      </w:r>
      <w:r>
        <w:rPr>
          <w:rFonts w:hint="eastAsia"/>
          <w:color w:val="auto"/>
        </w:rPr>
        <w:t>切实保障饮用水安全，建立从自来水生产到安全供水的全程监管体系。科学预防控制病媒生物，建立健全病媒生物监测网络，定期开展监测调查。大力开展全民大扫除，做好垃圾分类，使用卫生厕所，清理卫生死角，净化居家、工作场所和公共空间，创造干净、整洁人居环境。</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color w:val="auto"/>
        </w:rPr>
      </w:pPr>
      <w:r>
        <w:rPr>
          <w:rFonts w:hint="eastAsia"/>
          <w:b/>
          <w:color w:val="auto"/>
        </w:rPr>
        <w:t>开展全民健康生活与健康促进活动。</w:t>
      </w:r>
      <w:r>
        <w:rPr>
          <w:rFonts w:hint="eastAsia"/>
          <w:color w:val="auto"/>
        </w:rPr>
        <w:t>广泛开展全民健康素养促进行动</w:t>
      </w:r>
      <w:r>
        <w:rPr>
          <w:rFonts w:hint="eastAsia"/>
          <w:color w:val="auto"/>
          <w:lang w:eastAsia="zh-CN"/>
        </w:rPr>
        <w:t>，</w:t>
      </w:r>
      <w:r>
        <w:rPr>
          <w:rFonts w:hint="eastAsia"/>
          <w:color w:val="auto"/>
        </w:rPr>
        <w:t>普及合理营养、合理用药、科学就医和灾害自救互救等知识，提高全民健康素养达到</w:t>
      </w:r>
      <w:r>
        <w:rPr>
          <w:rFonts w:hint="eastAsia"/>
          <w:color w:val="auto"/>
          <w:lang w:val="en-US" w:eastAsia="zh-CN"/>
        </w:rPr>
        <w:t>25</w:t>
      </w:r>
      <w:r>
        <w:rPr>
          <w:rFonts w:hint="eastAsia"/>
          <w:color w:val="auto"/>
        </w:rPr>
        <w:t>%。加强健康科普规范化管理，建立健全健康知识和技能核心信息发布制度。引导群众当好自己健康第一责任人，强化生态文明意识，深入推进健康饮食习惯，推广分餐公筷，拒食野生动物。引导群众加强自我健康管理，深入推进合理膳食、适量运动、戒烟限酒，心理平衡、饮食有节、起居有常、动静结合的生活方式。开展家庭和高危个体人群健康生活方式指导和干预。全面推进控烟履约工作，继续全面推进公共场所禁烟，强化戒烟服务，预防和控制被动吸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（三）强化重大疾病预防控制</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color w:val="auto"/>
        </w:rPr>
      </w:pPr>
      <w:r>
        <w:rPr>
          <w:rFonts w:hint="eastAsia" w:hAnsi="仿宋_GB2312" w:cs="仿宋_GB2312"/>
          <w:b/>
          <w:bCs/>
          <w:color w:val="auto"/>
        </w:rPr>
        <w:t>改革疾病预防控制模式。</w:t>
      </w:r>
      <w:r>
        <w:rPr>
          <w:rFonts w:hint="eastAsia"/>
          <w:color w:val="auto"/>
        </w:rPr>
        <w:t>在区级疾病预防控制中心</w:t>
      </w:r>
      <w:r>
        <w:rPr>
          <w:rFonts w:hint="eastAsia"/>
          <w:color w:val="auto"/>
          <w:lang w:eastAsia="zh-CN"/>
        </w:rPr>
        <w:t>的指导下，各社区卫生服务中心</w:t>
      </w:r>
      <w:r>
        <w:rPr>
          <w:rFonts w:hint="eastAsia"/>
          <w:color w:val="auto"/>
        </w:rPr>
        <w:t>下设疾病预防控制科，共同开展</w:t>
      </w:r>
      <w:r>
        <w:rPr>
          <w:rFonts w:hint="eastAsia"/>
          <w:color w:val="auto"/>
          <w:lang w:eastAsia="zh-CN"/>
        </w:rPr>
        <w:t>全区</w:t>
      </w:r>
      <w:r>
        <w:rPr>
          <w:rFonts w:hint="eastAsia"/>
          <w:color w:val="auto"/>
        </w:rPr>
        <w:t>流行病学调查、人群疾病监测和健康风险评估、健康教育、传染病监测预警、卫生监督与突发公共卫生事件处置等。</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b/>
          <w:color w:val="auto"/>
        </w:rPr>
        <w:t>加强重大传染病防治。</w:t>
      </w:r>
      <w:r>
        <w:rPr>
          <w:rFonts w:hint="eastAsia"/>
          <w:color w:val="auto"/>
        </w:rPr>
        <w:t>加强传染病监测预警、预防控制能力建设，法定传染病报告率达到100%，及时做好疫情调查处置。降低全人群乙肝病毒感染率。加强艾滋病检测、干预和随访，最大限度主动发现感染者和病人，为所有符合条件且愿意接受治疗的感染者和病人提供抗病毒治疗，将疫情控制在低流行水平。</w:t>
      </w:r>
      <w:r>
        <w:rPr>
          <w:rFonts w:hint="eastAsia" w:hAnsi="仿宋_GB2312" w:cs="仿宋_GB2312"/>
          <w:color w:val="auto"/>
        </w:rPr>
        <w:t>推动终结结核病行动，建立结核病精准防治体系，推行以病原学阳性为主的病人发现模式，强化耐药结核病的筛查，探索“互联网信息管理+互联网诊疗平台+社区</w:t>
      </w:r>
      <w:r>
        <w:rPr>
          <w:rFonts w:hint="eastAsia" w:hAnsi="仿宋_GB2312" w:cs="仿宋_GB2312"/>
          <w:color w:val="auto"/>
          <w:lang w:eastAsia="zh-CN"/>
        </w:rPr>
        <w:t>卫生</w:t>
      </w:r>
      <w:r>
        <w:rPr>
          <w:rFonts w:hint="eastAsia" w:hAnsi="仿宋_GB2312" w:cs="仿宋_GB2312"/>
          <w:color w:val="auto"/>
        </w:rPr>
        <w:t>服务中心“的新型结核病管理模式。</w:t>
      </w:r>
      <w:r>
        <w:rPr>
          <w:rFonts w:hint="eastAsia"/>
          <w:color w:val="auto"/>
        </w:rPr>
        <w:t>有效应对霍乱、流感、手足口病、麻疹、新冠肺炎等重点传染病疫情。实施以传染源控制为主的狂犬病、布病、禽流感等人畜共患病综合治理策略。加强</w:t>
      </w:r>
      <w:r>
        <w:rPr>
          <w:rFonts w:hint="eastAsia"/>
          <w:color w:val="auto"/>
          <w:lang w:eastAsia="zh-CN"/>
        </w:rPr>
        <w:t>实验室建设，提高</w:t>
      </w:r>
      <w:r>
        <w:rPr>
          <w:rFonts w:hint="eastAsia"/>
          <w:color w:val="auto"/>
        </w:rPr>
        <w:t>卫生检疫能力</w:t>
      </w:r>
      <w:r>
        <w:rPr>
          <w:rFonts w:hint="eastAsia"/>
          <w:color w:val="auto"/>
          <w:lang w:eastAsia="zh-CN"/>
        </w:rPr>
        <w:t>。</w:t>
      </w:r>
      <w:r>
        <w:rPr>
          <w:rFonts w:hint="eastAsia"/>
          <w:color w:val="auto"/>
        </w:rPr>
        <w:t>加强传染病监测预警和应急处置，推动</w:t>
      </w:r>
      <w:r>
        <w:rPr>
          <w:rFonts w:hint="eastAsia"/>
          <w:color w:val="auto"/>
          <w:lang w:eastAsia="zh-CN"/>
        </w:rPr>
        <w:t>来（返）区</w:t>
      </w:r>
      <w:r>
        <w:rPr>
          <w:rFonts w:hint="eastAsia"/>
          <w:color w:val="auto"/>
        </w:rPr>
        <w:t>疑似传染病</w:t>
      </w:r>
      <w:r>
        <w:rPr>
          <w:rFonts w:hint="eastAsia"/>
          <w:color w:val="auto"/>
          <w:lang w:eastAsia="zh-CN"/>
        </w:rPr>
        <w:t>人员</w:t>
      </w:r>
      <w:r>
        <w:rPr>
          <w:rFonts w:hint="eastAsia"/>
          <w:color w:val="auto"/>
        </w:rPr>
        <w:t>接受免费检测，严防外来重大传染病传入。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（四）提升重点人群健康服务水平</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b/>
          <w:bCs/>
          <w:color w:val="auto"/>
        </w:rPr>
        <w:t>落实重点慢性病综合防控。</w:t>
      </w:r>
      <w:r>
        <w:rPr>
          <w:rFonts w:hint="eastAsia"/>
          <w:color w:val="auto"/>
          <w:lang w:eastAsia="zh-CN"/>
        </w:rPr>
        <w:t>巩固“</w:t>
      </w:r>
      <w:r>
        <w:rPr>
          <w:rFonts w:hint="eastAsia"/>
          <w:color w:val="auto"/>
        </w:rPr>
        <w:t>慢性病综合防控示范区</w:t>
      </w:r>
      <w:r>
        <w:rPr>
          <w:rFonts w:hint="eastAsia"/>
          <w:color w:val="auto"/>
          <w:lang w:eastAsia="zh-CN"/>
        </w:rPr>
        <w:t>”创建成果</w:t>
      </w:r>
      <w:r>
        <w:rPr>
          <w:rFonts w:hint="eastAsia"/>
          <w:color w:val="auto"/>
        </w:rPr>
        <w:t>，完善“防、治、管”一体化慢性病综合防治模式。逐步优化以</w:t>
      </w:r>
      <w:r>
        <w:rPr>
          <w:rFonts w:hint="eastAsia"/>
          <w:color w:val="auto"/>
          <w:lang w:eastAsia="zh-CN"/>
        </w:rPr>
        <w:t>社区卫生服务中心</w:t>
      </w:r>
      <w:r>
        <w:rPr>
          <w:rFonts w:hint="eastAsia"/>
          <w:color w:val="auto"/>
        </w:rPr>
        <w:t>为慢病防控据点的防控策略，推动各部门主动将健康融入一切政策，打造多部门合作推进重点慢性病及高危人群管理的创新模式。实施重点癌症监测和早诊早治，完善筛查手段、扩大筛查种类和社区覆盖面，提高5年生存率。全面实施35岁以上人群首诊测血压和血糖，覆盖面达到100%。全面开展血压血糖升高、血脂异常、超重肥胖、肺功能不全等慢性病高危人群的患病风险评估和干预指导。健全死因监测、肿瘤登记报告和慢性病与营养监测制度。</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eastAsia="仿宋_GB2312"/>
          <w:color w:val="0000FF"/>
          <w:lang w:eastAsia="zh-CN"/>
        </w:rPr>
      </w:pPr>
      <w:r>
        <w:rPr>
          <w:rFonts w:hint="eastAsia"/>
          <w:b/>
          <w:color w:val="auto"/>
        </w:rPr>
        <w:t>开展社区医防融合服务</w:t>
      </w:r>
      <w:r>
        <w:rPr>
          <w:rFonts w:hint="eastAsia"/>
          <w:b/>
          <w:color w:val="auto"/>
          <w:lang w:eastAsia="zh-CN"/>
        </w:rPr>
        <w:t>。</w:t>
      </w:r>
      <w:r>
        <w:rPr>
          <w:rFonts w:hint="eastAsia"/>
          <w:color w:val="auto"/>
        </w:rPr>
        <w:t>组建医防融合专家小组，在</w:t>
      </w:r>
      <w:r>
        <w:rPr>
          <w:rFonts w:hint="eastAsia"/>
          <w:color w:val="auto"/>
          <w:lang w:eastAsia="zh-CN"/>
        </w:rPr>
        <w:t>社区卫生服务中心</w:t>
      </w:r>
      <w:r>
        <w:rPr>
          <w:rFonts w:hint="eastAsia"/>
          <w:color w:val="auto"/>
        </w:rPr>
        <w:t>全面推广中医、运动、营养、心理、睡眠、戒烟、限酒等“健康处方”。推进健康服务清单化，提供个性化的社区健康服务项目推送、慢性病健康管理随访提醒</w:t>
      </w:r>
      <w:r>
        <w:rPr>
          <w:rFonts w:hint="eastAsia"/>
          <w:color w:val="auto"/>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（五）巩固爱国卫生工作成果</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color w:val="auto"/>
        </w:rPr>
      </w:pPr>
      <w:r>
        <w:rPr>
          <w:rFonts w:hint="eastAsia"/>
          <w:b/>
          <w:bCs/>
          <w:color w:val="auto"/>
        </w:rPr>
        <w:t>加强新时期爱国卫生工作。</w:t>
      </w:r>
      <w:r>
        <w:rPr>
          <w:rFonts w:hint="eastAsia"/>
          <w:color w:val="auto"/>
        </w:rPr>
        <w:t>从人居环境改善、饮食习惯、社会心理健康、健康教育、健康素养、公共卫生设施等多方面开展工作，特别要坚决杜绝食用野生动物的陋习，提倡文明健康、绿色环保的生活方式。大力宣传，广泛发动居民参与群众性爱国卫生运动，协调爱卫会各成员单位严格履责协同推进，深入开展爱国卫生月</w:t>
      </w:r>
      <w:r>
        <w:rPr>
          <w:rFonts w:hint="eastAsia"/>
          <w:color w:val="auto"/>
          <w:lang w:eastAsia="zh-CN"/>
        </w:rPr>
        <w:t>、</w:t>
      </w:r>
      <w:r>
        <w:rPr>
          <w:rFonts w:hint="eastAsia"/>
          <w:color w:val="auto"/>
        </w:rPr>
        <w:t>冬春季、夏秋季爱国卫生专项行动和爱国卫生法制宣传</w:t>
      </w:r>
      <w:r>
        <w:rPr>
          <w:rFonts w:hint="eastAsia"/>
          <w:color w:val="auto"/>
          <w:lang w:val="en-US" w:eastAsia="zh-CN"/>
        </w:rPr>
        <w:t>周</w:t>
      </w:r>
      <w:r>
        <w:rPr>
          <w:rFonts w:hint="eastAsia"/>
          <w:color w:val="auto"/>
        </w:rPr>
        <w:t>活动。</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color w:val="auto"/>
        </w:rPr>
      </w:pPr>
      <w:r>
        <w:rPr>
          <w:rFonts w:hint="eastAsia"/>
          <w:b/>
          <w:bCs/>
          <w:color w:val="auto"/>
          <w:lang w:eastAsia="zh-CN"/>
        </w:rPr>
        <w:t>巩固卫生创建成果。</w:t>
      </w:r>
      <w:r>
        <w:rPr>
          <w:rFonts w:hint="eastAsia"/>
          <w:color w:val="auto"/>
        </w:rPr>
        <w:t>将“国家卫生城市”与“全国文明城市”创建相结合，作为促进经济社会和谐发展、提高人民群众生活质量的重要举措，筑牢卫生创建基础。以健康促进区建设为重要抓手，把健康融入城区规划、建设、治理的全过程，持续推进健康城市建设。继续推进卫生社区创建工作，202</w:t>
      </w:r>
      <w:r>
        <w:rPr>
          <w:rFonts w:hint="eastAsia"/>
          <w:color w:val="auto"/>
          <w:lang w:val="en-US" w:eastAsia="zh-CN"/>
        </w:rPr>
        <w:t>2</w:t>
      </w:r>
      <w:r>
        <w:rPr>
          <w:rFonts w:hint="eastAsia"/>
          <w:color w:val="auto"/>
        </w:rPr>
        <w:t>年底实现创建安徽省卫生区、202</w:t>
      </w:r>
      <w:r>
        <w:rPr>
          <w:rFonts w:hint="eastAsia"/>
          <w:color w:val="auto"/>
          <w:lang w:val="en-US" w:eastAsia="zh-CN"/>
        </w:rPr>
        <w:t>4</w:t>
      </w:r>
      <w:r>
        <w:rPr>
          <w:rFonts w:hint="eastAsia"/>
          <w:color w:val="auto"/>
        </w:rPr>
        <w:t>年底完成安徽省卫生区复审，持续开展省级卫生社区、卫生先进单位建设活动。</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color w:val="auto"/>
        </w:rPr>
      </w:pPr>
      <w:r>
        <w:rPr>
          <w:rFonts w:hint="eastAsia"/>
          <w:b/>
          <w:bCs/>
          <w:color w:val="auto"/>
          <w:lang w:eastAsia="zh-CN"/>
        </w:rPr>
        <w:t>提升病媒生物防制效能。</w:t>
      </w:r>
      <w:r>
        <w:rPr>
          <w:rFonts w:hint="eastAsia"/>
          <w:color w:val="auto"/>
        </w:rPr>
        <w:t>督促落实以环境卫生治理、清除蚊蝇鼠蟑等孳生地为主的综合性病媒生物防制措施，强化单位与个人主体责任，完善防制设施，指导开展消杀，将病媒生物密度控制在国家规定的标准范围内。</w:t>
      </w:r>
    </w:p>
    <w:p>
      <w:pPr>
        <w:pStyle w:val="2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textAlignment w:val="auto"/>
        <w:outlineLvl w:val="1"/>
        <w:rPr>
          <w:rFonts w:hint="eastAsia" w:ascii="黑体" w:hAnsi="黑体" w:eastAsia="黑体" w:cs="黑体"/>
          <w:color w:val="auto"/>
        </w:rPr>
      </w:pPr>
      <w:bookmarkStart w:id="11" w:name="_Toc24019"/>
      <w:r>
        <w:rPr>
          <w:rFonts w:hint="eastAsia" w:ascii="黑体" w:hAnsi="黑体" w:eastAsia="黑体" w:cs="黑体"/>
          <w:color w:val="auto"/>
          <w:lang w:val="en-US" w:eastAsia="zh-CN"/>
        </w:rPr>
        <w:t>三</w:t>
      </w:r>
      <w:r>
        <w:rPr>
          <w:rFonts w:hint="eastAsia" w:ascii="黑体" w:hAnsi="黑体" w:eastAsia="黑体" w:cs="黑体"/>
          <w:color w:val="auto"/>
        </w:rPr>
        <w:t>、构建整合型优质医疗服务体系</w:t>
      </w:r>
      <w:bookmarkEnd w:id="11"/>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（一）优化医疗服务体系运行机制</w:t>
      </w:r>
    </w:p>
    <w:p>
      <w:pPr>
        <w:pStyle w:val="26"/>
        <w:keepNext w:val="0"/>
        <w:keepLines w:val="0"/>
        <w:pageBreakBefore w:val="0"/>
        <w:kinsoku/>
        <w:wordWrap/>
        <w:topLinePunct w:val="0"/>
        <w:bidi w:val="0"/>
        <w:spacing w:line="560" w:lineRule="exact"/>
        <w:rPr>
          <w:color w:val="auto"/>
        </w:rPr>
      </w:pPr>
      <w:r>
        <w:rPr>
          <w:rFonts w:hint="eastAsia"/>
          <w:b/>
          <w:bCs/>
          <w:color w:val="auto"/>
        </w:rPr>
        <w:t>完善医疗集团制度化保障。</w:t>
      </w:r>
      <w:r>
        <w:rPr>
          <w:rFonts w:hint="eastAsia"/>
          <w:color w:val="auto"/>
          <w:lang w:val="en-US" w:eastAsia="zh-CN"/>
        </w:rPr>
        <w:t>全面推进瑶海区-市二院紧密型城市医联体建设，逐步在全区社区卫生服务中心铺开，</w:t>
      </w:r>
      <w:r>
        <w:rPr>
          <w:rFonts w:hint="eastAsia" w:ascii="仿宋_GB2312" w:hAnsi="仿宋_GB2312" w:eastAsia="仿宋_GB2312" w:cs="仿宋_GB2312"/>
          <w:color w:val="auto"/>
          <w:sz w:val="32"/>
          <w:szCs w:val="32"/>
        </w:rPr>
        <w:t>为</w:t>
      </w:r>
      <w:r>
        <w:rPr>
          <w:rFonts w:hint="eastAsia" w:hAnsi="仿宋_GB2312" w:cs="仿宋_GB2312"/>
          <w:color w:val="auto"/>
          <w:sz w:val="32"/>
          <w:szCs w:val="32"/>
          <w:lang w:val="en-US" w:eastAsia="zh-CN"/>
        </w:rPr>
        <w:t>辖区居民</w:t>
      </w:r>
      <w:r>
        <w:rPr>
          <w:rFonts w:hint="eastAsia" w:ascii="仿宋_GB2312" w:hAnsi="仿宋_GB2312" w:eastAsia="仿宋_GB2312" w:cs="仿宋_GB2312"/>
          <w:color w:val="auto"/>
          <w:sz w:val="32"/>
          <w:szCs w:val="32"/>
        </w:rPr>
        <w:t>提供全流程、连续性的健康服务。</w:t>
      </w:r>
      <w:r>
        <w:rPr>
          <w:rFonts w:hint="eastAsia" w:ascii="Times New Roman" w:hAnsi="Times New Roman" w:cs="Times New Roman"/>
          <w:color w:val="auto"/>
        </w:rPr>
        <w:t>慢性病医保费用按照“</w:t>
      </w:r>
      <w:r>
        <w:rPr>
          <w:rFonts w:hint="eastAsia" w:ascii="仿宋_GB2312" w:hAnsi="仿宋_GB2312" w:eastAsia="仿宋_GB2312" w:cs="仿宋_GB2312"/>
          <w:color w:val="auto"/>
          <w:sz w:val="32"/>
          <w:szCs w:val="32"/>
          <w:lang w:val="en-US" w:eastAsia="zh-CN"/>
        </w:rPr>
        <w:t>总额预付、结余留用、超支补亏</w:t>
      </w:r>
      <w:r>
        <w:rPr>
          <w:rFonts w:hint="eastAsia" w:ascii="Times New Roman" w:hAnsi="Times New Roman" w:cs="Times New Roman"/>
          <w:color w:val="auto"/>
        </w:rPr>
        <w:t>”的原则包干至每个家庭医生服务团队。</w:t>
      </w:r>
      <w:r>
        <w:rPr>
          <w:rFonts w:hint="eastAsia"/>
          <w:color w:val="auto"/>
        </w:rPr>
        <w:t>推进集团资源共享中心建设，实现集团一体化运营，提高资源使用效率。</w:t>
      </w:r>
      <w:r>
        <w:rPr>
          <w:rFonts w:hint="eastAsia" w:ascii="Times New Roman" w:hAnsi="Times New Roman" w:cs="Times New Roman"/>
          <w:color w:val="auto"/>
        </w:rPr>
        <w:t>构建健康为导向的医院集团绩效考核方法。</w:t>
      </w:r>
    </w:p>
    <w:p>
      <w:pPr>
        <w:pStyle w:val="26"/>
        <w:keepNext w:val="0"/>
        <w:keepLines w:val="0"/>
        <w:pageBreakBefore w:val="0"/>
        <w:kinsoku/>
        <w:wordWrap/>
        <w:topLinePunct w:val="0"/>
        <w:bidi w:val="0"/>
        <w:spacing w:line="560" w:lineRule="exact"/>
        <w:rPr>
          <w:rFonts w:hint="eastAsia"/>
          <w:color w:val="auto"/>
        </w:rPr>
      </w:pPr>
      <w:r>
        <w:rPr>
          <w:rFonts w:hint="eastAsia"/>
          <w:b/>
          <w:bCs/>
          <w:color w:val="auto"/>
        </w:rPr>
        <w:t>现代</w:t>
      </w:r>
      <w:r>
        <w:rPr>
          <w:rFonts w:hint="eastAsia"/>
          <w:b/>
          <w:bCs/>
          <w:color w:val="auto"/>
          <w:lang w:eastAsia="zh-CN"/>
        </w:rPr>
        <w:t>医疗机构</w:t>
      </w:r>
      <w:r>
        <w:rPr>
          <w:rFonts w:hint="eastAsia"/>
          <w:b/>
          <w:bCs/>
          <w:color w:val="auto"/>
        </w:rPr>
        <w:t>管理制度建设。</w:t>
      </w:r>
      <w:r>
        <w:rPr>
          <w:rFonts w:hint="eastAsia"/>
          <w:color w:val="auto"/>
        </w:rPr>
        <w:t>探索建立符合医疗行业特点的现代公立</w:t>
      </w:r>
      <w:r>
        <w:rPr>
          <w:rFonts w:hint="eastAsia"/>
          <w:color w:val="auto"/>
          <w:lang w:eastAsia="zh-CN"/>
        </w:rPr>
        <w:t>医疗机构</w:t>
      </w:r>
      <w:r>
        <w:rPr>
          <w:rFonts w:hint="eastAsia"/>
          <w:color w:val="auto"/>
        </w:rPr>
        <w:t>管理制度。加大对医疗行为、医疗费用等方面监管力度。推进“智慧医疗”建设项目，以群众健康需求为导向，以信息技术应用发展为牵引，充分利用现代信息技术，着力破解基层医疗机构人力资源短缺、技术水平有限等“短板”，拓展服务渠道，延伸服务内容，提升服务效率，提高医务人员诊疗水平，更好地满足人民群众多层次、多样化的健康需求。推进实施智医助理、AI客服等智慧医疗应用系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（二）优化医疗服务流程</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3" w:firstLineChars="200"/>
        <w:rPr>
          <w:rFonts w:ascii="Times New Roman" w:hAnsi="Times New Roman" w:eastAsia="仿宋_GB2312" w:cs="Times New Roman"/>
          <w:color w:val="0000FF"/>
          <w:sz w:val="32"/>
          <w:szCs w:val="32"/>
        </w:rPr>
      </w:pPr>
      <w:r>
        <w:rPr>
          <w:rStyle w:val="27"/>
          <w:rFonts w:hint="eastAsia"/>
          <w:b/>
          <w:bCs/>
          <w:color w:val="auto"/>
        </w:rPr>
        <w:t>开展“提升患者满意度”专项行动。</w:t>
      </w:r>
      <w:r>
        <w:rPr>
          <w:rFonts w:ascii="Times New Roman" w:hAnsi="Times New Roman" w:eastAsia="仿宋_GB2312" w:cs="Times New Roman"/>
          <w:color w:val="auto"/>
          <w:sz w:val="32"/>
          <w:szCs w:val="32"/>
        </w:rPr>
        <w:t>推进医疗服务改善行动，提升医疗卫生服务品质。加强服务意识教育和培训，提高人性化主动服务的理念。完善便民措施，管理责任到人，发现问题及时处理。围绕患者需求，规范、简化就医流程，做好分诊导诊工作，让患者便捷就医。立足分级诊疗，落实</w:t>
      </w:r>
      <w:r>
        <w:rPr>
          <w:rFonts w:hint="eastAsia" w:ascii="Times New Roman" w:hAnsi="Times New Roman" w:eastAsia="仿宋_GB2312" w:cs="Times New Roman"/>
          <w:color w:val="auto"/>
          <w:sz w:val="32"/>
          <w:szCs w:val="32"/>
          <w:lang w:eastAsia="zh-CN"/>
        </w:rPr>
        <w:t>医联体</w:t>
      </w:r>
      <w:r>
        <w:rPr>
          <w:rFonts w:ascii="Times New Roman" w:hAnsi="Times New Roman" w:eastAsia="仿宋_GB2312" w:cs="Times New Roman"/>
          <w:color w:val="auto"/>
          <w:sz w:val="32"/>
          <w:szCs w:val="32"/>
        </w:rPr>
        <w:t>内双向转诊，尽力为患者提供全流程、连续性的健康服务。</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hAnsi="仿宋_GB2312" w:cs="仿宋_GB2312"/>
          <w:color w:val="auto"/>
          <w:sz w:val="32"/>
          <w:szCs w:val="32"/>
          <w:lang w:eastAsia="zh-CN"/>
        </w:rPr>
      </w:pPr>
      <w:r>
        <w:rPr>
          <w:rFonts w:hint="eastAsia"/>
          <w:b/>
          <w:bCs/>
          <w:color w:val="auto"/>
        </w:rPr>
        <w:t>深化家庭医生签约服务内涵。</w:t>
      </w:r>
      <w:r>
        <w:rPr>
          <w:rFonts w:hint="eastAsia" w:hAnsi="Times New Roman" w:cs="Times New Roman"/>
          <w:color w:val="auto"/>
        </w:rPr>
        <w:t>以提升居民签约家庭医生服务内涵和获得感为核心，优化家庭医生签约服务包，服务内涵包括但不限于常见病、多发病的全科诊疗服务，签约家庭重点</w:t>
      </w:r>
      <w:r>
        <w:rPr>
          <w:rFonts w:hint="eastAsia" w:hAnsi="Times New Roman" w:cs="Times New Roman"/>
          <w:color w:val="auto"/>
          <w:lang w:val="en-US" w:eastAsia="zh-CN"/>
        </w:rPr>
        <w:t>保障</w:t>
      </w:r>
      <w:r>
        <w:rPr>
          <w:rFonts w:hint="eastAsia" w:hAnsi="Times New Roman" w:cs="Times New Roman"/>
          <w:color w:val="auto"/>
        </w:rPr>
        <w:t>人群（老人、儿童、孕妇和慢性病患者）的预防保健服务，包括常规体检、用药咨询、健康咨询</w:t>
      </w:r>
      <w:r>
        <w:rPr>
          <w:rFonts w:hint="eastAsia" w:hAnsi="Times New Roman" w:cs="Times New Roman"/>
          <w:color w:val="auto"/>
          <w:lang w:eastAsia="zh-CN"/>
        </w:rPr>
        <w:t>、</w:t>
      </w:r>
      <w:r>
        <w:rPr>
          <w:rFonts w:hint="eastAsia" w:hAnsi="Times New Roman" w:cs="Times New Roman"/>
          <w:color w:val="auto"/>
        </w:rPr>
        <w:t>家庭访视服务（产前、产后、老人、慢病、残疾）</w:t>
      </w:r>
      <w:r>
        <w:rPr>
          <w:rFonts w:hint="eastAsia" w:hAnsi="Times New Roman" w:cs="Times New Roman"/>
          <w:color w:val="auto"/>
          <w:lang w:eastAsia="zh-CN"/>
        </w:rPr>
        <w:t>、</w:t>
      </w:r>
      <w:r>
        <w:rPr>
          <w:rFonts w:hint="eastAsia" w:hAnsi="Times New Roman" w:cs="Times New Roman"/>
          <w:color w:val="auto"/>
        </w:rPr>
        <w:t>家庭功能咨询评估</w:t>
      </w:r>
      <w:r>
        <w:rPr>
          <w:rFonts w:hint="eastAsia" w:hAnsi="Times New Roman" w:cs="Times New Roman"/>
          <w:color w:val="auto"/>
          <w:lang w:eastAsia="zh-CN"/>
        </w:rPr>
        <w:t>、</w:t>
      </w:r>
      <w:r>
        <w:rPr>
          <w:rFonts w:hint="eastAsia" w:hAnsi="Times New Roman" w:cs="Times New Roman"/>
          <w:color w:val="auto"/>
        </w:rPr>
        <w:t>家庭生命周期指导</w:t>
      </w:r>
      <w:r>
        <w:rPr>
          <w:rFonts w:hint="eastAsia" w:hAnsi="Times New Roman" w:cs="Times New Roman"/>
          <w:color w:val="auto"/>
          <w:lang w:val="en-US" w:eastAsia="zh-CN"/>
        </w:rPr>
        <w:t>和</w:t>
      </w:r>
      <w:r>
        <w:rPr>
          <w:rFonts w:hint="eastAsia" w:hAnsi="Times New Roman" w:cs="Times New Roman"/>
          <w:color w:val="auto"/>
        </w:rPr>
        <w:t>家庭健康干预计划等</w:t>
      </w:r>
      <w:r>
        <w:rPr>
          <w:rFonts w:hint="eastAsia" w:hAnsi="Times New Roman" w:cs="Times New Roman"/>
          <w:color w:val="auto"/>
          <w:lang w:eastAsia="zh-CN"/>
        </w:rPr>
        <w:t>，</w:t>
      </w:r>
      <w:r>
        <w:rPr>
          <w:rFonts w:hint="eastAsia" w:hAnsi="Times New Roman" w:cs="Times New Roman"/>
          <w:color w:val="auto"/>
        </w:rPr>
        <w:t>引导居民从被动签约到主动签约转变。完善家庭医生签约服务工作方案和绩效考核方案</w:t>
      </w:r>
      <w:r>
        <w:rPr>
          <w:rFonts w:hint="eastAsia" w:hAnsi="Times New Roman" w:cs="Times New Roman"/>
          <w:color w:val="auto"/>
          <w:lang w:eastAsia="zh-CN"/>
        </w:rPr>
        <w:t>，</w:t>
      </w:r>
      <w:r>
        <w:rPr>
          <w:rFonts w:hint="eastAsia" w:ascii="仿宋_GB2312" w:hAnsi="仿宋_GB2312" w:eastAsia="仿宋_GB2312" w:cs="仿宋_GB2312"/>
          <w:color w:val="auto"/>
          <w:sz w:val="32"/>
          <w:szCs w:val="32"/>
        </w:rPr>
        <w:t>将签约服务的责任主体落实到医生个人，公卫经费拨付与签约医生、签约团队绩效分配直接挂钩，提升工作实效</w:t>
      </w:r>
      <w:r>
        <w:rPr>
          <w:rFonts w:hint="eastAsia" w:hAnsi="仿宋_GB2312" w:cs="仿宋_GB2312"/>
          <w:color w:val="auto"/>
          <w:sz w:val="32"/>
          <w:szCs w:val="32"/>
          <w:lang w:eastAsia="zh-CN"/>
        </w:rPr>
        <w:t>。</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spacing w:beforeAutospacing="0" w:afterAutospacing="0" w:line="560" w:lineRule="exact"/>
        <w:textAlignment w:val="auto"/>
        <w:rPr>
          <w:rFonts w:hint="eastAsia"/>
          <w:b/>
          <w:bCs/>
          <w:color w:val="auto"/>
        </w:rPr>
      </w:pPr>
      <w:r>
        <w:rPr>
          <w:rFonts w:hint="eastAsia"/>
          <w:b/>
          <w:bCs/>
          <w:color w:val="auto"/>
        </w:rPr>
        <w:t>推动“互联网＋健康医疗”服务。</w:t>
      </w:r>
      <w:r>
        <w:rPr>
          <w:rFonts w:hint="eastAsia"/>
          <w:color w:val="auto"/>
        </w:rPr>
        <w:t>推进智慧医院、智慧健康社区、智慧健康校园建设。搭建互联网信息平台，开展远程医疗、健康咨询、健康管理服务。</w:t>
      </w:r>
      <w:r>
        <w:rPr>
          <w:rFonts w:hint="eastAsia" w:ascii="仿宋_GB2312" w:hAnsi="仿宋_GB2312" w:eastAsia="仿宋_GB2312" w:cs="仿宋_GB2312"/>
          <w:color w:val="auto"/>
          <w:sz w:val="32"/>
          <w:szCs w:val="32"/>
        </w:rPr>
        <w:t>实现公共卫生、服务、药品管理、综合管理等应用系统业务协同、互联互通和资源共享，逐步开放居民健康档案。</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rPr>
      </w:pPr>
      <w:bookmarkStart w:id="12" w:name="_Toc12835"/>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、优化升级公共卫生服务体系</w:t>
      </w:r>
      <w:bookmarkEnd w:id="12"/>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（一）加强专业公共卫生机构建设</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6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加强专业公共卫生机构能力建设。</w:t>
      </w:r>
      <w:r>
        <w:rPr>
          <w:rFonts w:hint="eastAsia" w:ascii="仿宋_GB2312" w:hAnsi="仿宋_GB2312" w:eastAsia="仿宋_GB2312" w:cs="仿宋_GB2312"/>
          <w:bCs/>
          <w:color w:val="auto"/>
          <w:sz w:val="32"/>
          <w:szCs w:val="32"/>
        </w:rPr>
        <w:t>加强疾病预防控制机构建设</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提高基本公共卫生服务项目的供给效率。开展基本公共卫生服务项目质量持续改进工程。</w:t>
      </w:r>
    </w:p>
    <w:p>
      <w:pPr>
        <w:keepNext w:val="0"/>
        <w:keepLines w:val="0"/>
        <w:pageBreakBefore w:val="0"/>
        <w:kinsoku/>
        <w:wordWrap/>
        <w:topLinePunct w:val="0"/>
        <w:bidi w:val="0"/>
        <w:spacing w:line="560" w:lineRule="exact"/>
        <w:ind w:firstLine="66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创新公共卫生服务的供给机制。</w:t>
      </w:r>
      <w:r>
        <w:rPr>
          <w:rFonts w:hint="eastAsia" w:ascii="仿宋_GB2312" w:eastAsia="仿宋_GB2312"/>
          <w:color w:val="auto"/>
          <w:sz w:val="32"/>
          <w:szCs w:val="32"/>
        </w:rPr>
        <w:t>建立区级公共卫生机构、</w:t>
      </w:r>
      <w:r>
        <w:rPr>
          <w:rFonts w:hint="eastAsia" w:ascii="仿宋_GB2312" w:eastAsia="仿宋_GB2312"/>
          <w:color w:val="auto"/>
          <w:sz w:val="32"/>
          <w:szCs w:val="32"/>
          <w:lang w:eastAsia="zh-CN"/>
        </w:rPr>
        <w:t>二级以上</w:t>
      </w:r>
      <w:r>
        <w:rPr>
          <w:rFonts w:hint="eastAsia" w:ascii="仿宋_GB2312" w:eastAsia="仿宋_GB2312"/>
          <w:color w:val="auto"/>
          <w:sz w:val="32"/>
          <w:szCs w:val="32"/>
        </w:rPr>
        <w:t>综合性医院</w:t>
      </w:r>
      <w:r>
        <w:rPr>
          <w:rFonts w:hint="eastAsia" w:ascii="仿宋_GB2312" w:eastAsia="仿宋_GB2312"/>
          <w:color w:val="auto"/>
          <w:sz w:val="32"/>
          <w:szCs w:val="32"/>
          <w:lang w:eastAsia="zh-CN"/>
        </w:rPr>
        <w:t>、</w:t>
      </w:r>
      <w:r>
        <w:rPr>
          <w:rFonts w:hint="eastAsia" w:ascii="仿宋_GB2312" w:eastAsia="仿宋_GB2312"/>
          <w:color w:val="auto"/>
          <w:sz w:val="32"/>
          <w:szCs w:val="32"/>
        </w:rPr>
        <w:t>专科医院和</w:t>
      </w:r>
      <w:r>
        <w:rPr>
          <w:rFonts w:hint="eastAsia" w:ascii="仿宋_GB2312" w:eastAsia="仿宋_GB2312"/>
          <w:color w:val="auto"/>
          <w:sz w:val="32"/>
          <w:szCs w:val="32"/>
          <w:lang w:eastAsia="zh-CN"/>
        </w:rPr>
        <w:t>社区卫生服务</w:t>
      </w:r>
      <w:r>
        <w:rPr>
          <w:rFonts w:hint="eastAsia" w:ascii="仿宋_GB2312" w:eastAsia="仿宋_GB2312"/>
          <w:color w:val="auto"/>
          <w:sz w:val="32"/>
          <w:szCs w:val="32"/>
        </w:rPr>
        <w:t>中心的公共卫生服务供给协同机制，信息共享、互联互通，推进疾病防、治、管的整体融合发展。加强公共卫生执业医师在公共卫生服务供给中的策划、引领、协同、反馈的职能。完善政府购买公共卫生服务机制，鼓励社会力量参与公共卫生服务供给体系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（二）优化突发公共卫生事件应急管理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b w:val="0"/>
          <w:bCs w:val="0"/>
          <w:color w:val="auto"/>
        </w:rPr>
      </w:pPr>
      <w:r>
        <w:rPr>
          <w:rFonts w:hint="eastAsia" w:ascii="仿宋_GB2312" w:hAnsi="仿宋_GB2312" w:eastAsia="仿宋_GB2312" w:cs="仿宋_GB2312"/>
          <w:b/>
          <w:bCs/>
          <w:color w:val="auto"/>
          <w:kern w:val="2"/>
          <w:sz w:val="32"/>
          <w:szCs w:val="32"/>
          <w:lang w:val="en-US" w:eastAsia="zh-CN" w:bidi="ar-SA"/>
        </w:rPr>
        <w:t>完善公共卫生重大风险研判、评估与决策机制。</w:t>
      </w:r>
      <w:r>
        <w:rPr>
          <w:rFonts w:hint="eastAsia" w:ascii="仿宋_GB2312" w:eastAsia="仿宋_GB2312"/>
          <w:color w:val="auto"/>
          <w:sz w:val="32"/>
          <w:szCs w:val="32"/>
        </w:rPr>
        <w:t>升级和拓展疾病预测和健康风险评估与预警平台，健全区域传染病和突发公共卫生事件信息直报监测网络建设，提升传染病实验室调查技术和暴发溯源技术水平，加强综合风险评估技术，建立全区公共卫生信息收集和传染病疫情预警系统，及时评估重大活动公共卫生风险并预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b w:val="0"/>
          <w:bCs w:val="0"/>
          <w:color w:val="auto"/>
        </w:rPr>
      </w:pPr>
      <w:r>
        <w:rPr>
          <w:rFonts w:hint="eastAsia" w:ascii="仿宋_GB2312" w:hAnsi="仿宋_GB2312" w:eastAsia="仿宋_GB2312" w:cs="仿宋_GB2312"/>
          <w:b/>
          <w:bCs/>
          <w:color w:val="auto"/>
          <w:kern w:val="2"/>
          <w:sz w:val="32"/>
          <w:szCs w:val="32"/>
          <w:lang w:val="en-US" w:eastAsia="zh-CN" w:bidi="ar-SA"/>
        </w:rPr>
        <w:t>优化突发公共卫生事件救治体系。</w:t>
      </w:r>
      <w:r>
        <w:rPr>
          <w:rFonts w:hint="eastAsia" w:ascii="仿宋_GB2312" w:eastAsia="仿宋_GB2312"/>
          <w:color w:val="auto"/>
          <w:sz w:val="32"/>
          <w:szCs w:val="32"/>
        </w:rPr>
        <w:t>加强突发公共卫生事件应急响应机制，建立集中统一、高效的领导指挥体系，进一步完善公共卫生联防联控群防群治工作机制，不断提升基层突发公共卫生事件应对能力。健全科学研究、疾病控制、临床治疗有效协同机制，建立分级、分层、分流的救治机制，鼓励发展大数据、人工智能、云计算等数据科学技术用于支撑突发公共卫生事件的预警、监测、溯源、防控、救治以及资源调配。建立保障应急物资储备和调度体系，确保应急物资保障有序有力，基于多部门联防联控系统科学调整物资储备品类、规模、结构，提升储备效能，推动应急物资供应保障网高效、安全、可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加大对公众卫生应急知识普及力度。</w:t>
      </w:r>
      <w:r>
        <w:rPr>
          <w:rFonts w:hint="eastAsia" w:ascii="仿宋_GB2312" w:eastAsia="仿宋_GB2312"/>
          <w:color w:val="auto"/>
          <w:sz w:val="32"/>
          <w:szCs w:val="32"/>
        </w:rPr>
        <w:t>依托辖区各级公共卫生机构建设面向公众的急救培训体系，</w:t>
      </w:r>
      <w:r>
        <w:rPr>
          <w:rFonts w:hint="eastAsia" w:ascii="仿宋_GB2312" w:eastAsia="仿宋_GB2312"/>
          <w:color w:val="auto"/>
          <w:sz w:val="32"/>
          <w:szCs w:val="32"/>
          <w:lang w:val="en-US" w:eastAsia="zh-CN"/>
        </w:rPr>
        <w:t>提升</w:t>
      </w:r>
      <w:r>
        <w:rPr>
          <w:rFonts w:hint="eastAsia" w:ascii="仿宋_GB2312" w:eastAsia="仿宋_GB2312"/>
          <w:color w:val="auto"/>
          <w:sz w:val="32"/>
          <w:szCs w:val="32"/>
        </w:rPr>
        <w:t>普通居民的急救能力，提升公众对常见公共卫生事件自我防范知识知晓率。完善有效救治机制，优化重大公共卫生事件应急救援布局，成立公共卫生事件应急</w:t>
      </w:r>
      <w:r>
        <w:rPr>
          <w:rFonts w:hint="eastAsia" w:ascii="仿宋_GB2312" w:eastAsia="仿宋_GB2312"/>
          <w:color w:val="auto"/>
          <w:sz w:val="32"/>
          <w:szCs w:val="32"/>
          <w:lang w:val="en-US" w:eastAsia="zh-CN"/>
        </w:rPr>
        <w:t>救援队</w:t>
      </w:r>
      <w:r>
        <w:rPr>
          <w:rFonts w:hint="eastAsia" w:ascii="仿宋_GB2312" w:eastAsia="仿宋_GB2312"/>
          <w:color w:val="auto"/>
          <w:sz w:val="32"/>
          <w:szCs w:val="32"/>
        </w:rPr>
        <w:t>，逐步构建紧急救援网络。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（三）强化精神卫生防治管理</w:t>
      </w:r>
    </w:p>
    <w:p>
      <w:pPr>
        <w:pStyle w:val="2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textAlignment w:val="auto"/>
        <w:rPr>
          <w:rFonts w:hint="eastAsia"/>
          <w:bCs/>
          <w:color w:val="auto"/>
        </w:rPr>
      </w:pPr>
      <w:r>
        <w:rPr>
          <w:rFonts w:hint="eastAsia"/>
          <w:b/>
          <w:bCs/>
          <w:color w:val="auto"/>
        </w:rPr>
        <w:t>强化严重精神障碍患者管理和救治救助水平。</w:t>
      </w:r>
      <w:r>
        <w:rPr>
          <w:rFonts w:hint="eastAsia"/>
          <w:bCs/>
          <w:color w:val="auto"/>
        </w:rPr>
        <w:t>加强严重精神障碍患者报告登记、服务管理和救治救助。</w:t>
      </w:r>
      <w:r>
        <w:rPr>
          <w:rFonts w:hint="eastAsia"/>
          <w:color w:val="auto"/>
        </w:rPr>
        <w:t>完善严重精神障碍患者社区管理体系，引入社会工作者参与社区康复活动。鼓励引导社会资源提供精神障碍社区康复服务。2025年，登记在册的严重精神障碍患者规范管理率达到85%</w:t>
      </w:r>
      <w:r>
        <w:rPr>
          <w:rFonts w:hint="eastAsia"/>
          <w:color w:val="auto"/>
          <w:lang w:val="en-US" w:eastAsia="zh-CN"/>
        </w:rPr>
        <w:t>以上</w:t>
      </w:r>
      <w:r>
        <w:rPr>
          <w:rFonts w:hint="eastAsia"/>
          <w:color w:val="auto"/>
        </w:rPr>
        <w:t>，规律服药率达到75%</w:t>
      </w:r>
      <w:r>
        <w:rPr>
          <w:rFonts w:hint="eastAsia"/>
          <w:color w:val="auto"/>
          <w:lang w:val="en-US" w:eastAsia="zh-CN"/>
        </w:rPr>
        <w:t>以上</w:t>
      </w:r>
      <w:r>
        <w:rPr>
          <w:rFonts w:hint="eastAsia"/>
          <w:color w:val="auto"/>
        </w:rPr>
        <w:t>。</w:t>
      </w:r>
    </w:p>
    <w:p>
      <w:pPr>
        <w:pStyle w:val="2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textAlignment w:val="auto"/>
        <w:rPr>
          <w:color w:val="auto"/>
        </w:rPr>
      </w:pPr>
      <w:r>
        <w:rPr>
          <w:rFonts w:hint="eastAsia"/>
          <w:b/>
          <w:bCs/>
          <w:color w:val="auto"/>
        </w:rPr>
        <w:t>强化社会心理服务体系建设。</w:t>
      </w:r>
      <w:r>
        <w:rPr>
          <w:rFonts w:hint="eastAsia"/>
          <w:bCs/>
          <w:color w:val="auto"/>
          <w:lang w:val="en-US" w:eastAsia="zh-CN"/>
        </w:rPr>
        <w:t>到2025年，全区</w:t>
      </w:r>
      <w:r>
        <w:rPr>
          <w:rFonts w:hint="eastAsia"/>
          <w:bCs/>
          <w:color w:val="auto"/>
        </w:rPr>
        <w:t>社区</w:t>
      </w:r>
      <w:r>
        <w:rPr>
          <w:rFonts w:hint="eastAsia"/>
          <w:bCs/>
          <w:color w:val="auto"/>
          <w:lang w:eastAsia="zh-CN"/>
        </w:rPr>
        <w:t>卫生</w:t>
      </w:r>
      <w:r>
        <w:rPr>
          <w:rFonts w:hint="eastAsia"/>
          <w:bCs/>
          <w:color w:val="auto"/>
        </w:rPr>
        <w:t>服务中心心理</w:t>
      </w:r>
      <w:r>
        <w:rPr>
          <w:rFonts w:hint="eastAsia"/>
          <w:bCs/>
          <w:color w:val="auto"/>
          <w:lang w:val="en-US" w:eastAsia="zh-CN"/>
        </w:rPr>
        <w:t>咨询</w:t>
      </w:r>
      <w:r>
        <w:rPr>
          <w:rFonts w:hint="eastAsia"/>
          <w:bCs/>
          <w:color w:val="auto"/>
        </w:rPr>
        <w:t>门诊建成</w:t>
      </w:r>
      <w:r>
        <w:rPr>
          <w:rFonts w:hint="eastAsia"/>
          <w:bCs/>
          <w:color w:val="auto"/>
          <w:lang w:val="en-US" w:eastAsia="zh-CN"/>
        </w:rPr>
        <w:t>率100%</w:t>
      </w:r>
      <w:r>
        <w:rPr>
          <w:rFonts w:hint="eastAsia"/>
          <w:bCs/>
          <w:color w:val="auto"/>
          <w:lang w:eastAsia="zh-CN"/>
        </w:rPr>
        <w:t>，</w:t>
      </w:r>
      <w:r>
        <w:rPr>
          <w:rFonts w:hint="eastAsia"/>
          <w:bCs/>
          <w:color w:val="auto"/>
        </w:rPr>
        <w:t>全面提供心理咨询、筛查和转介等工作。</w:t>
      </w:r>
      <w:r>
        <w:rPr>
          <w:rFonts w:hint="eastAsia"/>
          <w:color w:val="auto"/>
        </w:rPr>
        <w:t>以抑郁症、焦虑症等常见精神障碍为重点，开展心理健康科普活动，提升公众心理健康素养。到2025年，学校将抑郁症筛查纳入学生健康体检等服务内容</w:t>
      </w:r>
      <w:r>
        <w:rPr>
          <w:rFonts w:hint="eastAsia"/>
          <w:color w:val="auto"/>
          <w:lang w:eastAsia="zh-CN"/>
        </w:rPr>
        <w:t>，</w:t>
      </w:r>
      <w:r>
        <w:rPr>
          <w:rFonts w:hint="eastAsia"/>
          <w:color w:val="auto"/>
        </w:rPr>
        <w:t>企事业单位把焦虑、抑郁等常见精神障碍和心理行为问题识别列入年度体检早期筛查项目。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（四）大力发展“互联网+”公共卫生服务</w:t>
      </w:r>
    </w:p>
    <w:p>
      <w:pPr>
        <w:pStyle w:val="2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0"/>
        <w:textAlignment w:val="auto"/>
        <w:rPr>
          <w:color w:val="auto"/>
        </w:rPr>
      </w:pPr>
      <w:r>
        <w:rPr>
          <w:color w:val="auto"/>
        </w:rPr>
        <w:t>加强医疗机构与公共卫生机构的信息共享、业务协同。充分利用居民电子健康档案、电子病历、膳食消费、环境因素、流行病学因素、虫媒监测等数据，开展大数据分析和挖掘，加强对各种传染病、慢性病、肿瘤、心脑血管等疾病的智能监测和精准预测</w:t>
      </w:r>
      <w:r>
        <w:rPr>
          <w:rFonts w:hint="eastAsia"/>
          <w:color w:val="auto"/>
        </w:rPr>
        <w:t>。</w:t>
      </w:r>
      <w:r>
        <w:rPr>
          <w:color w:val="auto"/>
        </w:rPr>
        <w:t>加强对老年人慢性病、儿童健康管理、儿童预防接种、孕产妇健康监测、严重精神障碍分类干预的在线管理，及时推送疫苗接种预约、儿童健康管理服务内容流程、健康教育等便民服务信息</w:t>
      </w:r>
      <w:r>
        <w:rPr>
          <w:rFonts w:hint="eastAsia"/>
          <w:color w:val="auto"/>
        </w:rPr>
        <w:t>。</w:t>
      </w:r>
      <w:r>
        <w:rPr>
          <w:color w:val="auto"/>
        </w:rPr>
        <w:t>利用互联网新媒体手段，向公众提供传染病流行预警、传染病防控知识和营养健康等信息。</w:t>
      </w:r>
    </w:p>
    <w:tbl>
      <w:tblPr>
        <w:tblStyle w:val="17"/>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5" w:hRule="atLeast"/>
        </w:trPr>
        <w:tc>
          <w:tcPr>
            <w:tcW w:w="8980" w:type="dxa"/>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zh-CN" w:eastAsia="zh-CN" w:bidi="ar-SA"/>
              </w:rPr>
            </w:pPr>
            <w:r>
              <w:rPr>
                <w:rFonts w:hint="eastAsia" w:ascii="仿宋_GB2312" w:eastAsia="仿宋_GB2312" w:hAnsiTheme="minorHAnsi" w:cstheme="minorBidi"/>
                <w:color w:val="auto"/>
                <w:kern w:val="2"/>
                <w:sz w:val="32"/>
                <w:szCs w:val="32"/>
                <w:lang w:val="zh-CN" w:eastAsia="zh-CN" w:bidi="ar-SA"/>
              </w:rPr>
              <w:t>专栏</w:t>
            </w:r>
            <w:r>
              <w:rPr>
                <w:rFonts w:hint="eastAsia" w:ascii="仿宋_GB2312" w:eastAsia="仿宋_GB2312" w:cstheme="minorBidi"/>
                <w:color w:val="auto"/>
                <w:kern w:val="2"/>
                <w:sz w:val="32"/>
                <w:szCs w:val="32"/>
                <w:lang w:val="en-US" w:eastAsia="zh-CN" w:bidi="ar-SA"/>
              </w:rPr>
              <w:t>2</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zh-CN" w:eastAsia="zh-CN" w:bidi="ar-SA"/>
              </w:rPr>
            </w:pPr>
            <w:r>
              <w:rPr>
                <w:rFonts w:hint="eastAsia" w:ascii="仿宋_GB2312" w:eastAsia="仿宋_GB2312" w:hAnsiTheme="minorHAnsi" w:cstheme="minorBidi"/>
                <w:b/>
                <w:bCs/>
                <w:color w:val="auto"/>
                <w:kern w:val="2"/>
                <w:sz w:val="32"/>
                <w:szCs w:val="32"/>
                <w:lang w:val="zh-CN" w:eastAsia="zh-CN" w:bidi="ar-SA"/>
              </w:rPr>
              <w:t>基本公共卫生项目：</w:t>
            </w:r>
            <w:r>
              <w:rPr>
                <w:rFonts w:hint="eastAsia" w:ascii="仿宋_GB2312" w:eastAsia="仿宋_GB2312" w:hAnsiTheme="minorHAnsi" w:cstheme="minorBidi"/>
                <w:color w:val="auto"/>
                <w:kern w:val="2"/>
                <w:sz w:val="32"/>
                <w:szCs w:val="32"/>
                <w:lang w:val="zh-CN" w:eastAsia="zh-CN" w:bidi="ar-SA"/>
              </w:rPr>
              <w:t>居民健康档案、健康教育、预防接种、儿童健康管理、孕产妇健康管理、老年人健康管理、慢性病（高血压、II型糖尿病）患者健康管理、严重精神障碍患者管理、结核病患者健康管理、中医药健康管理、卫生计生监督协管、传染病和突发公共卫生事件报告和处理等。</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zh-CN" w:eastAsia="zh-CN" w:bidi="ar-SA"/>
              </w:rPr>
            </w:pPr>
            <w:r>
              <w:rPr>
                <w:rFonts w:hint="eastAsia" w:ascii="仿宋_GB2312" w:eastAsia="仿宋_GB2312" w:hAnsiTheme="minorHAnsi" w:cstheme="minorBidi"/>
                <w:b/>
                <w:bCs/>
                <w:color w:val="auto"/>
                <w:kern w:val="2"/>
                <w:sz w:val="32"/>
                <w:szCs w:val="32"/>
                <w:lang w:val="zh-CN" w:eastAsia="zh-CN" w:bidi="ar-SA"/>
              </w:rPr>
              <w:t>提升公共卫生服务水平项目：</w:t>
            </w:r>
            <w:r>
              <w:rPr>
                <w:rFonts w:hint="eastAsia" w:ascii="仿宋_GB2312" w:eastAsia="仿宋_GB2312" w:hAnsiTheme="minorHAnsi" w:cstheme="minorBidi"/>
                <w:color w:val="auto"/>
                <w:kern w:val="2"/>
                <w:sz w:val="32"/>
                <w:szCs w:val="32"/>
                <w:lang w:val="zh-CN" w:eastAsia="zh-CN" w:bidi="ar-SA"/>
              </w:rPr>
              <w:t>推动社区健康服务进校园，开展儿童青少年近视防控项目、中小学生脊柱侧弯免费筛查等民生实事项目。</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zh-CN" w:eastAsia="zh-CN" w:bidi="ar-SA"/>
              </w:rPr>
            </w:pPr>
            <w:r>
              <w:rPr>
                <w:rFonts w:hint="eastAsia" w:ascii="仿宋_GB2312" w:eastAsia="仿宋_GB2312" w:hAnsiTheme="minorHAnsi" w:cstheme="minorBidi"/>
                <w:b/>
                <w:bCs/>
                <w:color w:val="auto"/>
                <w:kern w:val="2"/>
                <w:sz w:val="32"/>
                <w:szCs w:val="32"/>
                <w:lang w:val="zh-CN" w:eastAsia="zh-CN" w:bidi="ar-SA"/>
              </w:rPr>
              <w:t>健康瑶海建设工程：</w:t>
            </w:r>
            <w:r>
              <w:rPr>
                <w:rFonts w:hint="eastAsia" w:ascii="仿宋_GB2312" w:eastAsia="仿宋_GB2312" w:hAnsiTheme="minorHAnsi" w:cstheme="minorBidi"/>
                <w:color w:val="auto"/>
                <w:kern w:val="2"/>
                <w:sz w:val="32"/>
                <w:szCs w:val="32"/>
                <w:lang w:val="zh-CN" w:eastAsia="zh-CN" w:bidi="ar-SA"/>
              </w:rPr>
              <w:t>利用公共卫生监测、流行病学调查等大数据，开发向公众发布的重点传染病流行指数、慢性病发病风险自助测评工具，指导居民做好健康管理工作。</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pPr>
            <w:r>
              <w:rPr>
                <w:rFonts w:hint="eastAsia" w:ascii="仿宋_GB2312" w:eastAsia="仿宋_GB2312" w:hAnsiTheme="minorHAnsi" w:cstheme="minorBidi"/>
                <w:b/>
                <w:bCs/>
                <w:color w:val="auto"/>
                <w:kern w:val="2"/>
                <w:sz w:val="32"/>
                <w:szCs w:val="32"/>
                <w:lang w:val="zh-CN" w:eastAsia="zh-CN" w:bidi="ar-SA"/>
              </w:rPr>
              <w:t>健康口腔行动：</w:t>
            </w:r>
            <w:r>
              <w:rPr>
                <w:rFonts w:hint="eastAsia" w:ascii="仿宋_GB2312" w:eastAsia="仿宋_GB2312" w:hAnsiTheme="minorHAnsi" w:cstheme="minorBidi"/>
                <w:color w:val="auto"/>
                <w:kern w:val="2"/>
                <w:sz w:val="32"/>
                <w:szCs w:val="32"/>
                <w:lang w:val="zh-CN" w:eastAsia="zh-CN" w:bidi="ar-SA"/>
              </w:rPr>
              <w:t>全面提升我</w:t>
            </w:r>
            <w:r>
              <w:rPr>
                <w:rFonts w:hint="eastAsia" w:ascii="仿宋_GB2312" w:eastAsia="仿宋_GB2312" w:cstheme="minorBidi"/>
                <w:color w:val="auto"/>
                <w:kern w:val="2"/>
                <w:sz w:val="32"/>
                <w:szCs w:val="32"/>
                <w:lang w:val="en-US" w:eastAsia="zh-CN" w:bidi="ar-SA"/>
              </w:rPr>
              <w:t>区居民</w:t>
            </w:r>
            <w:r>
              <w:rPr>
                <w:rFonts w:hint="eastAsia" w:ascii="仿宋_GB2312" w:eastAsia="仿宋_GB2312" w:hAnsiTheme="minorHAnsi" w:cstheme="minorBidi"/>
                <w:color w:val="auto"/>
                <w:kern w:val="2"/>
                <w:sz w:val="32"/>
                <w:szCs w:val="32"/>
                <w:lang w:val="zh-CN" w:eastAsia="zh-CN" w:bidi="ar-SA"/>
              </w:rPr>
              <w:t>口腔健康水平，</w:t>
            </w:r>
            <w:r>
              <w:rPr>
                <w:rFonts w:hint="eastAsia" w:ascii="仿宋_GB2312" w:eastAsia="仿宋_GB2312" w:cstheme="minorBidi"/>
                <w:color w:val="auto"/>
                <w:kern w:val="2"/>
                <w:sz w:val="32"/>
                <w:szCs w:val="32"/>
                <w:lang w:val="en-US" w:eastAsia="zh-CN" w:bidi="ar-SA"/>
              </w:rPr>
              <w:t>到2025年，</w:t>
            </w:r>
            <w:r>
              <w:rPr>
                <w:rFonts w:hint="default" w:ascii="仿宋_GB2312" w:eastAsia="仿宋_GB2312" w:hAnsiTheme="minorHAnsi" w:cstheme="minorBidi"/>
                <w:color w:val="auto"/>
                <w:kern w:val="2"/>
                <w:sz w:val="32"/>
                <w:szCs w:val="32"/>
                <w:lang w:val="en-US" w:eastAsia="zh-CN" w:bidi="ar-SA"/>
              </w:rPr>
              <w:t>6</w:t>
            </w:r>
            <w:r>
              <w:rPr>
                <w:rFonts w:hint="eastAsia" w:ascii="仿宋_GB2312" w:eastAsia="仿宋_GB2312" w:hAnsiTheme="minorHAnsi" w:cstheme="minorBidi"/>
                <w:color w:val="auto"/>
                <w:kern w:val="2"/>
                <w:sz w:val="32"/>
                <w:szCs w:val="32"/>
                <w:lang w:val="en-US" w:eastAsia="zh-CN" w:bidi="ar-SA"/>
              </w:rPr>
              <w:t>-</w:t>
            </w:r>
            <w:r>
              <w:rPr>
                <w:rFonts w:hint="default" w:ascii="仿宋_GB2312" w:eastAsia="仿宋_GB2312" w:hAnsiTheme="minorHAnsi" w:cstheme="minorBidi"/>
                <w:color w:val="auto"/>
                <w:kern w:val="2"/>
                <w:sz w:val="32"/>
                <w:szCs w:val="32"/>
                <w:lang w:val="en-US" w:eastAsia="zh-CN" w:bidi="ar-SA"/>
              </w:rPr>
              <w:t>9</w:t>
            </w:r>
            <w:r>
              <w:rPr>
                <w:rFonts w:hint="default" w:ascii="仿宋_GB2312" w:eastAsia="仿宋_GB2312" w:hAnsiTheme="minorHAnsi" w:cstheme="minorBidi"/>
                <w:color w:val="auto"/>
                <w:kern w:val="2"/>
                <w:sz w:val="32"/>
                <w:szCs w:val="32"/>
                <w:lang w:val="zh-CN" w:eastAsia="zh-CN" w:bidi="ar-SA"/>
              </w:rPr>
              <w:t>岁人群口腔卫生知识知晓率达到85%以上，窝沟封闭完好率达到90%以上。</w:t>
            </w:r>
            <w:r>
              <w:rPr>
                <w:rFonts w:hint="default" w:ascii="仿宋_GB2312" w:eastAsia="仿宋_GB2312" w:hAnsiTheme="minorHAnsi" w:cstheme="minorBidi"/>
                <w:color w:val="auto"/>
                <w:kern w:val="2"/>
                <w:sz w:val="32"/>
                <w:szCs w:val="32"/>
                <w:lang w:val="en-US" w:eastAsia="zh-CN" w:bidi="ar-SA"/>
              </w:rPr>
              <w:t>80%的社区卫生</w:t>
            </w:r>
            <w:r>
              <w:rPr>
                <w:rFonts w:hint="default" w:ascii="仿宋_GB2312" w:eastAsia="仿宋_GB2312" w:hAnsiTheme="minorHAnsi" w:cstheme="minorBidi"/>
                <w:color w:val="auto"/>
                <w:kern w:val="2"/>
                <w:sz w:val="32"/>
                <w:szCs w:val="32"/>
                <w:lang w:val="zh-CN" w:eastAsia="zh-CN" w:bidi="ar-SA"/>
              </w:rPr>
              <w:t>服务中心配备专职口腔医师，每万人口口腔执业（助理）医师数</w:t>
            </w:r>
            <w:r>
              <w:rPr>
                <w:rFonts w:hint="eastAsia" w:ascii="仿宋_GB2312" w:eastAsia="仿宋_GB2312" w:hAnsiTheme="minorHAnsi" w:cstheme="minorBidi"/>
                <w:color w:val="auto"/>
                <w:kern w:val="2"/>
                <w:sz w:val="32"/>
                <w:szCs w:val="32"/>
                <w:lang w:val="en-US" w:eastAsia="zh-CN" w:bidi="ar-SA"/>
              </w:rPr>
              <w:t>力争</w:t>
            </w:r>
            <w:r>
              <w:rPr>
                <w:rFonts w:hint="default" w:ascii="仿宋_GB2312" w:eastAsia="仿宋_GB2312" w:hAnsiTheme="minorHAnsi" w:cstheme="minorBidi"/>
                <w:color w:val="auto"/>
                <w:kern w:val="2"/>
                <w:sz w:val="32"/>
                <w:szCs w:val="32"/>
                <w:lang w:val="zh-CN" w:eastAsia="zh-CN" w:bidi="ar-SA"/>
              </w:rPr>
              <w:t>达到</w:t>
            </w:r>
            <w:r>
              <w:rPr>
                <w:rFonts w:hint="eastAsia" w:ascii="仿宋_GB2312" w:eastAsia="仿宋_GB2312" w:hAnsiTheme="minorHAnsi" w:cstheme="minorBidi"/>
                <w:color w:val="auto"/>
                <w:kern w:val="2"/>
                <w:sz w:val="32"/>
                <w:szCs w:val="32"/>
                <w:lang w:val="en-US" w:eastAsia="zh-CN" w:bidi="ar-SA"/>
              </w:rPr>
              <w:t>3</w:t>
            </w:r>
            <w:r>
              <w:rPr>
                <w:rFonts w:hint="default" w:ascii="仿宋_GB2312" w:eastAsia="仿宋_GB2312" w:hAnsiTheme="minorHAnsi" w:cstheme="minorBidi"/>
                <w:color w:val="auto"/>
                <w:kern w:val="2"/>
                <w:sz w:val="32"/>
                <w:szCs w:val="32"/>
                <w:lang w:val="zh-CN" w:eastAsia="zh-CN" w:bidi="ar-SA"/>
              </w:rPr>
              <w:t>人，医护比达到1：</w:t>
            </w:r>
            <w:r>
              <w:rPr>
                <w:rFonts w:hint="eastAsia" w:ascii="仿宋_GB2312" w:eastAsia="仿宋_GB2312" w:hAnsiTheme="minorHAnsi" w:cstheme="minorBidi"/>
                <w:color w:val="auto"/>
                <w:kern w:val="2"/>
                <w:sz w:val="32"/>
                <w:szCs w:val="32"/>
                <w:lang w:val="en-US" w:eastAsia="zh-CN" w:bidi="ar-SA"/>
              </w:rPr>
              <w:t>1.1。</w:t>
            </w:r>
          </w:p>
        </w:tc>
      </w:tr>
    </w:tbl>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rPr>
      </w:pPr>
      <w:bookmarkStart w:id="13" w:name="_Toc4796"/>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、推进妇幼保健及新时期</w:t>
      </w:r>
      <w:r>
        <w:rPr>
          <w:rFonts w:hint="eastAsia" w:ascii="黑体" w:hAnsi="黑体" w:eastAsia="黑体" w:cs="黑体"/>
          <w:b w:val="0"/>
          <w:bCs/>
          <w:color w:val="auto"/>
          <w:sz w:val="32"/>
          <w:szCs w:val="32"/>
          <w:lang w:val="en-US" w:eastAsia="zh-CN"/>
        </w:rPr>
        <w:t>家庭发展能力建设</w:t>
      </w:r>
      <w:bookmarkEnd w:id="13"/>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（一）提升妇女儿童医疗卫生资源供给</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spacing w:beforeAutospacing="0" w:afterAutospacing="0" w:line="560" w:lineRule="exact"/>
        <w:textAlignment w:val="auto"/>
        <w:rPr>
          <w:rFonts w:hint="eastAsia" w:eastAsia="仿宋_GB2312"/>
          <w:color w:val="auto"/>
          <w:lang w:eastAsia="zh-CN"/>
        </w:rPr>
      </w:pPr>
      <w:r>
        <w:rPr>
          <w:rFonts w:hint="eastAsia"/>
          <w:b/>
          <w:bCs/>
          <w:color w:val="auto"/>
        </w:rPr>
        <w:t>完善妇女儿童医疗卫生服务体系。</w:t>
      </w:r>
      <w:r>
        <w:rPr>
          <w:rFonts w:hint="eastAsia"/>
          <w:color w:val="auto"/>
        </w:rPr>
        <w:t>通过调整结构、优化布局、提升能力，完善妇女儿童医疗卫生服务体系，实现区域妇女儿童医疗卫生资源均衡发展。加强产科、儿科医务人员培养和队伍建设，增加医务人员数量，提高队伍整体素质。鼓励和支持社会力量参与妇幼健康服务能力提升工程</w:t>
      </w:r>
      <w:r>
        <w:rPr>
          <w:rFonts w:hint="eastAsia"/>
          <w:color w:val="auto"/>
          <w:lang w:eastAsia="zh-CN"/>
        </w:rPr>
        <w:t>。</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hAnsi="仿宋_GB2312" w:cs="仿宋_GB2312"/>
          <w:b/>
          <w:bCs/>
          <w:color w:val="auto"/>
        </w:rPr>
        <w:t>完善妇幼健康服务网络。</w:t>
      </w:r>
      <w:r>
        <w:rPr>
          <w:rFonts w:hint="eastAsia"/>
          <w:color w:val="auto"/>
        </w:rPr>
        <w:t>加强优生优育和出生缺陷预防，大力推进出生缺陷三级干预。深入开展产前检查、围产期保健、新生儿听力筛查和缺陷儿童康复、0-6岁儿童心理行为筛查及干预等工作。对高危人群提供优生优育咨询和指导，进行出生缺陷风险评估</w:t>
      </w:r>
      <w:r>
        <w:rPr>
          <w:rFonts w:hint="eastAsia"/>
          <w:color w:val="auto"/>
          <w:lang w:eastAsia="zh-CN"/>
        </w:rPr>
        <w:t>。</w:t>
      </w:r>
      <w:r>
        <w:rPr>
          <w:rFonts w:hint="eastAsia"/>
          <w:color w:val="auto"/>
        </w:rPr>
        <w:t>强化孕产妇与新生儿危急重症救治能力建设，关注高危儿</w:t>
      </w:r>
      <w:r>
        <w:rPr>
          <w:rFonts w:hint="eastAsia"/>
          <w:color w:val="auto"/>
          <w:lang w:eastAsia="zh-CN"/>
        </w:rPr>
        <w:t>、</w:t>
      </w:r>
      <w:r>
        <w:rPr>
          <w:rFonts w:hint="eastAsia"/>
          <w:color w:val="auto"/>
        </w:rPr>
        <w:t>体弱儿管理，切实解决产科、儿科医护人员和服务能力短缺问题，确保母婴安全。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（二）加强妇幼卫生保健与青少年健康</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b/>
          <w:bCs/>
          <w:color w:val="auto"/>
        </w:rPr>
        <w:t>深入开展“两癌筛查”和生殖道感染项目等生殖保健服务。</w:t>
      </w:r>
      <w:r>
        <w:rPr>
          <w:rFonts w:hint="eastAsia"/>
          <w:color w:val="auto"/>
        </w:rPr>
        <w:t>以已婚育龄妇女为中心，把优生优育、生殖保健服务扩大到所有家庭成员，普及生殖健康科普知识，实施生理、心理卫生教育和更年期保健服务。</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hint="eastAsia"/>
          <w:color w:val="auto"/>
        </w:rPr>
      </w:pPr>
      <w:r>
        <w:rPr>
          <w:rFonts w:hint="eastAsia"/>
          <w:b/>
          <w:color w:val="auto"/>
        </w:rPr>
        <w:t>关爱儿童和青少年健康。</w:t>
      </w:r>
      <w:r>
        <w:rPr>
          <w:rFonts w:hint="eastAsia"/>
          <w:color w:val="auto"/>
        </w:rPr>
        <w:t>积极推进青少年健康与发展项目工作，构建以青少年健康为中心的资源整合平台，巩固和提升青少年健康服务能力，全面提高辖区青少年身心健康。加强托幼机构和学校卫生保健工作与指导，开展中小学生健康危害因素监测与评价，加强学生近视、龋齿、肥胖等常见病预防工作。加大对学校集体供餐的食品安全和营养质量监测和指导。加强学校结核病、艾滋病、性病、新冠肺炎等传染病防治和心理健康服务。关爱青少年生殖健康，减少非意愿妊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w:t>
      </w:r>
      <w:r>
        <w:rPr>
          <w:rFonts w:hint="eastAsia" w:ascii="楷体_GB2312" w:hAnsi="楷体_GB2312" w:eastAsia="楷体_GB2312" w:cs="楷体_GB2312"/>
          <w:b/>
          <w:bCs/>
          <w:color w:val="auto"/>
          <w:sz w:val="32"/>
          <w:szCs w:val="32"/>
          <w:lang w:val="en-US" w:eastAsia="zh-CN"/>
        </w:rPr>
        <w:t>加强人口监测与家庭发展能力建设</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highlight w:val="none"/>
        </w:rPr>
      </w:pPr>
      <w:r>
        <w:rPr>
          <w:rFonts w:hint="eastAsia" w:hAnsi="仿宋_GB2312" w:cs="仿宋_GB2312"/>
          <w:b/>
          <w:bCs/>
          <w:color w:val="auto"/>
          <w:highlight w:val="none"/>
        </w:rPr>
        <w:t>加强人口变动情况监测。</w:t>
      </w:r>
      <w:r>
        <w:rPr>
          <w:rFonts w:hint="eastAsia" w:ascii="仿宋_GB2312" w:hAnsi="仿宋" w:eastAsia="仿宋_GB2312"/>
          <w:spacing w:val="-10"/>
          <w:sz w:val="32"/>
          <w:szCs w:val="32"/>
          <w:highlight w:val="none"/>
          <w:lang w:val="en-US" w:eastAsia="zh-CN"/>
        </w:rPr>
        <w:t>开展人口数量、人口结构、人口老龄化趋势预测和研判等工作，关注评估辖区内人口发展形势</w:t>
      </w:r>
      <w:r>
        <w:rPr>
          <w:rFonts w:hint="eastAsia" w:hAnsi="仿宋"/>
          <w:spacing w:val="-10"/>
          <w:sz w:val="32"/>
          <w:szCs w:val="32"/>
          <w:highlight w:val="none"/>
          <w:lang w:val="en-US" w:eastAsia="zh-CN"/>
        </w:rPr>
        <w:t>；</w:t>
      </w:r>
      <w:r>
        <w:rPr>
          <w:rFonts w:hint="eastAsia" w:ascii="仿宋_GB2312" w:hAnsi="仿宋" w:eastAsia="仿宋_GB2312"/>
          <w:spacing w:val="-10"/>
          <w:sz w:val="32"/>
          <w:szCs w:val="32"/>
          <w:highlight w:val="none"/>
          <w:lang w:val="en-US" w:eastAsia="zh-CN"/>
        </w:rPr>
        <w:t>加强对妇幼保健、儿童照料等社会保障方面预期分析研究，合理配置公共服务资源，确保社会和谐稳定</w:t>
      </w:r>
      <w:r>
        <w:rPr>
          <w:rFonts w:hint="eastAsia" w:hAnsi="仿宋"/>
          <w:spacing w:val="-10"/>
          <w:sz w:val="32"/>
          <w:szCs w:val="32"/>
          <w:highlight w:val="none"/>
          <w:lang w:val="en-US" w:eastAsia="zh-CN"/>
        </w:rPr>
        <w:t>；</w:t>
      </w:r>
      <w:r>
        <w:rPr>
          <w:rFonts w:hint="eastAsia" w:ascii="仿宋_GB2312" w:hAnsi="仿宋" w:eastAsia="仿宋_GB2312"/>
          <w:spacing w:val="-10"/>
          <w:sz w:val="32"/>
          <w:szCs w:val="32"/>
          <w:highlight w:val="none"/>
          <w:lang w:val="en-US" w:eastAsia="zh-CN"/>
        </w:rPr>
        <w:t>注重对妇女生育权和就业权的保护</w:t>
      </w:r>
      <w:r>
        <w:rPr>
          <w:rFonts w:hint="eastAsia"/>
          <w:color w:val="auto"/>
          <w:highlight w:val="none"/>
        </w:rPr>
        <w:t>。</w:t>
      </w:r>
      <w:r>
        <w:rPr>
          <w:rFonts w:hint="eastAsia"/>
          <w:color w:val="auto"/>
          <w:highlight w:val="none"/>
          <w:lang w:eastAsia="zh-CN"/>
        </w:rPr>
        <w:t>做好全面三孩的政策宣传及推动工作，进一步优化办事流程，加强“一次登记，全程服务”工作。</w:t>
      </w:r>
      <w:r>
        <w:rPr>
          <w:rFonts w:hint="eastAsia"/>
          <w:color w:val="auto"/>
          <w:highlight w:val="none"/>
        </w:rPr>
        <w:t>广泛开展生殖健康科普宣传，增强</w:t>
      </w:r>
      <w:r>
        <w:rPr>
          <w:rFonts w:hint="eastAsia"/>
          <w:color w:val="auto"/>
          <w:highlight w:val="none"/>
          <w:lang w:eastAsia="zh-CN"/>
        </w:rPr>
        <w:t>育龄人群</w:t>
      </w:r>
      <w:r>
        <w:rPr>
          <w:rFonts w:hint="eastAsia"/>
          <w:color w:val="auto"/>
          <w:highlight w:val="none"/>
        </w:rPr>
        <w:t>自我保健意识和防护能力。</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02"/>
        <w:rPr>
          <w:rFonts w:hint="eastAsia" w:ascii="仿宋_GB2312" w:hAnsi="仿宋_GB2312" w:eastAsia="仿宋_GB2312" w:cs="仿宋_GB2312"/>
          <w:sz w:val="32"/>
          <w:szCs w:val="32"/>
          <w:highlight w:val="none"/>
        </w:rPr>
      </w:pPr>
      <w:r>
        <w:rPr>
          <w:rFonts w:hint="eastAsia" w:ascii="仿宋_GB2312" w:eastAsia="仿宋_GB2312" w:hAnsiTheme="minorHAnsi" w:cstheme="minorBidi"/>
          <w:b/>
          <w:bCs/>
          <w:color w:val="auto"/>
          <w:kern w:val="2"/>
          <w:sz w:val="32"/>
          <w:szCs w:val="32"/>
          <w:highlight w:val="none"/>
          <w:lang w:val="en-US" w:eastAsia="zh-CN" w:bidi="ar-SA"/>
        </w:rPr>
        <w:t>大力发展普惠为主的托育服务体系。</w:t>
      </w:r>
      <w:r>
        <w:rPr>
          <w:rFonts w:hint="eastAsia" w:ascii="仿宋_GB2312" w:eastAsia="仿宋_GB2312" w:hAnsiTheme="minorHAnsi" w:cstheme="minorBidi"/>
          <w:color w:val="auto"/>
          <w:kern w:val="2"/>
          <w:sz w:val="32"/>
          <w:szCs w:val="32"/>
          <w:highlight w:val="none"/>
          <w:lang w:val="en-US" w:eastAsia="zh-CN" w:bidi="ar-SA"/>
        </w:rPr>
        <w:t>合理布局建设“一老一少”照护服务体系，推动托育服务建设与幼儿教育建设融合协同发展，建设规模适宜、配置合理和多元化的托育服务供给体系。新建和正在建设的居住小区，按照每千人口不少于10个托位规划建设，老旧小区改造应当按照每千人口不少于8个托位建设托育服务设施。持续扩大普惠托育服务供给</w:t>
      </w:r>
      <w:r>
        <w:rPr>
          <w:rFonts w:hint="eastAsia" w:ascii="仿宋_GB2312" w:eastAsia="仿宋_GB2312" w:cstheme="minorBidi"/>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rPr>
        <w:t>2022-2025年，全区每年至少建成1个普惠性托育服务机构。到2025年，全区公办独立托育机构不少于1个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加强小区托位供给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鼓励提供多渠道托育服务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推进托幼一体化建设。</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02"/>
        <w:rPr>
          <w:rFonts w:hint="eastAsia"/>
          <w:color w:val="auto"/>
        </w:rPr>
      </w:pPr>
      <w:r>
        <w:rPr>
          <w:rFonts w:hint="eastAsia"/>
          <w:b/>
          <w:bCs/>
          <w:color w:val="auto"/>
        </w:rPr>
        <w:t>促进生殖保健融入妇女健康管理。</w:t>
      </w:r>
      <w:r>
        <w:rPr>
          <w:rFonts w:hint="eastAsia"/>
          <w:color w:val="auto"/>
        </w:rPr>
        <w:t>以女性健康为中心，完善政策，优化流程。积极推广产后和人工流产后避孕服务，提供系统、规范、人性化的生殖保健服务。提高育龄人群生殖保健意识与能力，保持适宜生育间隔，减少非意愿妊娠，保护女性生殖健康。依法严厉打击非医学需要的胎儿性别鉴定和选择性别的人工终止妊娠行为。</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rFonts w:cs="仿宋_GB2312" w:asciiTheme="minorEastAsia" w:hAnsiTheme="minorEastAsia"/>
          <w:color w:val="auto"/>
          <w:sz w:val="30"/>
          <w:szCs w:val="30"/>
        </w:rPr>
      </w:pPr>
      <w:r>
        <w:rPr>
          <w:rFonts w:hint="eastAsia" w:hAnsi="仿宋_GB2312" w:cs="仿宋_GB2312"/>
          <w:b/>
          <w:bCs/>
          <w:color w:val="auto"/>
        </w:rPr>
        <w:t>增强家庭发展能力。</w:t>
      </w:r>
      <w:r>
        <w:rPr>
          <w:rFonts w:hint="eastAsia"/>
          <w:color w:val="auto"/>
          <w:highlight w:val="none"/>
        </w:rPr>
        <w:t>完善家庭发展服务中心运行机制，充分统筹区妇幼、教育、民政、妇联等部门资源，建立齐抓共管机制，提高经费保障效果和利用效率，广泛深入创建幸福家庭活动</w:t>
      </w:r>
      <w:r>
        <w:rPr>
          <w:rFonts w:hint="eastAsia"/>
          <w:color w:val="auto"/>
          <w:highlight w:val="none"/>
          <w:lang w:eastAsia="zh-CN"/>
        </w:rPr>
        <w:t>，</w:t>
      </w:r>
      <w:r>
        <w:rPr>
          <w:rFonts w:hint="eastAsia" w:ascii="仿宋_GB2312" w:eastAsia="仿宋_GB2312"/>
          <w:sz w:val="32"/>
          <w:szCs w:val="32"/>
          <w:highlight w:val="none"/>
        </w:rPr>
        <w:t>紧密围绕家庭保健、科学育儿、养老照护、家庭文化四个方面，开展服务实践活动，促进家庭成员的身心健康与文明素质，提高家庭的综合发展能力</w:t>
      </w:r>
      <w:r>
        <w:rPr>
          <w:rFonts w:hint="eastAsia"/>
          <w:sz w:val="32"/>
          <w:szCs w:val="32"/>
          <w:highlight w:val="none"/>
          <w:lang w:eastAsia="zh-CN"/>
        </w:rPr>
        <w:t>，</w:t>
      </w:r>
      <w:r>
        <w:rPr>
          <w:rFonts w:hint="eastAsia"/>
          <w:color w:val="auto"/>
          <w:highlight w:val="none"/>
        </w:rPr>
        <w:t>促进家庭和谐幸福</w:t>
      </w:r>
      <w:r>
        <w:rPr>
          <w:rFonts w:hint="eastAsia"/>
          <w:color w:val="auto"/>
          <w:highlight w:val="none"/>
          <w:lang w:eastAsia="zh-CN"/>
        </w:rPr>
        <w:t>，</w:t>
      </w:r>
      <w:r>
        <w:rPr>
          <w:rFonts w:hint="eastAsia"/>
          <w:color w:val="auto"/>
          <w:highlight w:val="none"/>
        </w:rPr>
        <w:t>创造有利于女孩成长成才和妇女发展的社会环境，保障妇女合法权益，促进社会性别平等。</w:t>
      </w:r>
      <w:r>
        <w:rPr>
          <w:rFonts w:hint="eastAsia"/>
          <w:color w:val="auto"/>
          <w:highlight w:val="none"/>
          <w:lang w:val="en-US" w:eastAsia="zh-CN"/>
        </w:rPr>
        <w:t>继续落实计划生育家庭特别扶助制度、农村部分计划生育家庭奖励扶助制度</w:t>
      </w:r>
      <w:r>
        <w:rPr>
          <w:rFonts w:hint="eastAsia" w:ascii="仿宋_GB2312" w:hAnsi="仿宋" w:eastAsia="仿宋_GB2312"/>
          <w:spacing w:val="-10"/>
          <w:sz w:val="32"/>
          <w:szCs w:val="32"/>
          <w:highlight w:val="none"/>
          <w:lang w:val="en-US" w:eastAsia="zh-CN"/>
        </w:rPr>
        <w:t>以及法律法规规定的奖励优惠政策的落实。</w:t>
      </w:r>
    </w:p>
    <w:tbl>
      <w:tblPr>
        <w:tblStyle w:val="1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8" w:hRule="atLeast"/>
        </w:trPr>
        <w:tc>
          <w:tcPr>
            <w:tcW w:w="8820" w:type="dxa"/>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专栏</w:t>
            </w:r>
            <w:r>
              <w:rPr>
                <w:rFonts w:hint="eastAsia" w:ascii="仿宋_GB2312" w:eastAsia="仿宋_GB2312" w:cstheme="minorBidi"/>
                <w:color w:val="auto"/>
                <w:kern w:val="2"/>
                <w:sz w:val="32"/>
                <w:szCs w:val="32"/>
                <w:lang w:val="en-US" w:eastAsia="zh-CN" w:bidi="ar-SA"/>
              </w:rPr>
              <w:t>3</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b/>
                <w:bCs/>
                <w:color w:val="auto"/>
                <w:kern w:val="2"/>
                <w:sz w:val="32"/>
                <w:szCs w:val="32"/>
                <w:lang w:val="zh-CN" w:eastAsia="zh-CN" w:bidi="ar-SA"/>
              </w:rPr>
              <w:t>健康妇幼行动计划：</w:t>
            </w:r>
            <w:r>
              <w:rPr>
                <w:rFonts w:hint="eastAsia" w:ascii="仿宋_GB2312" w:eastAsia="仿宋_GB2312" w:hAnsiTheme="minorHAnsi" w:cstheme="minorBidi"/>
                <w:color w:val="auto"/>
                <w:kern w:val="2"/>
                <w:sz w:val="32"/>
                <w:szCs w:val="32"/>
                <w:lang w:val="zh-CN" w:eastAsia="zh-CN" w:bidi="ar-SA"/>
              </w:rPr>
              <w:t>“</w:t>
            </w:r>
            <w:r>
              <w:rPr>
                <w:rFonts w:hint="eastAsia" w:ascii="仿宋_GB2312" w:eastAsia="仿宋_GB2312" w:hAnsiTheme="minorHAnsi" w:cstheme="minorBidi"/>
                <w:color w:val="auto"/>
                <w:kern w:val="2"/>
                <w:sz w:val="32"/>
                <w:szCs w:val="32"/>
                <w:lang w:val="en-US" w:eastAsia="zh-CN" w:bidi="ar-SA"/>
              </w:rPr>
              <w:t>两癌</w:t>
            </w:r>
            <w:r>
              <w:rPr>
                <w:rFonts w:hint="eastAsia" w:ascii="仿宋_GB2312" w:eastAsia="仿宋_GB2312" w:hAnsiTheme="minorHAnsi" w:cstheme="minorBidi"/>
                <w:color w:val="auto"/>
                <w:kern w:val="2"/>
                <w:sz w:val="32"/>
                <w:szCs w:val="32"/>
                <w:lang w:val="zh-CN" w:eastAsia="zh-CN" w:bidi="ar-SA"/>
              </w:rPr>
              <w:t>”</w:t>
            </w:r>
            <w:r>
              <w:rPr>
                <w:rFonts w:hint="eastAsia" w:ascii="仿宋_GB2312" w:eastAsia="仿宋_GB2312" w:hAnsiTheme="minorHAnsi" w:cstheme="minorBidi"/>
                <w:color w:val="auto"/>
                <w:kern w:val="2"/>
                <w:sz w:val="32"/>
                <w:szCs w:val="32"/>
                <w:lang w:val="en-US" w:eastAsia="zh-CN" w:bidi="ar-SA"/>
              </w:rPr>
              <w:t>筛查、计划生育技术服务基本项目和避孕药具、预防艾滋病、梅毒、乙肝母婴传播、孕期抑郁症干预、产后抑郁症干预。出生缺陷综合防治、免费孕前优生健康检查、增补叶酸预防神经管缺陷、孕期唐氏综合症产前筛查和产前诊断、新生儿疾病筛查、地中海贫血防控。</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left="0" w:leftChars="0" w:firstLine="0" w:firstLineChars="0"/>
              <w:jc w:val="left"/>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b/>
                <w:bCs/>
                <w:color w:val="auto"/>
                <w:kern w:val="2"/>
                <w:sz w:val="32"/>
                <w:szCs w:val="32"/>
                <w:lang w:val="zh-CN" w:eastAsia="zh-CN" w:bidi="ar-SA"/>
              </w:rPr>
              <w:t>儿童及青少年健康：</w:t>
            </w:r>
            <w:r>
              <w:rPr>
                <w:rFonts w:hint="eastAsia" w:ascii="仿宋_GB2312" w:eastAsia="仿宋_GB2312" w:hAnsiTheme="minorHAnsi" w:cstheme="minorBidi"/>
                <w:color w:val="auto"/>
                <w:kern w:val="2"/>
                <w:sz w:val="32"/>
                <w:szCs w:val="32"/>
                <w:lang w:val="en-US" w:eastAsia="zh-CN" w:bidi="ar-SA"/>
              </w:rPr>
              <w:t>0-6岁儿童心理行为筛查及干预、学生健康危害因素和常见病监测及预防、心理健康教育、蓝雨伞计划。</w:t>
            </w:r>
          </w:p>
          <w:p>
            <w:pPr>
              <w:pStyle w:val="8"/>
              <w:keepNext w:val="0"/>
              <w:keepLines w:val="0"/>
              <w:pageBreakBefore w:val="0"/>
              <w:kinsoku/>
              <w:wordWrap/>
              <w:topLinePunct w:val="0"/>
              <w:bidi w:val="0"/>
              <w:spacing w:line="560" w:lineRule="exact"/>
              <w:ind w:left="0" w:leftChars="0" w:firstLine="0" w:firstLineChars="0"/>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b/>
                <w:bCs/>
                <w:color w:val="auto"/>
                <w:kern w:val="2"/>
                <w:sz w:val="32"/>
                <w:szCs w:val="32"/>
                <w:lang w:val="zh-CN" w:eastAsia="zh-CN" w:bidi="ar-SA"/>
              </w:rPr>
              <w:t>流动人口健康维护：</w:t>
            </w:r>
            <w:r>
              <w:rPr>
                <w:rFonts w:hint="eastAsia" w:ascii="仿宋_GB2312" w:eastAsia="仿宋_GB2312" w:hAnsiTheme="minorHAnsi" w:cstheme="minorBidi"/>
                <w:color w:val="auto"/>
                <w:kern w:val="2"/>
                <w:sz w:val="32"/>
                <w:szCs w:val="32"/>
                <w:lang w:val="en-US" w:eastAsia="zh-CN" w:bidi="ar-SA"/>
              </w:rPr>
              <w:t>流动人口基本公共卫生计生服务均等化、流动人口健康促进行动。</w:t>
            </w:r>
          </w:p>
          <w:p>
            <w:pPr>
              <w:spacing w:line="592" w:lineRule="exact"/>
              <w:ind w:left="0" w:leftChars="0" w:firstLine="0" w:firstLineChars="0"/>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cstheme="minorBidi"/>
                <w:b/>
                <w:bCs/>
                <w:color w:val="auto"/>
                <w:kern w:val="2"/>
                <w:sz w:val="32"/>
                <w:szCs w:val="32"/>
                <w:highlight w:val="none"/>
                <w:lang w:val="en-US" w:eastAsia="zh-CN" w:bidi="ar-SA"/>
              </w:rPr>
              <w:t>安心托幼行动方案</w:t>
            </w:r>
            <w:r>
              <w:rPr>
                <w:rFonts w:hint="eastAsia" w:ascii="仿宋_GB2312" w:eastAsia="仿宋_GB2312" w:hAnsiTheme="minorHAnsi" w:cstheme="minorBidi"/>
                <w:b/>
                <w:bCs/>
                <w:color w:val="auto"/>
                <w:kern w:val="2"/>
                <w:sz w:val="32"/>
                <w:szCs w:val="32"/>
                <w:highlight w:val="none"/>
                <w:lang w:val="zh-CN" w:eastAsia="zh-CN" w:bidi="ar-SA"/>
              </w:rPr>
              <w:t>：</w:t>
            </w:r>
            <w:r>
              <w:rPr>
                <w:rFonts w:hint="eastAsia" w:ascii="仿宋_GB2312" w:hAnsi="仿宋_GB2312" w:eastAsia="仿宋_GB2312" w:cs="仿宋_GB2312"/>
                <w:sz w:val="32"/>
                <w:szCs w:val="32"/>
                <w:highlight w:val="none"/>
              </w:rPr>
              <w:t>加快普惠托育机构建设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2022-2025年，全区每年至少建成1个普惠性托育服务机构。到2025年，全区公办独立托育机构不少于1个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加强小区托位供给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鼓励提供多渠道托育服务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推进托幼一体化建设</w:t>
            </w:r>
            <w:r>
              <w:rPr>
                <w:rFonts w:hint="eastAsia" w:ascii="仿宋_GB2312" w:hAnsi="仿宋_GB2312" w:eastAsia="仿宋_GB2312" w:cs="仿宋_GB2312"/>
                <w:sz w:val="32"/>
                <w:szCs w:val="32"/>
                <w:highlight w:val="none"/>
                <w:lang w:eastAsia="zh-CN"/>
              </w:rPr>
              <w:t>。</w:t>
            </w:r>
          </w:p>
        </w:tc>
      </w:tr>
    </w:tbl>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lang w:val="en-US" w:eastAsia="zh-CN"/>
        </w:rPr>
      </w:pPr>
      <w:bookmarkStart w:id="14" w:name="_Toc20162"/>
      <w:r>
        <w:rPr>
          <w:rFonts w:hint="eastAsia" w:ascii="黑体" w:hAnsi="黑体" w:eastAsia="黑体" w:cs="黑体"/>
          <w:b w:val="0"/>
          <w:bCs/>
          <w:color w:val="auto"/>
          <w:sz w:val="32"/>
          <w:szCs w:val="32"/>
          <w:lang w:val="en-US" w:eastAsia="zh-CN"/>
        </w:rPr>
        <w:t>六、提升中医药服务能力</w:t>
      </w:r>
      <w:bookmarkEnd w:id="14"/>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（一）提升基层中医药服务能力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充分发挥基层中医馆的阵地作用，完善中医药与基层相关资源充分融合、协同发展机制，依托</w:t>
      </w:r>
      <w:r>
        <w:rPr>
          <w:rFonts w:hint="eastAsia" w:ascii="仿宋_GB2312" w:hAnsi="仿宋" w:eastAsia="仿宋_GB2312"/>
          <w:color w:val="auto"/>
          <w:sz w:val="32"/>
          <w:szCs w:val="32"/>
          <w:lang w:val="en-US" w:eastAsia="zh-CN"/>
        </w:rPr>
        <w:t>区</w:t>
      </w:r>
      <w:r>
        <w:rPr>
          <w:rFonts w:hint="eastAsia" w:ascii="仿宋_GB2312" w:hAnsi="仿宋" w:eastAsia="仿宋_GB2312"/>
          <w:color w:val="auto"/>
          <w:sz w:val="32"/>
          <w:szCs w:val="32"/>
        </w:rPr>
        <w:t>级中医适宜技术</w:t>
      </w:r>
      <w:r>
        <w:rPr>
          <w:rFonts w:hint="eastAsia" w:ascii="仿宋_GB2312" w:hAnsi="仿宋" w:eastAsia="仿宋_GB2312"/>
          <w:color w:val="auto"/>
          <w:sz w:val="32"/>
          <w:szCs w:val="32"/>
          <w:lang w:val="en-US" w:eastAsia="zh-CN"/>
        </w:rPr>
        <w:t>培训</w:t>
      </w:r>
      <w:r>
        <w:rPr>
          <w:rFonts w:hint="eastAsia" w:ascii="仿宋_GB2312" w:hAnsi="仿宋" w:eastAsia="仿宋_GB2312"/>
          <w:color w:val="auto"/>
          <w:sz w:val="32"/>
          <w:szCs w:val="32"/>
        </w:rPr>
        <w:t>基地，大力推广中医药适宜技术，至少推广10项适宜技术，充分发挥中医药在基层常见病、多发病、慢性病防治和重点人群健康管理中的特色优势。通过医联体建设和中医专家师带徒等工作，持续推进中医优质资源下沉，不断提升基层中医药服务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（二）加强中医药信息化建设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以信息化支撑中医药服务体系建设，</w:t>
      </w:r>
      <w:r>
        <w:rPr>
          <w:rFonts w:hint="eastAsia" w:ascii="Times New Roman" w:hAnsi="Times New Roman" w:eastAsia="仿宋_GB2312" w:cs="Times New Roman"/>
          <w:color w:val="auto"/>
          <w:sz w:val="32"/>
          <w:szCs w:val="32"/>
          <w:lang w:val="en-US" w:eastAsia="zh-CN"/>
        </w:rPr>
        <w:t>按照市统一部署，</w:t>
      </w:r>
      <w:r>
        <w:rPr>
          <w:rFonts w:hint="default" w:ascii="Times New Roman" w:hAnsi="Times New Roman" w:eastAsia="仿宋_GB2312" w:cs="Times New Roman"/>
          <w:color w:val="auto"/>
          <w:sz w:val="32"/>
          <w:szCs w:val="32"/>
        </w:rPr>
        <w:t>探索中医药大数据在预防保健和诊疗等方面的应用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建立中医药健康医疗数据汇集共享机制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推动开展线上线下一体化服务和远程医疗服务；深化拓展智医助理功能，推动中医智能辅助诊疗系统等应用，以信息化手段解决基层中医人手不足、诊疗水平不高等问题，提升中医药诊疗服务能力。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（三）发挥中医药在治未病服务和康复中的优势作用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rPr>
      </w:pPr>
      <w:r>
        <w:rPr>
          <w:rFonts w:hint="eastAsia" w:ascii="仿宋_GB2312" w:hAnsi="仿宋_GB2312" w:eastAsia="仿宋_GB2312" w:cs="仿宋_GB2312"/>
          <w:color w:val="auto"/>
          <w:sz w:val="32"/>
          <w:szCs w:val="32"/>
        </w:rPr>
        <w:t>大力开展中医康复技术培训，提升基层医疗卫生机构中医药康复服务能力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推动医疗机构开展中医特色康复医疗、康复护理等服务。推进实施中医治未病</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推广</w:t>
      </w:r>
      <w:r>
        <w:rPr>
          <w:rFonts w:hint="eastAsia" w:ascii="仿宋_GB2312" w:hAnsi="仿宋_GB2312" w:eastAsia="仿宋_GB2312" w:cs="仿宋_GB2312"/>
          <w:color w:val="auto"/>
          <w:sz w:val="32"/>
          <w:szCs w:val="32"/>
        </w:rPr>
        <w:t>普及中医养生保健知识和养生保健方法，推广中医治未病理念的健康生活方式，推动中医药全面融入“健康</w:t>
      </w:r>
      <w:r>
        <w:rPr>
          <w:rFonts w:hint="eastAsia" w:ascii="仿宋_GB2312" w:hAnsi="仿宋_GB2312" w:eastAsia="仿宋_GB2312" w:cs="仿宋_GB2312"/>
          <w:color w:val="auto"/>
          <w:sz w:val="32"/>
          <w:szCs w:val="32"/>
          <w:lang w:val="en-US" w:eastAsia="zh-CN"/>
        </w:rPr>
        <w:t>瑶海</w:t>
      </w:r>
      <w:r>
        <w:rPr>
          <w:rFonts w:hint="eastAsia" w:ascii="仿宋_GB2312" w:hAnsi="仿宋_GB2312" w:eastAsia="仿宋_GB2312" w:cs="仿宋_GB2312"/>
          <w:color w:val="auto"/>
          <w:sz w:val="32"/>
          <w:szCs w:val="32"/>
        </w:rPr>
        <w:t>”建设。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（四）发展“中医药+”健康服务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鼓励社会力量举办规范的养生保健机构，推进中医药与养老、康复服务融合发展，支持中医医疗机构、社区卫生服务机构与养老、康复机构合作。以解决临床需求和改善生活质量为切入点，积极推进中医药技术方法在养老、康复服务中的推广应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（五）加快中医药人才队伍建设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color w:val="auto"/>
        </w:rPr>
      </w:pPr>
      <w:r>
        <w:rPr>
          <w:rFonts w:hint="eastAsia" w:ascii="仿宋_GB2312" w:hAnsi="仿宋_GB2312" w:eastAsia="仿宋_GB2312" w:cs="仿宋_GB2312"/>
          <w:color w:val="auto"/>
          <w:sz w:val="32"/>
          <w:szCs w:val="32"/>
          <w:lang w:val="en-US" w:eastAsia="zh-CN"/>
        </w:rPr>
        <w:t>坚持以社会需求为导向，配齐配强基层中医药专业技术人员,鼓励非中医类别医师学习中医，临床类别执业医师经培训、考核合格后，可在执业范围中加注中西医结合专业；支持临床经验丰富和技术专长的中医医师和中药师带徒授业，鼓励退休中医医师到基层医疗卫生机构提供服务，鼓励基层医生和护理人员参加中医药知识与技能培训。</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before="0" w:beforeAutospacing="0" w:after="0" w:afterAutospacing="0" w:line="560" w:lineRule="exact"/>
        <w:textAlignment w:val="auto"/>
        <w:rPr>
          <w:rFonts w:hint="eastAsia" w:ascii="黑体" w:hAnsi="黑体" w:eastAsia="黑体" w:cs="黑体"/>
          <w:b w:val="0"/>
          <w:bCs/>
          <w:color w:val="auto"/>
          <w:sz w:val="32"/>
          <w:szCs w:val="32"/>
          <w:lang w:val="en-US" w:eastAsia="zh-CN"/>
        </w:rPr>
      </w:pPr>
      <w:bookmarkStart w:id="15" w:name="_Toc24049"/>
      <w:r>
        <w:rPr>
          <w:rFonts w:hint="eastAsia" w:ascii="黑体" w:hAnsi="黑体" w:eastAsia="黑体" w:cs="黑体"/>
          <w:b w:val="0"/>
          <w:bCs/>
          <w:color w:val="auto"/>
          <w:sz w:val="32"/>
          <w:szCs w:val="32"/>
          <w:lang w:val="en-US" w:eastAsia="zh-CN"/>
        </w:rPr>
        <w:t>七、强化卫生健康综合监管</w:t>
      </w:r>
      <w:bookmarkEnd w:id="15"/>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（一）完善多元综合监管体系</w:t>
      </w:r>
    </w:p>
    <w:p>
      <w:pPr>
        <w:pStyle w:val="26"/>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rPr>
          <w:color w:val="auto"/>
        </w:rPr>
      </w:pPr>
      <w:r>
        <w:rPr>
          <w:rFonts w:hint="eastAsia"/>
          <w:color w:val="auto"/>
        </w:rPr>
        <w:t>医疗卫生行业综合监管制度改革，加强卫生监督综合执法机构基础设施和资源配置及规范化建设，提升卫生监督执法信息化水平，提高执法监督效率。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（二）持续规范医疗服务市场秩序</w:t>
      </w:r>
    </w:p>
    <w:p>
      <w:pPr>
        <w:pStyle w:val="26"/>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spacing w:line="560" w:lineRule="exact"/>
        <w:ind w:firstLine="640" w:firstLineChars="200"/>
        <w:rPr>
          <w:rFonts w:hint="eastAsia"/>
          <w:color w:val="auto"/>
        </w:rPr>
      </w:pPr>
      <w:r>
        <w:rPr>
          <w:rFonts w:hint="eastAsia"/>
          <w:color w:val="auto"/>
        </w:rPr>
        <w:t>继续开展扫黑除恶工作，全面净化医疗市场环境</w:t>
      </w:r>
      <w:r>
        <w:rPr>
          <w:rFonts w:hint="eastAsia"/>
          <w:color w:val="auto"/>
          <w:lang w:eastAsia="zh-CN"/>
        </w:rPr>
        <w:t>。</w:t>
      </w:r>
      <w:r>
        <w:rPr>
          <w:rFonts w:hint="eastAsia"/>
          <w:color w:val="auto"/>
        </w:rPr>
        <w:t>推进街镇开发区卫生监督信息网络体系建设，建立卫生监督联络员制度，实现对社会办医疗机构开展全过程、全链条、全方位监管，进一步提高卫生监督综合执法效能。定期开展卫生监督队伍卫生健康法规和医疗行业管理政策培训，提高医疗监督能力。持续开展医疗美容医疗质量安全专项评估与监督执法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（三）健全医疗机构安全保卫措施</w:t>
      </w:r>
    </w:p>
    <w:p>
      <w:pPr>
        <w:pStyle w:val="2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snapToGrid/>
        <w:spacing w:line="560" w:lineRule="exact"/>
        <w:ind w:firstLine="640" w:firstLineChars="200"/>
        <w:rPr>
          <w:rFonts w:hint="eastAsia"/>
          <w:color w:val="auto"/>
        </w:rPr>
      </w:pPr>
      <w:r>
        <w:rPr>
          <w:rFonts w:hint="eastAsia"/>
          <w:color w:val="auto"/>
        </w:rPr>
        <w:t>加强平安医院建设，严防“医闹”和暴力伤医事件，维护医务人员尊严和生命安全。协同相关部门完善医保医师管理制度，坚决查处医疗机构内外勾结欺诈骗保行为，建立和强化长效监管机制。规范医院电子处方管理和信息共享，推动执业医师认证全覆盖，降低</w:t>
      </w:r>
      <w:r>
        <w:rPr>
          <w:rFonts w:hint="eastAsia"/>
          <w:color w:val="auto"/>
          <w:lang w:val="en-US" w:eastAsia="zh-CN"/>
        </w:rPr>
        <w:t>各级医疗机构及</w:t>
      </w:r>
      <w:r>
        <w:rPr>
          <w:rFonts w:hint="eastAsia"/>
          <w:color w:val="auto"/>
        </w:rPr>
        <w:t>药店虚假处方风险。</w:t>
      </w:r>
    </w:p>
    <w:p>
      <w:pPr>
        <w:pStyle w:val="2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topLinePunct w:val="0"/>
        <w:autoSpaceDE/>
        <w:autoSpaceDN/>
        <w:bidi w:val="0"/>
        <w:adjustRightInd/>
        <w:snapToGrid/>
        <w:spacing w:line="560" w:lineRule="exact"/>
        <w:ind w:firstLine="640" w:firstLineChars="200"/>
        <w:rPr>
          <w:rFonts w:hint="eastAsia"/>
          <w:color w:val="auto"/>
        </w:rPr>
      </w:pPr>
    </w:p>
    <w:p>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leftChars="0" w:firstLine="0" w:firstLineChars="0"/>
        <w:jc w:val="center"/>
        <w:textAlignment w:val="center"/>
        <w:rPr>
          <w:rFonts w:hint="eastAsia" w:ascii="黑体" w:hAnsi="黑体" w:eastAsia="黑体" w:cs="黑体"/>
          <w:b w:val="0"/>
          <w:bCs w:val="0"/>
          <w:color w:val="auto"/>
        </w:rPr>
      </w:pPr>
      <w:bookmarkStart w:id="16" w:name="_Toc4238"/>
      <w:r>
        <w:rPr>
          <w:rFonts w:hint="eastAsia" w:ascii="黑体" w:hAnsi="黑体" w:eastAsia="黑体" w:cs="黑体"/>
          <w:b w:val="0"/>
          <w:bCs w:val="0"/>
          <w:color w:val="auto"/>
        </w:rPr>
        <w:t>第四章 保障措施</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spacing w:val="8"/>
          <w:sz w:val="32"/>
          <w:szCs w:val="32"/>
          <w:shd w:val="clear" w:fill="FFFFFF"/>
          <w:lang w:val="en-US" w:eastAsia="zh-CN"/>
        </w:rPr>
      </w:pPr>
      <w:bookmarkStart w:id="17" w:name="_Toc353184297"/>
      <w:bookmarkStart w:id="18" w:name="_Toc23933"/>
      <w:r>
        <w:rPr>
          <w:rFonts w:hint="eastAsia" w:ascii="楷体_GB2312" w:hAnsi="楷体_GB2312" w:eastAsia="楷体_GB2312" w:cs="楷体_GB2312"/>
          <w:b/>
          <w:bCs/>
          <w:i w:val="0"/>
          <w:iCs w:val="0"/>
          <w:caps w:val="0"/>
          <w:spacing w:val="8"/>
          <w:sz w:val="32"/>
          <w:szCs w:val="32"/>
          <w:shd w:val="clear" w:fill="FFFFFF"/>
          <w:lang w:val="en-US" w:eastAsia="zh-CN"/>
        </w:rPr>
        <w:t>（一）强化政府职能，深化卫生改革</w:t>
      </w:r>
      <w:bookmarkEnd w:id="17"/>
      <w:bookmarkEnd w:id="18"/>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切实把卫生健康事业发展“十四五”规划纳入社会经济发展规划，纳入目标管理责任制，切实加强组织领导，采取有效措施积极推进。在用人制度、分配制度、业务管理制度上下功夫，积极探索改革经验，不断完善，逐步推广。高度重视卫生健康事业发展“十四五”规划的宣传工作，要加强部门协调，动员全社会支持和参与</w:t>
      </w:r>
      <w:r>
        <w:rPr>
          <w:rFonts w:hint="eastAsia" w:ascii="仿宋_GB2312" w:eastAsia="仿宋_GB2312" w:cstheme="minorBidi"/>
          <w:b w:val="0"/>
          <w:color w:val="auto"/>
          <w:kern w:val="2"/>
          <w:sz w:val="32"/>
          <w:szCs w:val="32"/>
          <w:lang w:val="en-US" w:eastAsia="zh-CN" w:bidi="ar-SA"/>
        </w:rPr>
        <w:t>卫生健康</w:t>
      </w:r>
      <w:r>
        <w:rPr>
          <w:rFonts w:hint="eastAsia" w:ascii="仿宋_GB2312" w:eastAsia="仿宋_GB2312" w:hAnsiTheme="minorHAnsi" w:cstheme="minorBidi"/>
          <w:b w:val="0"/>
          <w:color w:val="auto"/>
          <w:kern w:val="2"/>
          <w:sz w:val="32"/>
          <w:szCs w:val="32"/>
          <w:lang w:val="en-US" w:eastAsia="zh-CN" w:bidi="ar-SA"/>
        </w:rPr>
        <w:t>工作，为“十四五”规划的顺利实施营造良好宽松的环境。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color w:val="auto"/>
          <w:spacing w:val="8"/>
          <w:sz w:val="32"/>
          <w:szCs w:val="32"/>
          <w:shd w:val="clear" w:fill="FFFFFF"/>
          <w:lang w:val="en-US" w:eastAsia="zh-CN"/>
        </w:rPr>
      </w:pPr>
      <w:r>
        <w:rPr>
          <w:rFonts w:hint="eastAsia" w:ascii="楷体_GB2312" w:hAnsi="楷体_GB2312" w:eastAsia="楷体_GB2312" w:cs="楷体_GB2312"/>
          <w:b/>
          <w:bCs/>
          <w:i w:val="0"/>
          <w:iCs w:val="0"/>
          <w:caps w:val="0"/>
          <w:color w:val="auto"/>
          <w:spacing w:val="8"/>
          <w:sz w:val="32"/>
          <w:szCs w:val="32"/>
          <w:shd w:val="clear" w:fill="FFFFFF"/>
          <w:lang w:val="en-US" w:eastAsia="zh-CN"/>
        </w:rPr>
        <w:t>（二）突出精准保障，优化营商环境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围绕大健康产业发展，建立成长型企业三年培育帮扶行动项目库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把大健康产业类人才纳入全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人才工作规划，</w:t>
      </w:r>
      <w:r>
        <w:rPr>
          <w:rFonts w:hint="eastAsia" w:ascii="仿宋_GB2312" w:hAnsi="仿宋_GB2312" w:eastAsia="仿宋_GB2312" w:cs="仿宋_GB2312"/>
          <w:color w:val="auto"/>
          <w:sz w:val="32"/>
          <w:szCs w:val="32"/>
          <w:lang w:val="en-US" w:eastAsia="zh-CN"/>
        </w:rPr>
        <w:t>组建一支大健康产业服务专员队伍，定期安排专项培训，</w:t>
      </w:r>
      <w:r>
        <w:rPr>
          <w:rFonts w:hint="eastAsia" w:ascii="仿宋_GB2312" w:hAnsi="仿宋_GB2312" w:eastAsia="仿宋_GB2312" w:cs="仿宋_GB2312"/>
          <w:color w:val="auto"/>
          <w:sz w:val="32"/>
          <w:szCs w:val="32"/>
        </w:rPr>
        <w:t>增强服务专员服务意识、提升服务企业能力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在企业工商注册变更、财税办理、审批事项报批、银企对接等方面</w:t>
      </w:r>
      <w:r>
        <w:rPr>
          <w:rFonts w:hint="eastAsia" w:ascii="仿宋_GB2312" w:hAnsi="仿宋_GB2312" w:eastAsia="仿宋_GB2312" w:cs="仿宋_GB2312"/>
          <w:color w:val="auto"/>
          <w:sz w:val="32"/>
          <w:szCs w:val="32"/>
          <w:lang w:val="en-US" w:eastAsia="zh-CN"/>
        </w:rPr>
        <w:t>开通“绿色通道”</w:t>
      </w:r>
      <w:r>
        <w:rPr>
          <w:rFonts w:hint="eastAsia" w:ascii="仿宋_GB2312" w:hAnsi="仿宋_GB2312" w:eastAsia="仿宋_GB2312" w:cs="仿宋_GB2312"/>
          <w:color w:val="auto"/>
          <w:sz w:val="32"/>
          <w:szCs w:val="32"/>
        </w:rPr>
        <w:t>，全面提升服务质量和效能，让企业集中精力谋发展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持续优化区级产业扶持政策，对重点企业、重点项目量身定制“政策包”，确保出台的政策让企业“解渴”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各有关部门</w:t>
      </w:r>
      <w:r>
        <w:rPr>
          <w:rFonts w:hint="eastAsia" w:ascii="仿宋_GB2312" w:hAnsi="仿宋_GB2312" w:eastAsia="仿宋_GB2312" w:cs="仿宋_GB2312"/>
          <w:color w:val="auto"/>
          <w:sz w:val="32"/>
          <w:szCs w:val="32"/>
        </w:rPr>
        <w:t>对确定的联系包保企业和重点项目开展调研走访，实现走访和政策宣讲全覆盖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积极协调解决有关重大问题，做好跟踪服务。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color w:val="auto"/>
          <w:spacing w:val="8"/>
          <w:sz w:val="32"/>
          <w:szCs w:val="32"/>
          <w:shd w:val="clear" w:fill="FFFFFF"/>
          <w:lang w:val="en-US" w:eastAsia="zh-CN"/>
        </w:rPr>
      </w:pPr>
      <w:r>
        <w:rPr>
          <w:rFonts w:hint="eastAsia" w:ascii="楷体_GB2312" w:hAnsi="楷体_GB2312" w:eastAsia="楷体_GB2312" w:cs="楷体_GB2312"/>
          <w:b/>
          <w:bCs/>
          <w:i w:val="0"/>
          <w:iCs w:val="0"/>
          <w:caps w:val="0"/>
          <w:color w:val="auto"/>
          <w:spacing w:val="8"/>
          <w:sz w:val="32"/>
          <w:szCs w:val="32"/>
          <w:shd w:val="clear" w:fill="FFFFFF"/>
          <w:lang w:val="en-US" w:eastAsia="zh-CN"/>
        </w:rPr>
        <w:t>（三）发挥政策优势，加大创新支持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发挥政策制定的后发优势，学习先发地区经验，整合现有政策条款，出台促进健康养老产业、生物医药产业及医疗器械产业发展专项政策。充分用活用足用好</w:t>
      </w:r>
      <w:r>
        <w:rPr>
          <w:rFonts w:hint="default" w:ascii="仿宋_GB2312" w:hAnsi="仿宋_GB2312" w:eastAsia="仿宋_GB2312" w:cs="仿宋_GB2312"/>
          <w:color w:val="auto"/>
          <w:sz w:val="32"/>
          <w:szCs w:val="32"/>
          <w:lang w:val="en-US" w:eastAsia="zh-CN"/>
        </w:rPr>
        <w:t>“双招双引”行动工程</w:t>
      </w:r>
      <w:r>
        <w:rPr>
          <w:rFonts w:hint="eastAsia" w:ascii="仿宋_GB2312" w:hAnsi="仿宋_GB2312" w:eastAsia="仿宋_GB2312" w:cs="仿宋_GB2312"/>
          <w:color w:val="auto"/>
          <w:sz w:val="32"/>
          <w:szCs w:val="32"/>
          <w:lang w:val="en-US" w:eastAsia="zh-CN"/>
        </w:rPr>
        <w:t>及上级的各项优惠政策谋划包装大健康产业项目，着力提升招商引资投资环境。以创新驱动塑造大健康产业发展新优势，加大创新支持力度，全面提升企业研发能力，打造具有更强创新力、更高附加值的产业链。</w:t>
      </w:r>
      <w:bookmarkStart w:id="19" w:name="_Toc28528"/>
      <w:bookmarkStart w:id="20" w:name="_Toc353184299"/>
    </w:p>
    <w:p>
      <w:pPr>
        <w:pStyle w:val="7"/>
        <w:keepNext w:val="0"/>
        <w:keepLines w:val="0"/>
        <w:pageBreakBefore w:val="0"/>
        <w:widowControl w:val="0"/>
        <w:kinsoku/>
        <w:wordWrap/>
        <w:overflowPunct/>
        <w:topLinePunct w:val="0"/>
        <w:autoSpaceDE w:val="0"/>
        <w:autoSpaceDN w:val="0"/>
        <w:bidi w:val="0"/>
        <w:adjustRightInd/>
        <w:snapToGrid/>
        <w:spacing w:before="11"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sz w:val="32"/>
          <w:szCs w:val="32"/>
          <w:lang w:val="en-US" w:eastAsia="zh-CN"/>
        </w:rPr>
        <w:t>强化资源配置，发挥基金效能</w:t>
      </w:r>
    </w:p>
    <w:p>
      <w:pPr>
        <w:pStyle w:val="10"/>
        <w:keepNext w:val="0"/>
        <w:keepLines w:val="0"/>
        <w:pageBreakBefore w:val="0"/>
        <w:widowControl w:val="0"/>
        <w:numPr>
          <w:ilvl w:val="0"/>
          <w:numId w:val="0"/>
        </w:numPr>
        <w:kinsoku/>
        <w:wordWrap/>
        <w:overflowPunct/>
        <w:topLinePunct w:val="0"/>
        <w:bidi w:val="0"/>
        <w:adjustRightIn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bidi="ar-SA"/>
        </w:rPr>
        <w:t>区委、区政府应鼓励并大力推进设立大健康产业基金及投资工作。坚持政府引导、市场化运作的原则，带动社会资本、金融机构、国有企业共同设立大健康产业基金进行股权投资，着力支持大健康产业发展，重点支持大健康产业基地、重大项目建设和产品研发。</w:t>
      </w:r>
    </w:p>
    <w:p>
      <w:pPr>
        <w:pStyle w:val="10"/>
        <w:keepNext w:val="0"/>
        <w:keepLines w:val="0"/>
        <w:pageBreakBefore w:val="0"/>
        <w:widowControl w:val="0"/>
        <w:kinsoku/>
        <w:wordWrap/>
        <w:overflowPunct/>
        <w:topLinePunct w:val="0"/>
        <w:autoSpaceDE/>
        <w:autoSpaceDN/>
        <w:bidi w:val="0"/>
        <w:adjustRightInd/>
        <w:spacing w:line="560" w:lineRule="exact"/>
        <w:ind w:firstLine="675" w:firstLineChars="200"/>
        <w:textAlignment w:val="auto"/>
        <w:rPr>
          <w:rFonts w:hint="eastAsia" w:ascii="楷体_GB2312" w:hAnsi="楷体_GB2312" w:eastAsia="楷体_GB2312" w:cs="楷体_GB2312"/>
          <w:b/>
          <w:bCs/>
          <w:i w:val="0"/>
          <w:iCs w:val="0"/>
          <w:caps w:val="0"/>
          <w:spacing w:val="8"/>
          <w:sz w:val="32"/>
          <w:szCs w:val="32"/>
          <w:shd w:val="clear" w:fill="FFFFFF"/>
          <w:lang w:val="en-US" w:eastAsia="zh-CN"/>
        </w:rPr>
      </w:pPr>
      <w:r>
        <w:rPr>
          <w:rFonts w:hint="eastAsia" w:ascii="楷体_GB2312" w:hAnsi="楷体_GB2312" w:eastAsia="楷体_GB2312" w:cs="楷体_GB2312"/>
          <w:b/>
          <w:bCs/>
          <w:i w:val="0"/>
          <w:iCs w:val="0"/>
          <w:caps w:val="0"/>
          <w:spacing w:val="8"/>
          <w:sz w:val="32"/>
          <w:szCs w:val="32"/>
          <w:shd w:val="clear" w:fill="FFFFFF"/>
          <w:lang w:val="en-US" w:eastAsia="zh-CN"/>
        </w:rPr>
        <w:t>（五）强化部门协调，形成推进合力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政府各部门积极配合卫生健康部门落实规划实施的相关保障。财政部门加强经费保障和监督，不断完善各项保障政策。人力资源部门指导卫生健康部门</w:t>
      </w:r>
      <w:r>
        <w:rPr>
          <w:rFonts w:hint="eastAsia" w:ascii="仿宋_GB2312" w:eastAsia="仿宋_GB2312" w:cstheme="minorBidi"/>
          <w:b w:val="0"/>
          <w:color w:val="auto"/>
          <w:kern w:val="2"/>
          <w:sz w:val="32"/>
          <w:szCs w:val="32"/>
          <w:lang w:val="en-US" w:eastAsia="zh-CN" w:bidi="ar-SA"/>
        </w:rPr>
        <w:t>加强大健康技术人员引进</w:t>
      </w:r>
      <w:r>
        <w:rPr>
          <w:rFonts w:hint="eastAsia" w:ascii="仿宋_GB2312" w:eastAsia="仿宋_GB2312" w:hAnsiTheme="minorHAnsi" w:cstheme="minorBidi"/>
          <w:b w:val="0"/>
          <w:color w:val="auto"/>
          <w:kern w:val="2"/>
          <w:sz w:val="32"/>
          <w:szCs w:val="32"/>
          <w:lang w:val="en-US" w:eastAsia="zh-CN" w:bidi="ar-SA"/>
        </w:rPr>
        <w:t>工作。规划、住建等部门积极支持卫生健康部门做好重点项目建设。民政部门与卫生健康部门共同推进医养结合工作。医保部门在医疗、医药、医保等方面与卫生健康部门加强制度、政策衔接，建立沟通协商机制，提高医疗资源使用效率和医疗保障水平。其他部门根据各自职能协助卫生健康部门实施规划。</w:t>
      </w:r>
    </w:p>
    <w:p>
      <w:pPr>
        <w:bidi w:val="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spacing w:val="8"/>
          <w:sz w:val="32"/>
          <w:szCs w:val="32"/>
          <w:shd w:val="clear" w:fill="FFFFFF"/>
          <w:lang w:val="en-US" w:eastAsia="zh-CN"/>
        </w:rPr>
      </w:pPr>
      <w:r>
        <w:rPr>
          <w:rFonts w:hint="eastAsia" w:ascii="楷体_GB2312" w:hAnsi="楷体_GB2312" w:eastAsia="楷体_GB2312" w:cs="楷体_GB2312"/>
          <w:b/>
          <w:bCs/>
          <w:i w:val="0"/>
          <w:iCs w:val="0"/>
          <w:caps w:val="0"/>
          <w:spacing w:val="8"/>
          <w:sz w:val="32"/>
          <w:szCs w:val="32"/>
          <w:shd w:val="clear" w:fill="FFFFFF"/>
          <w:lang w:val="en-US" w:eastAsia="zh-CN"/>
        </w:rPr>
        <w:t>（六）完善体制机制，强化监督管理</w:t>
      </w:r>
      <w:bookmarkEnd w:id="19"/>
      <w:bookmarkEnd w:id="20"/>
      <w:bookmarkStart w:id="21" w:name="_Toc655"/>
      <w:bookmarkStart w:id="22" w:name="_Toc26397"/>
      <w:bookmarkStart w:id="23" w:name="_Toc19730"/>
      <w:bookmarkStart w:id="24" w:name="_Toc27473"/>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切实加强对卫生健康系统安全生产及综合治理工作的组织领导。强化对医疗卫生服务行为和质量监管，完善医疗卫生服务标准和质量评价体系，健全医疗卫生服务质量监测网络。建立信息公开、社会多方参与的监管制度。</w:t>
      </w:r>
      <w:bookmarkEnd w:id="21"/>
      <w:bookmarkEnd w:id="22"/>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spacing w:val="8"/>
          <w:sz w:val="32"/>
          <w:szCs w:val="32"/>
          <w:shd w:val="clear" w:fill="FFFFFF"/>
          <w:lang w:val="en-US" w:eastAsia="zh-CN"/>
        </w:rPr>
      </w:pPr>
      <w:bookmarkStart w:id="25" w:name="_Toc353184300"/>
      <w:bookmarkStart w:id="26" w:name="_Toc32406"/>
      <w:r>
        <w:rPr>
          <w:rFonts w:hint="eastAsia" w:ascii="楷体_GB2312" w:hAnsi="楷体_GB2312" w:eastAsia="楷体_GB2312" w:cs="楷体_GB2312"/>
          <w:b/>
          <w:bCs/>
          <w:i w:val="0"/>
          <w:iCs w:val="0"/>
          <w:caps w:val="0"/>
          <w:spacing w:val="8"/>
          <w:sz w:val="32"/>
          <w:szCs w:val="32"/>
          <w:shd w:val="clear" w:fill="FFFFFF"/>
          <w:lang w:val="en-US" w:eastAsia="zh-CN"/>
        </w:rPr>
        <w:t>（七）突出工作重点，稳步有序推进</w:t>
      </w:r>
      <w:bookmarkEnd w:id="25"/>
      <w:bookmarkEnd w:id="26"/>
      <w:bookmarkStart w:id="27" w:name="_Toc17026"/>
      <w:bookmarkStart w:id="28" w:name="_Toc6012"/>
      <w:bookmarkStart w:id="29" w:name="_Toc28779"/>
      <w:bookmarkStart w:id="30" w:name="_Toc3553"/>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突出全局性的卫生重点领域和关键环节工作，把卫生工作重点放在医疗卫生服务领域，加强各医疗卫生机构的软、硬件建设，严格人员准入机制。强化预防保健和健康教育工作，切实加强社区卫生服务中心、疾病</w:t>
      </w:r>
      <w:r>
        <w:rPr>
          <w:rFonts w:hint="eastAsia" w:ascii="仿宋_GB2312" w:eastAsia="仿宋_GB2312" w:cstheme="minorBidi"/>
          <w:b w:val="0"/>
          <w:color w:val="auto"/>
          <w:kern w:val="2"/>
          <w:sz w:val="32"/>
          <w:szCs w:val="32"/>
          <w:lang w:val="en-US" w:eastAsia="zh-CN" w:bidi="ar-SA"/>
        </w:rPr>
        <w:t>预防</w:t>
      </w:r>
      <w:r>
        <w:rPr>
          <w:rFonts w:hint="eastAsia" w:ascii="仿宋_GB2312" w:eastAsia="仿宋_GB2312" w:hAnsiTheme="minorHAnsi" w:cstheme="minorBidi"/>
          <w:b w:val="0"/>
          <w:color w:val="auto"/>
          <w:kern w:val="2"/>
          <w:sz w:val="32"/>
          <w:szCs w:val="32"/>
          <w:lang w:val="en-US" w:eastAsia="zh-CN" w:bidi="ar-SA"/>
        </w:rPr>
        <w:t>控制、妇幼保健机构的配套设施建设，改善业务工作条件，扩大服务项目，充分发挥中心指导作用。</w:t>
      </w:r>
      <w:bookmarkEnd w:id="27"/>
      <w:bookmarkEnd w:id="28"/>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spacing w:val="8"/>
          <w:sz w:val="32"/>
          <w:szCs w:val="32"/>
          <w:shd w:val="clear" w:fill="FFFFFF"/>
          <w:lang w:val="en-US" w:eastAsia="zh-CN"/>
        </w:rPr>
      </w:pPr>
      <w:bookmarkStart w:id="31" w:name="_Toc353184301"/>
      <w:bookmarkStart w:id="32" w:name="_Toc20897"/>
      <w:r>
        <w:rPr>
          <w:rFonts w:hint="eastAsia" w:ascii="楷体_GB2312" w:hAnsi="楷体_GB2312" w:eastAsia="楷体_GB2312" w:cs="楷体_GB2312"/>
          <w:b/>
          <w:bCs/>
          <w:i w:val="0"/>
          <w:iCs w:val="0"/>
          <w:caps w:val="0"/>
          <w:spacing w:val="8"/>
          <w:sz w:val="32"/>
          <w:szCs w:val="32"/>
          <w:shd w:val="clear" w:fill="FFFFFF"/>
          <w:lang w:val="en-US" w:eastAsia="zh-CN"/>
        </w:rPr>
        <w:t>（八）提高人才素质，保障梯队建设</w:t>
      </w:r>
      <w:bookmarkEnd w:id="31"/>
      <w:bookmarkEnd w:id="32"/>
      <w:bookmarkStart w:id="33" w:name="_Toc17122"/>
      <w:bookmarkStart w:id="34" w:name="_Toc19619"/>
      <w:bookmarkStart w:id="35" w:name="_Toc4366"/>
      <w:bookmarkStart w:id="36" w:name="_Toc7270"/>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围绕</w:t>
      </w:r>
      <w:r>
        <w:rPr>
          <w:rFonts w:hint="eastAsia" w:ascii="仿宋_GB2312" w:hAnsi="仿宋_GB2312" w:eastAsia="仿宋_GB2312" w:cs="仿宋_GB2312"/>
          <w:sz w:val="32"/>
          <w:szCs w:val="32"/>
          <w:lang w:val="en-US" w:eastAsia="zh-CN"/>
        </w:rPr>
        <w:t>大健康产业和</w:t>
      </w:r>
      <w:r>
        <w:rPr>
          <w:rFonts w:hint="eastAsia" w:ascii="仿宋_GB2312" w:eastAsia="仿宋_GB2312" w:hAnsiTheme="minorHAnsi" w:cstheme="minorBidi"/>
          <w:b w:val="0"/>
          <w:color w:val="auto"/>
          <w:kern w:val="2"/>
          <w:sz w:val="32"/>
          <w:szCs w:val="32"/>
          <w:lang w:val="en-US" w:eastAsia="zh-CN" w:bidi="ar-SA"/>
        </w:rPr>
        <w:t>卫生健康事业发展，</w:t>
      </w:r>
      <w:r>
        <w:rPr>
          <w:rFonts w:hint="eastAsia" w:ascii="仿宋_GB2312" w:hAnsi="仿宋_GB2312" w:eastAsia="仿宋_GB2312" w:cs="仿宋_GB2312"/>
          <w:sz w:val="32"/>
          <w:szCs w:val="32"/>
        </w:rPr>
        <w:t>把大健康产业</w:t>
      </w:r>
      <w:r>
        <w:rPr>
          <w:rFonts w:hint="eastAsia" w:ascii="仿宋_GB2312" w:hAnsi="仿宋_GB2312" w:eastAsia="仿宋_GB2312" w:cs="仿宋_GB2312"/>
          <w:sz w:val="32"/>
          <w:szCs w:val="32"/>
          <w:lang w:val="en-US" w:eastAsia="zh-CN"/>
        </w:rPr>
        <w:t>等</w:t>
      </w:r>
      <w:r>
        <w:rPr>
          <w:rFonts w:hint="eastAsia" w:ascii="仿宋_GB2312" w:eastAsia="仿宋_GB2312" w:hAnsiTheme="minorHAnsi" w:cstheme="minorBidi"/>
          <w:b w:val="0"/>
          <w:color w:val="auto"/>
          <w:kern w:val="2"/>
          <w:sz w:val="32"/>
          <w:szCs w:val="32"/>
          <w:lang w:val="en-US" w:eastAsia="zh-CN" w:bidi="ar-SA"/>
        </w:rPr>
        <w:t>各类卫生人才</w:t>
      </w:r>
      <w:r>
        <w:rPr>
          <w:rFonts w:hint="eastAsia" w:ascii="仿宋_GB2312" w:hAnsi="仿宋_GB2312" w:eastAsia="仿宋_GB2312" w:cs="仿宋_GB2312"/>
          <w:sz w:val="32"/>
          <w:szCs w:val="32"/>
        </w:rPr>
        <w:t>纳入全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人才工作规划，</w:t>
      </w:r>
      <w:r>
        <w:rPr>
          <w:rFonts w:hint="eastAsia" w:ascii="仿宋_GB2312" w:eastAsia="仿宋_GB2312" w:hAnsiTheme="minorHAnsi" w:cstheme="minorBidi"/>
          <w:b w:val="0"/>
          <w:color w:val="auto"/>
          <w:kern w:val="2"/>
          <w:sz w:val="32"/>
          <w:szCs w:val="32"/>
          <w:lang w:val="en-US" w:eastAsia="zh-CN" w:bidi="ar-SA"/>
        </w:rPr>
        <w:t>创新人才工作机制，加大稳定、吸引、培养、使用人才的工作力度，改善人才成长环境，构建人才激励机制</w:t>
      </w:r>
      <w:r>
        <w:rPr>
          <w:rFonts w:hint="eastAsia" w:ascii="仿宋_GB2312" w:hAnsi="仿宋_GB2312" w:eastAsia="仿宋_GB2312" w:cs="仿宋_GB2312"/>
          <w:sz w:val="32"/>
          <w:szCs w:val="32"/>
          <w:lang w:val="en-US" w:eastAsia="zh-CN"/>
        </w:rPr>
        <w:t>。</w:t>
      </w:r>
      <w:bookmarkEnd w:id="33"/>
      <w:bookmarkEnd w:id="34"/>
      <w:bookmarkEnd w:id="35"/>
      <w:bookmarkEnd w:id="36"/>
      <w:r>
        <w:rPr>
          <w:rFonts w:hint="eastAsia" w:ascii="仿宋_GB2312" w:hAnsi="仿宋_GB2312" w:eastAsia="仿宋_GB2312" w:cs="仿宋_GB2312"/>
          <w:sz w:val="32"/>
          <w:szCs w:val="32"/>
        </w:rPr>
        <w:t>整合高校及相关企业、社会办学机构资源，培养一批</w:t>
      </w:r>
      <w:r>
        <w:rPr>
          <w:rFonts w:hint="eastAsia" w:ascii="仿宋_GB2312" w:hAnsi="仿宋_GB2312" w:eastAsia="仿宋_GB2312" w:cs="仿宋_GB2312"/>
          <w:sz w:val="32"/>
          <w:szCs w:val="32"/>
          <w:lang w:val="en-US" w:eastAsia="zh-CN"/>
        </w:rPr>
        <w:t>康复治疗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护理</w:t>
      </w:r>
      <w:r>
        <w:rPr>
          <w:rFonts w:hint="eastAsia" w:ascii="仿宋_GB2312" w:hAnsi="仿宋_GB2312" w:eastAsia="仿宋_GB2312" w:cs="仿宋_GB2312"/>
          <w:sz w:val="32"/>
          <w:szCs w:val="32"/>
        </w:rPr>
        <w:t>等紧缺的专业技术人才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多渠道</w:t>
      </w:r>
      <w:r>
        <w:rPr>
          <w:rFonts w:hint="eastAsia" w:ascii="仿宋_GB2312" w:hAnsi="仿宋_GB2312" w:eastAsia="仿宋_GB2312" w:cs="仿宋_GB2312"/>
          <w:sz w:val="32"/>
          <w:szCs w:val="32"/>
        </w:rPr>
        <w:t>引进</w:t>
      </w:r>
      <w:r>
        <w:rPr>
          <w:rFonts w:hint="eastAsia" w:ascii="仿宋_GB2312" w:hAnsi="仿宋_GB2312" w:eastAsia="仿宋_GB2312" w:cs="仿宋_GB2312"/>
          <w:sz w:val="32"/>
          <w:szCs w:val="32"/>
          <w:lang w:val="en-US" w:eastAsia="zh-CN"/>
        </w:rPr>
        <w:t>生物医药、医疗器械</w:t>
      </w:r>
      <w:r>
        <w:rPr>
          <w:rFonts w:hint="eastAsia" w:ascii="仿宋_GB2312" w:hAnsi="仿宋_GB2312" w:eastAsia="仿宋_GB2312" w:cs="仿宋_GB2312"/>
          <w:sz w:val="32"/>
          <w:szCs w:val="32"/>
        </w:rPr>
        <w:t>领军型人才。</w:t>
      </w:r>
      <w:r>
        <w:rPr>
          <w:rFonts w:hint="eastAsia" w:ascii="仿宋_GB2312" w:hAnsi="仿宋_GB2312" w:eastAsia="仿宋_GB2312" w:cs="仿宋_GB2312"/>
          <w:i w:val="0"/>
          <w:iCs w:val="0"/>
          <w:caps w:val="0"/>
          <w:spacing w:val="8"/>
          <w:sz w:val="32"/>
          <w:szCs w:val="32"/>
          <w:shd w:val="clear" w:fill="FFFFFF"/>
        </w:rPr>
        <w:t>引导各医疗养老机构和医药企业加强与高等院校、科研院所合作办学、在职培训，培育储备行业人才梯队。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spacing w:val="8"/>
          <w:sz w:val="32"/>
          <w:szCs w:val="32"/>
          <w:shd w:val="clear" w:fill="FFFFFF"/>
          <w:lang w:val="en-US" w:eastAsia="zh-CN"/>
        </w:rPr>
      </w:pPr>
      <w:bookmarkStart w:id="37" w:name="_Toc11515"/>
      <w:bookmarkStart w:id="38" w:name="_Toc353184302"/>
      <w:r>
        <w:rPr>
          <w:rFonts w:hint="eastAsia" w:ascii="楷体_GB2312" w:hAnsi="楷体_GB2312" w:eastAsia="楷体_GB2312" w:cs="楷体_GB2312"/>
          <w:b/>
          <w:bCs/>
          <w:i w:val="0"/>
          <w:iCs w:val="0"/>
          <w:caps w:val="0"/>
          <w:spacing w:val="8"/>
          <w:sz w:val="32"/>
          <w:szCs w:val="32"/>
          <w:shd w:val="clear" w:fill="FFFFFF"/>
          <w:lang w:val="en-US" w:eastAsia="zh-CN"/>
        </w:rPr>
        <w:t>（九）优化法制环境，营造良好氛围</w:t>
      </w:r>
      <w:bookmarkEnd w:id="37"/>
      <w:bookmarkEnd w:id="38"/>
      <w:bookmarkStart w:id="39" w:name="_Toc24766"/>
      <w:bookmarkStart w:id="40" w:name="_Toc20911"/>
      <w:bookmarkStart w:id="41" w:name="_Toc17487"/>
      <w:bookmarkStart w:id="42" w:name="_Toc23514"/>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HAnsi" w:cstheme="minorBidi"/>
          <w:b w:val="0"/>
          <w:color w:val="auto"/>
          <w:kern w:val="2"/>
          <w:sz w:val="32"/>
          <w:szCs w:val="32"/>
          <w:lang w:val="en-US" w:eastAsia="zh-CN" w:bidi="ar-SA"/>
        </w:rPr>
      </w:pPr>
      <w:r>
        <w:rPr>
          <w:rFonts w:hint="eastAsia" w:ascii="仿宋_GB2312" w:eastAsia="仿宋_GB2312" w:hAnsiTheme="minorHAnsi" w:cstheme="minorBidi"/>
          <w:b w:val="0"/>
          <w:color w:val="auto"/>
          <w:kern w:val="2"/>
          <w:sz w:val="32"/>
          <w:szCs w:val="32"/>
          <w:lang w:val="en-US" w:eastAsia="zh-CN" w:bidi="ar-SA"/>
        </w:rPr>
        <w:t>建立和完善卫生健康法律法规，推动依法行政、依法行医，加快依法办事进程，构建有利于卫生健康事业发展的法制环境。加强对重大卫生健康政策、重大突发事件的宣传，正确引导社会舆论，树立卫生健康行业良好形象，营造干事创业的良好氛围。</w:t>
      </w:r>
      <w:bookmarkEnd w:id="39"/>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outlineLvl w:val="9"/>
        <w:rPr>
          <w:rFonts w:hint="eastAsia" w:ascii="楷体_GB2312" w:hAnsi="楷体_GB2312" w:eastAsia="楷体_GB2312" w:cs="楷体_GB2312"/>
          <w:b/>
          <w:bCs/>
          <w:i w:val="0"/>
          <w:iCs w:val="0"/>
          <w:caps w:val="0"/>
          <w:spacing w:val="8"/>
          <w:sz w:val="32"/>
          <w:szCs w:val="32"/>
          <w:shd w:val="clear" w:fill="FFFFFF"/>
          <w:lang w:val="en-US" w:eastAsia="zh-CN"/>
        </w:rPr>
      </w:pPr>
      <w:bookmarkStart w:id="43" w:name="_Toc353184303"/>
      <w:bookmarkStart w:id="44" w:name="_Toc23470"/>
      <w:r>
        <w:rPr>
          <w:rFonts w:hint="eastAsia" w:ascii="楷体_GB2312" w:hAnsi="楷体_GB2312" w:eastAsia="楷体_GB2312" w:cs="楷体_GB2312"/>
          <w:b/>
          <w:bCs/>
          <w:i w:val="0"/>
          <w:iCs w:val="0"/>
          <w:caps w:val="0"/>
          <w:spacing w:val="8"/>
          <w:sz w:val="32"/>
          <w:szCs w:val="32"/>
          <w:shd w:val="clear" w:fill="FFFFFF"/>
          <w:lang w:val="en-US" w:eastAsia="zh-CN"/>
        </w:rPr>
        <w:t>（十）注重行风建设，创建和谐服务</w:t>
      </w:r>
      <w:bookmarkEnd w:id="43"/>
      <w:bookmarkEnd w:id="44"/>
      <w:bookmarkStart w:id="45" w:name="_Toc29205"/>
      <w:bookmarkStart w:id="46" w:name="_Toc9186"/>
      <w:bookmarkStart w:id="47" w:name="_Toc27859"/>
      <w:bookmarkStart w:id="48" w:name="_Toc29452"/>
    </w:p>
    <w:p>
      <w:pPr>
        <w:overflowPunct w:val="0"/>
        <w:adjustRightInd w:val="0"/>
        <w:snapToGrid w:val="0"/>
        <w:spacing w:line="592" w:lineRule="exact"/>
        <w:ind w:left="0" w:leftChars="0" w:firstLine="0" w:firstLineChars="0"/>
        <w:rPr>
          <w:rFonts w:eastAsia="仿宋_GB2312"/>
          <w:color w:val="000000"/>
          <w:sz w:val="32"/>
          <w:szCs w:val="32"/>
        </w:rPr>
      </w:pPr>
      <w:r>
        <w:rPr>
          <w:rFonts w:hint="eastAsia" w:ascii="仿宋_GB2312" w:eastAsia="仿宋_GB2312" w:hAnsiTheme="minorHAnsi" w:cstheme="minorBidi"/>
          <w:b w:val="0"/>
          <w:color w:val="auto"/>
          <w:kern w:val="2"/>
          <w:sz w:val="32"/>
          <w:szCs w:val="32"/>
          <w:lang w:val="en-US" w:eastAsia="zh-CN" w:bidi="ar-SA"/>
        </w:rPr>
        <w:t>深入开展医德医风和卫生健康文化建设，促进医务工作者依法从医、廉洁从医，规范医疗卫生机构信息公开等制度，维护良好的服务秩序。同时，各机构要转变工作理念，切实增强为人民群众健康服务的宗旨意识，改善服务态度，提高服务能力，提升服务质量，努力塑造卫生健康行业新形象。</w:t>
      </w:r>
      <w:bookmarkEnd w:id="45"/>
      <w:bookmarkEnd w:id="46"/>
      <w:bookmarkEnd w:id="47"/>
      <w:bookmarkEnd w:id="48"/>
    </w:p>
    <w:p>
      <w:pPr>
        <w:overflowPunct w:val="0"/>
        <w:adjustRightInd w:val="0"/>
        <w:snapToGrid w:val="0"/>
        <w:spacing w:line="592" w:lineRule="exact"/>
        <w:ind w:firstLine="640" w:firstLineChars="200"/>
        <w:rPr>
          <w:rFonts w:eastAsia="仿宋_GB2312"/>
          <w:color w:val="000000"/>
          <w:sz w:val="32"/>
          <w:szCs w:val="32"/>
        </w:rPr>
      </w:pPr>
    </w:p>
    <w:p>
      <w:pPr>
        <w:overflowPunct w:val="0"/>
        <w:adjustRightInd w:val="0"/>
        <w:snapToGrid w:val="0"/>
        <w:spacing w:line="592" w:lineRule="exact"/>
        <w:ind w:firstLine="640" w:firstLineChars="200"/>
        <w:rPr>
          <w:rFonts w:eastAsia="仿宋_GB2312"/>
          <w:color w:val="000000"/>
          <w:sz w:val="32"/>
          <w:szCs w:val="32"/>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tabs>
          <w:tab w:val="left" w:pos="8925"/>
        </w:tabs>
        <w:adjustRightInd w:val="0"/>
        <w:spacing w:line="500" w:lineRule="exact"/>
        <w:ind w:firstLine="0" w:firstLineChars="0"/>
        <w:rPr>
          <w:rFonts w:ascii="仿宋" w:hAnsi="仿宋" w:eastAsia="仿宋"/>
          <w:sz w:val="28"/>
          <w:szCs w:val="28"/>
        </w:rPr>
      </w:pPr>
    </w:p>
    <w:p>
      <w:pPr>
        <w:pStyle w:val="2"/>
        <w:jc w:val="both"/>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sz w:val="28"/>
          <w:szCs w:val="28"/>
        </w:rPr>
      </w:pPr>
    </w:p>
    <w:p>
      <w:pPr>
        <w:tabs>
          <w:tab w:val="left" w:pos="8925"/>
        </w:tabs>
        <w:adjustRightInd w:val="0"/>
        <w:spacing w:line="500" w:lineRule="exact"/>
        <w:ind w:firstLine="280" w:firstLineChars="100"/>
        <w:rPr>
          <w:rFonts w:ascii="仿宋" w:hAnsi="仿宋" w:eastAsia="仿宋" w:cs="宋体"/>
          <w:color w:val="000000"/>
          <w:kern w:val="0"/>
        </w:rPr>
      </w:pPr>
      <w:bookmarkStart w:id="49" w:name="_GoBack"/>
      <w:bookmarkEnd w:id="49"/>
      <w:r>
        <w:rPr>
          <w:rFonts w:ascii="仿宋" w:hAnsi="仿宋" w:eastAsia="仿宋"/>
          <w:sz w:val="28"/>
          <w:szCs w:val="28"/>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341630</wp:posOffset>
                </wp:positionV>
                <wp:extent cx="5615940" cy="0"/>
                <wp:effectExtent l="8255" t="8890" r="14605" b="1016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0.5pt;margin-top:26.9pt;height:0pt;width:442.2pt;z-index:251662336;mso-width-relative:page;mso-height-relative:page;" filled="f" stroked="t" coordsize="21600,21600" o:gfxdata="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YSU&#10;69YAAAAGAQAADwAAAAAAAAABACAAAAAiAAAAZHJzL2Rvd25yZXYueG1sUEsBAhQAFAAAAAgAh07i&#10;QKj0E0XrAQAAtQMAAA4AAAAAAAAAAQAgAAAAJQEAAGRycy9lMm9Eb2MueG1sUEsFBgAAAAAGAAYA&#10;WQEAAIIFAAAAAA==&#10;">
                <v:fill on="f" focussize="0,0"/>
                <v:stroke weight="1pt"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31115</wp:posOffset>
                </wp:positionV>
                <wp:extent cx="5615940" cy="0"/>
                <wp:effectExtent l="13970" t="12065" r="8890" b="698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017">
                          <a:solidFill>
                            <a:srgbClr val="000000"/>
                          </a:solidFill>
                          <a:round/>
                        </a:ln>
                      </wps:spPr>
                      <wps:bodyPr/>
                    </wps:wsp>
                  </a:graphicData>
                </a:graphic>
              </wp:anchor>
            </w:drawing>
          </mc:Choice>
          <mc:Fallback>
            <w:pict>
              <v:line id="_x0000_s1026" o:spid="_x0000_s1026" o:spt="20" style="position:absolute;left:0pt;margin-top:2.45pt;height:0pt;width:442.2pt;mso-position-horizontal:center;z-index:251661312;mso-width-relative:page;mso-height-relative:page;" filled="f" stroked="t" coordsize="21600,21600" o:gfxdata="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pntAdQAAAAEAQAA&#10;DwAAAAAAAAABACAAAAAiAAAAZHJzL2Rvd25yZXYueG1sUEsBAhQAFAAAAAgAh07iQAXTesvkAQAA&#10;qgMAAA4AAAAAAAAAAQAgAAAAIwEAAGRycy9lMm9Eb2MueG1sUEsFBgAAAAAGAAYAWQEAAHkFAAAA&#10;AA==&#10;">
                <v:fill on="f" focussize="0,0"/>
                <v:stroke weight="0.71pt" color="#000000" joinstyle="round"/>
                <v:imagedata o:title=""/>
                <o:lock v:ext="edit" aspectratio="f"/>
              </v:line>
            </w:pict>
          </mc:Fallback>
        </mc:AlternateContent>
      </w:r>
      <w:r>
        <w:rPr>
          <w:rFonts w:ascii="仿宋" w:hAnsi="仿宋" w:eastAsia="仿宋"/>
          <w:sz w:val="28"/>
          <w:szCs w:val="28"/>
        </w:rPr>
        <w:t xml:space="preserve">合肥市瑶海区人民政府办公室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 xml:space="preserve"> 20</w:t>
      </w:r>
      <w:r>
        <w:rPr>
          <w:rFonts w:hint="eastAsia" w:ascii="仿宋" w:hAnsi="仿宋" w:eastAsia="仿宋"/>
          <w:sz w:val="28"/>
          <w:szCs w:val="28"/>
          <w:lang w:val="en-US" w:eastAsia="zh-CN"/>
        </w:rPr>
        <w:t>22</w:t>
      </w:r>
      <w:r>
        <w:rPr>
          <w:rFonts w:ascii="仿宋" w:hAnsi="仿宋" w:eastAsia="仿宋"/>
          <w:sz w:val="28"/>
          <w:szCs w:val="28"/>
        </w:rPr>
        <w:t>年</w:t>
      </w:r>
      <w:r>
        <w:rPr>
          <w:rFonts w:hint="eastAsia" w:ascii="仿宋" w:hAnsi="仿宋" w:eastAsia="仿宋"/>
          <w:sz w:val="28"/>
          <w:szCs w:val="28"/>
          <w:lang w:val="en-US" w:eastAsia="zh-CN"/>
        </w:rPr>
        <w:t>12</w:t>
      </w:r>
      <w:r>
        <w:rPr>
          <w:rFonts w:ascii="仿宋" w:hAnsi="仿宋" w:eastAsia="仿宋"/>
          <w:sz w:val="28"/>
          <w:szCs w:val="28"/>
        </w:rPr>
        <w:t>月</w:t>
      </w:r>
      <w:r>
        <w:rPr>
          <w:rFonts w:hint="eastAsia" w:ascii="仿宋" w:hAnsi="仿宋" w:eastAsia="仿宋"/>
          <w:sz w:val="28"/>
          <w:szCs w:val="28"/>
          <w:lang w:val="en-US" w:eastAsia="zh-CN"/>
        </w:rPr>
        <w:t>8</w:t>
      </w:r>
      <w:r>
        <w:rPr>
          <w:rFonts w:ascii="仿宋" w:hAnsi="仿宋" w:eastAsia="仿宋"/>
          <w:sz w:val="28"/>
          <w:szCs w:val="28"/>
        </w:rPr>
        <w:t>日印发</w:t>
      </w:r>
    </w:p>
    <w:sectPr>
      <w:headerReference r:id="rId10" w:type="first"/>
      <w:footerReference r:id="rId13" w:type="first"/>
      <w:headerReference r:id="rId8" w:type="default"/>
      <w:footerReference r:id="rId11" w:type="default"/>
      <w:headerReference r:id="rId9" w:type="even"/>
      <w:footerReference r:id="rId12" w:type="even"/>
      <w:pgSz w:w="11906" w:h="16838"/>
      <w:pgMar w:top="2098" w:right="1474" w:bottom="1985" w:left="1588" w:header="851" w:footer="992" w:gutter="0"/>
      <w:pgNumType w:fmt="numberInDash"/>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rPr>
        <w:rFonts w:asciiTheme="minorEastAsia" w:hAnsiTheme="minorEastAsia" w:eastAsia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zZlZTI0ZDA2Mjg0OGRlNWJjYmRiMTdlZDIyOTIifQ=="/>
  </w:docVars>
  <w:rsids>
    <w:rsidRoot w:val="00EE3E14"/>
    <w:rsid w:val="000209D5"/>
    <w:rsid w:val="00034C36"/>
    <w:rsid w:val="0016206F"/>
    <w:rsid w:val="001A129A"/>
    <w:rsid w:val="001C6121"/>
    <w:rsid w:val="001E3AC4"/>
    <w:rsid w:val="002037DF"/>
    <w:rsid w:val="00231E29"/>
    <w:rsid w:val="0033033E"/>
    <w:rsid w:val="00362E51"/>
    <w:rsid w:val="00380A1E"/>
    <w:rsid w:val="003D60F8"/>
    <w:rsid w:val="004613D0"/>
    <w:rsid w:val="004A0415"/>
    <w:rsid w:val="00535A03"/>
    <w:rsid w:val="00641FAD"/>
    <w:rsid w:val="006B09C4"/>
    <w:rsid w:val="007C0F2D"/>
    <w:rsid w:val="007D5FCC"/>
    <w:rsid w:val="00830A63"/>
    <w:rsid w:val="008401B7"/>
    <w:rsid w:val="00871287"/>
    <w:rsid w:val="008F5C21"/>
    <w:rsid w:val="008F5F8C"/>
    <w:rsid w:val="00953936"/>
    <w:rsid w:val="00976838"/>
    <w:rsid w:val="00977A2A"/>
    <w:rsid w:val="009B6E18"/>
    <w:rsid w:val="009D3634"/>
    <w:rsid w:val="009E0186"/>
    <w:rsid w:val="00A23294"/>
    <w:rsid w:val="00B017F5"/>
    <w:rsid w:val="00BB70EB"/>
    <w:rsid w:val="00C17EE2"/>
    <w:rsid w:val="00C93E8E"/>
    <w:rsid w:val="00CF3154"/>
    <w:rsid w:val="00D075D8"/>
    <w:rsid w:val="00D20466"/>
    <w:rsid w:val="00D46FC7"/>
    <w:rsid w:val="00E10505"/>
    <w:rsid w:val="00EE3E14"/>
    <w:rsid w:val="00F06DB7"/>
    <w:rsid w:val="00F91F09"/>
    <w:rsid w:val="017900E3"/>
    <w:rsid w:val="0393141F"/>
    <w:rsid w:val="03B1713F"/>
    <w:rsid w:val="043D6C25"/>
    <w:rsid w:val="05C07B0D"/>
    <w:rsid w:val="063D2F0C"/>
    <w:rsid w:val="06624721"/>
    <w:rsid w:val="06AE5BB8"/>
    <w:rsid w:val="0721638A"/>
    <w:rsid w:val="07524795"/>
    <w:rsid w:val="09CB082F"/>
    <w:rsid w:val="0AD57BB7"/>
    <w:rsid w:val="0D097FEC"/>
    <w:rsid w:val="0DF50570"/>
    <w:rsid w:val="0E415563"/>
    <w:rsid w:val="0E4A213F"/>
    <w:rsid w:val="0E7B6CC7"/>
    <w:rsid w:val="0F4F5A5E"/>
    <w:rsid w:val="0F895414"/>
    <w:rsid w:val="10563D26"/>
    <w:rsid w:val="135F0966"/>
    <w:rsid w:val="15A44D56"/>
    <w:rsid w:val="183F0D66"/>
    <w:rsid w:val="18CB25F9"/>
    <w:rsid w:val="18FB570C"/>
    <w:rsid w:val="1901426D"/>
    <w:rsid w:val="191627CB"/>
    <w:rsid w:val="198D3D53"/>
    <w:rsid w:val="1A703458"/>
    <w:rsid w:val="1BC32313"/>
    <w:rsid w:val="1C077DEC"/>
    <w:rsid w:val="1D586BB8"/>
    <w:rsid w:val="1D682B0D"/>
    <w:rsid w:val="20340A84"/>
    <w:rsid w:val="21E0234B"/>
    <w:rsid w:val="22205764"/>
    <w:rsid w:val="224A0A33"/>
    <w:rsid w:val="23FB48F6"/>
    <w:rsid w:val="240B2444"/>
    <w:rsid w:val="24CA7AC9"/>
    <w:rsid w:val="29542197"/>
    <w:rsid w:val="29C63095"/>
    <w:rsid w:val="2AF92FF6"/>
    <w:rsid w:val="2BC375CD"/>
    <w:rsid w:val="2C154D84"/>
    <w:rsid w:val="2D7D7F0E"/>
    <w:rsid w:val="2FA5374C"/>
    <w:rsid w:val="30085A89"/>
    <w:rsid w:val="32BB5035"/>
    <w:rsid w:val="340B78F6"/>
    <w:rsid w:val="36DB7A54"/>
    <w:rsid w:val="37305FF2"/>
    <w:rsid w:val="37425D25"/>
    <w:rsid w:val="3A687753"/>
    <w:rsid w:val="3B2A0FAA"/>
    <w:rsid w:val="3B691AD2"/>
    <w:rsid w:val="3BC907C3"/>
    <w:rsid w:val="3C4542ED"/>
    <w:rsid w:val="3CCC056A"/>
    <w:rsid w:val="3EB017C6"/>
    <w:rsid w:val="3F3D5750"/>
    <w:rsid w:val="3F892743"/>
    <w:rsid w:val="3F9853E7"/>
    <w:rsid w:val="41A75102"/>
    <w:rsid w:val="42784CF1"/>
    <w:rsid w:val="42D068DB"/>
    <w:rsid w:val="44B57B36"/>
    <w:rsid w:val="453734C5"/>
    <w:rsid w:val="46364CA7"/>
    <w:rsid w:val="464078D3"/>
    <w:rsid w:val="467F664E"/>
    <w:rsid w:val="472E3BD0"/>
    <w:rsid w:val="47354F5E"/>
    <w:rsid w:val="479B74B7"/>
    <w:rsid w:val="48737DCF"/>
    <w:rsid w:val="496164DE"/>
    <w:rsid w:val="49D46CB0"/>
    <w:rsid w:val="4ADB5E1D"/>
    <w:rsid w:val="4AEE3DA2"/>
    <w:rsid w:val="4B0E61F2"/>
    <w:rsid w:val="4B4734B2"/>
    <w:rsid w:val="4BA73154"/>
    <w:rsid w:val="4C2832E3"/>
    <w:rsid w:val="4CA7245A"/>
    <w:rsid w:val="50C7131D"/>
    <w:rsid w:val="53542398"/>
    <w:rsid w:val="53F817ED"/>
    <w:rsid w:val="54630A7D"/>
    <w:rsid w:val="559D264C"/>
    <w:rsid w:val="56552F27"/>
    <w:rsid w:val="579D2DD8"/>
    <w:rsid w:val="586236D9"/>
    <w:rsid w:val="58BE3005"/>
    <w:rsid w:val="58BF6D7E"/>
    <w:rsid w:val="5A3E3CD2"/>
    <w:rsid w:val="5AC266B1"/>
    <w:rsid w:val="5B157129"/>
    <w:rsid w:val="5BAA5AC3"/>
    <w:rsid w:val="5C084259"/>
    <w:rsid w:val="612E4AA0"/>
    <w:rsid w:val="641206A9"/>
    <w:rsid w:val="6526485A"/>
    <w:rsid w:val="652A37D1"/>
    <w:rsid w:val="661A1A97"/>
    <w:rsid w:val="67B35CFF"/>
    <w:rsid w:val="67E67E83"/>
    <w:rsid w:val="68A1024E"/>
    <w:rsid w:val="6A955B90"/>
    <w:rsid w:val="6AB029CA"/>
    <w:rsid w:val="6B60049B"/>
    <w:rsid w:val="6D3E250F"/>
    <w:rsid w:val="6EAD34A8"/>
    <w:rsid w:val="6F0516F1"/>
    <w:rsid w:val="6F4551EB"/>
    <w:rsid w:val="6FCF3633"/>
    <w:rsid w:val="6FD42CB7"/>
    <w:rsid w:val="702E686B"/>
    <w:rsid w:val="70EB475C"/>
    <w:rsid w:val="711C2B67"/>
    <w:rsid w:val="728C5ACB"/>
    <w:rsid w:val="74070244"/>
    <w:rsid w:val="75061B64"/>
    <w:rsid w:val="751D54F5"/>
    <w:rsid w:val="755C1784"/>
    <w:rsid w:val="76B15B00"/>
    <w:rsid w:val="76C40B91"/>
    <w:rsid w:val="76CA4E14"/>
    <w:rsid w:val="76D65566"/>
    <w:rsid w:val="773504DF"/>
    <w:rsid w:val="77D23F80"/>
    <w:rsid w:val="78B813C8"/>
    <w:rsid w:val="7B6B0BA1"/>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5" w:semiHidden="0" w:name="Normal"/>
    <w:lsdException w:qFormat="1" w:unhideWhenUsed="0" w:uiPriority="9" w:semiHidden="0" w:name="heading 1"/>
    <w:lsdException w:qFormat="1" w:unhideWhenUsed="0" w:uiPriority="3" w:semiHidden="0" w:name="heading 2"/>
    <w:lsdException w:qFormat="1" w:unhideWhenUsed="0" w:uiPriority="4"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5"/>
    <w:pPr>
      <w:widowControl w:val="0"/>
      <w:spacing w:line="600" w:lineRule="exact"/>
      <w:ind w:firstLine="200" w:firstLineChars="200"/>
      <w:jc w:val="both"/>
    </w:pPr>
    <w:rPr>
      <w:rFonts w:ascii="仿宋_GB2312" w:eastAsia="仿宋_GB2312" w:hAnsiTheme="minorHAnsi" w:cstheme="minorBidi"/>
      <w:kern w:val="2"/>
      <w:sz w:val="32"/>
      <w:szCs w:val="32"/>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3"/>
    <w:pPr>
      <w:outlineLvl w:val="1"/>
    </w:pPr>
    <w:rPr>
      <w:rFonts w:ascii="楷体_GB2312" w:eastAsia="楷体_GB2312" w:hAnsiTheme="majorHAnsi" w:cstheme="majorBidi"/>
      <w:b/>
      <w:bCs/>
      <w:sz w:val="21"/>
      <w:szCs w:val="22"/>
    </w:rPr>
  </w:style>
  <w:style w:type="paragraph" w:styleId="5">
    <w:name w:val="heading 3"/>
    <w:basedOn w:val="1"/>
    <w:next w:val="1"/>
    <w:link w:val="21"/>
    <w:qFormat/>
    <w:uiPriority w:val="4"/>
    <w:pPr>
      <w:keepNext/>
      <w:keepLines/>
      <w:outlineLvl w:val="2"/>
    </w:pPr>
    <w:rPr>
      <w:rFonts w:eastAsiaTheme="minorEastAsia"/>
      <w:b/>
      <w:bCs/>
      <w:sz w:val="21"/>
      <w:szCs w:val="2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9"/>
    <w:qFormat/>
    <w:uiPriority w:val="0"/>
    <w:pPr>
      <w:pageBreakBefore/>
      <w:spacing w:before="240" w:after="120"/>
      <w:ind w:firstLine="0" w:firstLineChars="0"/>
      <w:jc w:val="center"/>
      <w:outlineLvl w:val="0"/>
    </w:pPr>
    <w:rPr>
      <w:rFonts w:ascii="方正小标宋简体" w:eastAsia="方正小标宋简体" w:hAnsiTheme="majorHAnsi" w:cstheme="majorBidi"/>
      <w:b/>
      <w:bCs/>
      <w:sz w:val="44"/>
      <w:szCs w:val="22"/>
    </w:rPr>
  </w:style>
  <w:style w:type="paragraph" w:styleId="6">
    <w:name w:val="index 8"/>
    <w:basedOn w:val="1"/>
    <w:next w:val="1"/>
    <w:unhideWhenUsed/>
    <w:qFormat/>
    <w:uiPriority w:val="99"/>
    <w:pPr>
      <w:ind w:firstLine="643" w:firstLineChars="200"/>
    </w:pPr>
    <w:rPr>
      <w:rFonts w:ascii="仿宋_GB2312" w:eastAsia="仿宋_GB2312"/>
      <w:b/>
      <w:sz w:val="32"/>
      <w:szCs w:val="32"/>
    </w:rPr>
  </w:style>
  <w:style w:type="paragraph" w:styleId="7">
    <w:name w:val="Body Text"/>
    <w:basedOn w:val="1"/>
    <w:next w:val="6"/>
    <w:unhideWhenUsed/>
    <w:qFormat/>
    <w:uiPriority w:val="99"/>
    <w:pPr>
      <w:autoSpaceDE w:val="0"/>
      <w:autoSpaceDN w:val="0"/>
      <w:jc w:val="left"/>
    </w:pPr>
    <w:rPr>
      <w:rFonts w:ascii="宋体" w:hAnsi="宋体" w:eastAsia="宋体" w:cs="宋体"/>
      <w:kern w:val="0"/>
      <w:sz w:val="32"/>
      <w:szCs w:val="32"/>
    </w:rPr>
  </w:style>
  <w:style w:type="paragraph" w:styleId="8">
    <w:name w:val="Plain Text"/>
    <w:basedOn w:val="1"/>
    <w:qFormat/>
    <w:uiPriority w:val="0"/>
    <w:pPr>
      <w:widowControl w:val="0"/>
      <w:jc w:val="left"/>
    </w:pPr>
    <w:rPr>
      <w:rFonts w:ascii="宋体" w:hAnsi="Courier New" w:eastAsia="宋体" w:cs="Times New Roman"/>
      <w:kern w:val="2"/>
      <w:sz w:val="21"/>
      <w:szCs w:val="21"/>
      <w:lang w:val="zh-CN" w:eastAsia="zh-CN" w:bidi="ar-SA"/>
    </w:rPr>
  </w:style>
  <w:style w:type="paragraph" w:styleId="9">
    <w:name w:val="Date"/>
    <w:basedOn w:val="1"/>
    <w:next w:val="1"/>
    <w:link w:val="23"/>
    <w:semiHidden/>
    <w:unhideWhenUsed/>
    <w:qFormat/>
    <w:uiPriority w:val="99"/>
    <w:pPr>
      <w:ind w:left="100" w:leftChars="2500"/>
    </w:pPr>
  </w:style>
  <w:style w:type="paragraph" w:styleId="10">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5"/>
    <w:qFormat/>
    <w:uiPriority w:val="0"/>
    <w:pPr>
      <w:spacing w:beforeAutospacing="1" w:afterAutospacing="1"/>
      <w:jc w:val="left"/>
    </w:pPr>
    <w:rPr>
      <w:rFonts w:cs="Times New Roman"/>
      <w:kern w:val="0"/>
      <w:sz w:val="24"/>
      <w:szCs w:val="24"/>
    </w:rPr>
  </w:style>
  <w:style w:type="paragraph" w:customStyle="1" w:styleId="15">
    <w:name w:val="正文_0"/>
    <w:qFormat/>
    <w:uiPriority w:val="0"/>
    <w:pPr>
      <w:widowControl w:val="0"/>
      <w:jc w:val="both"/>
    </w:pPr>
    <w:rPr>
      <w:rFonts w:ascii="Calibri" w:hAnsi="Calibri" w:eastAsia="宋体" w:cs="Times New Roman"/>
      <w:kern w:val="2"/>
      <w:sz w:val="21"/>
      <w:szCs w:val="22"/>
      <w:lang w:val="en-US" w:eastAsia="zh-CN" w:bidi="ar-SA"/>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Char"/>
    <w:basedOn w:val="18"/>
    <w:link w:val="2"/>
    <w:qFormat/>
    <w:uiPriority w:val="0"/>
    <w:rPr>
      <w:rFonts w:ascii="方正小标宋简体" w:eastAsia="方正小标宋简体" w:hAnsiTheme="majorHAnsi" w:cstheme="majorBidi"/>
      <w:b/>
      <w:bCs/>
      <w:sz w:val="44"/>
    </w:rPr>
  </w:style>
  <w:style w:type="character" w:customStyle="1" w:styleId="20">
    <w:name w:val="标题 1 Char"/>
    <w:basedOn w:val="18"/>
    <w:link w:val="3"/>
    <w:qFormat/>
    <w:uiPriority w:val="9"/>
    <w:rPr>
      <w:b/>
      <w:bCs/>
      <w:kern w:val="44"/>
      <w:sz w:val="44"/>
      <w:szCs w:val="44"/>
    </w:rPr>
  </w:style>
  <w:style w:type="character" w:customStyle="1" w:styleId="21">
    <w:name w:val="标题 3 Char"/>
    <w:basedOn w:val="18"/>
    <w:link w:val="5"/>
    <w:qFormat/>
    <w:uiPriority w:val="4"/>
    <w:rPr>
      <w:rFonts w:ascii="仿宋_GB2312"/>
      <w:b/>
      <w:bCs/>
    </w:rPr>
  </w:style>
  <w:style w:type="character" w:customStyle="1" w:styleId="22">
    <w:name w:val="标题 2 Char"/>
    <w:basedOn w:val="18"/>
    <w:link w:val="4"/>
    <w:qFormat/>
    <w:uiPriority w:val="3"/>
    <w:rPr>
      <w:rFonts w:ascii="楷体_GB2312" w:eastAsia="楷体_GB2312" w:hAnsiTheme="majorHAnsi" w:cstheme="majorBidi"/>
      <w:b/>
      <w:bCs/>
    </w:rPr>
  </w:style>
  <w:style w:type="character" w:customStyle="1" w:styleId="23">
    <w:name w:val="日期 Char"/>
    <w:basedOn w:val="18"/>
    <w:link w:val="9"/>
    <w:semiHidden/>
    <w:qFormat/>
    <w:uiPriority w:val="99"/>
    <w:rPr>
      <w:rFonts w:ascii="仿宋_GB2312" w:eastAsia="仿宋_GB2312"/>
      <w:sz w:val="32"/>
      <w:szCs w:val="32"/>
    </w:rPr>
  </w:style>
  <w:style w:type="character" w:customStyle="1" w:styleId="24">
    <w:name w:val="页眉 Char"/>
    <w:basedOn w:val="18"/>
    <w:link w:val="11"/>
    <w:qFormat/>
    <w:uiPriority w:val="99"/>
    <w:rPr>
      <w:rFonts w:ascii="仿宋_GB2312" w:eastAsia="仿宋_GB2312"/>
      <w:sz w:val="18"/>
      <w:szCs w:val="18"/>
    </w:rPr>
  </w:style>
  <w:style w:type="character" w:customStyle="1" w:styleId="25">
    <w:name w:val="页脚 Char"/>
    <w:basedOn w:val="18"/>
    <w:link w:val="10"/>
    <w:qFormat/>
    <w:uiPriority w:val="99"/>
    <w:rPr>
      <w:rFonts w:ascii="仿宋_GB2312" w:eastAsia="仿宋_GB2312"/>
      <w:sz w:val="18"/>
      <w:szCs w:val="18"/>
    </w:rPr>
  </w:style>
  <w:style w:type="paragraph" w:customStyle="1" w:styleId="26">
    <w:name w:val="样式1"/>
    <w:basedOn w:val="1"/>
    <w:link w:val="27"/>
    <w:qFormat/>
    <w:uiPriority w:val="0"/>
    <w:pPr>
      <w:spacing w:line="600" w:lineRule="exact"/>
      <w:ind w:firstLine="643" w:firstLineChars="200"/>
    </w:pPr>
    <w:rPr>
      <w:rFonts w:ascii="仿宋_GB2312" w:eastAsia="仿宋_GB2312"/>
      <w:sz w:val="32"/>
      <w:szCs w:val="32"/>
    </w:rPr>
  </w:style>
  <w:style w:type="character" w:customStyle="1" w:styleId="27">
    <w:name w:val="样式1 字符"/>
    <w:basedOn w:val="18"/>
    <w:link w:val="26"/>
    <w:qFormat/>
    <w:uiPriority w:val="0"/>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ahzhz.com</Company>
  <Pages>39</Pages>
  <Words>18683</Words>
  <Characters>19162</Characters>
  <Lines>1</Lines>
  <Paragraphs>1</Paragraphs>
  <TotalTime>35</TotalTime>
  <ScaleCrop>false</ScaleCrop>
  <LinksUpToDate>false</LinksUpToDate>
  <CharactersWithSpaces>19266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2017-11-27T03:07:00Z</dcterms:created>
  <dc:creator>PeiTan</dc:creator>
  <cp:lastModifiedBy>枫 叶 林</cp:lastModifiedBy>
  <cp:lastPrinted>2022-12-08T04:39:24Z</cp:lastPrinted>
  <dcterms:modified xsi:type="dcterms:W3CDTF">2022-12-08T04:44:26Z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2768104E82EE4DC5A380F648C4201372</vt:lpwstr>
  </property>
</Properties>
</file>