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592"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pStyle w:val="3"/>
        <w:widowControl/>
        <w:jc w:val="center"/>
        <w:rPr>
          <w:rFonts w:ascii="Times New Roman" w:hAnsi="Times New Roman" w:eastAsia="方正小标宋简体" w:cs="Times New Roman"/>
          <w:sz w:val="44"/>
          <w:szCs w:val="44"/>
        </w:rPr>
      </w:pPr>
      <w:r>
        <w:rPr>
          <w:rFonts w:ascii="Times New Roman" w:hAnsi="Times New Roman" w:eastAsia="方正小标宋简体" w:cs="Times New Roman"/>
          <w:color w:val="000000"/>
          <w:kern w:val="0"/>
          <w:sz w:val="44"/>
          <w:szCs w:val="44"/>
        </w:rPr>
        <w:t>合肥市医疗保障定点住院医疗机构考核评分标准</w:t>
      </w:r>
    </w:p>
    <w:tbl>
      <w:tblPr>
        <w:tblStyle w:val="4"/>
        <w:tblW w:w="1389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5670"/>
        <w:gridCol w:w="439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trPr>
        <w:tc>
          <w:tcPr>
            <w:tcW w:w="2836" w:type="dxa"/>
            <w:noWrap w:val="0"/>
            <w:vAlign w:val="center"/>
          </w:tcPr>
          <w:p>
            <w:pPr>
              <w:widowControl/>
              <w:jc w:val="center"/>
              <w:rPr>
                <w:rFonts w:eastAsia="黑体"/>
                <w:color w:val="000000"/>
                <w:kern w:val="0"/>
                <w:sz w:val="24"/>
              </w:rPr>
            </w:pPr>
            <w:r>
              <w:rPr>
                <w:rFonts w:eastAsia="黑体"/>
                <w:color w:val="000000"/>
                <w:kern w:val="0"/>
                <w:sz w:val="24"/>
              </w:rPr>
              <w:t>内容</w:t>
            </w:r>
          </w:p>
        </w:tc>
        <w:tc>
          <w:tcPr>
            <w:tcW w:w="5670" w:type="dxa"/>
            <w:noWrap w:val="0"/>
            <w:vAlign w:val="center"/>
          </w:tcPr>
          <w:p>
            <w:pPr>
              <w:widowControl/>
              <w:jc w:val="center"/>
              <w:rPr>
                <w:rFonts w:eastAsia="黑体"/>
                <w:color w:val="000000"/>
                <w:kern w:val="0"/>
                <w:sz w:val="24"/>
              </w:rPr>
            </w:pPr>
            <w:r>
              <w:rPr>
                <w:rFonts w:eastAsia="黑体"/>
                <w:color w:val="000000"/>
                <w:kern w:val="0"/>
                <w:sz w:val="24"/>
              </w:rPr>
              <w:t>考核要求</w:t>
            </w:r>
          </w:p>
        </w:tc>
        <w:tc>
          <w:tcPr>
            <w:tcW w:w="4394" w:type="dxa"/>
            <w:noWrap w:val="0"/>
            <w:vAlign w:val="center"/>
          </w:tcPr>
          <w:p>
            <w:pPr>
              <w:widowControl/>
              <w:jc w:val="center"/>
              <w:rPr>
                <w:rFonts w:eastAsia="黑体"/>
                <w:color w:val="000000"/>
                <w:kern w:val="0"/>
                <w:sz w:val="24"/>
              </w:rPr>
            </w:pPr>
            <w:r>
              <w:rPr>
                <w:rFonts w:eastAsia="黑体"/>
                <w:color w:val="000000"/>
                <w:kern w:val="0"/>
                <w:sz w:val="24"/>
              </w:rPr>
              <w:t>评分标准</w:t>
            </w:r>
          </w:p>
        </w:tc>
        <w:tc>
          <w:tcPr>
            <w:tcW w:w="993" w:type="dxa"/>
            <w:noWrap w:val="0"/>
            <w:vAlign w:val="center"/>
          </w:tcPr>
          <w:p>
            <w:pPr>
              <w:widowControl/>
              <w:jc w:val="center"/>
              <w:rPr>
                <w:rFonts w:eastAsia="黑体"/>
                <w:color w:val="000000"/>
                <w:kern w:val="0"/>
                <w:sz w:val="24"/>
              </w:rPr>
            </w:pPr>
            <w:r>
              <w:rPr>
                <w:rFonts w:eastAsia="黑体"/>
                <w:color w:val="000000"/>
                <w:kern w:val="0"/>
                <w:sz w:val="24"/>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restart"/>
            <w:noWrap w:val="0"/>
            <w:vAlign w:val="center"/>
          </w:tcPr>
          <w:p>
            <w:pPr>
              <w:widowControl/>
              <w:jc w:val="center"/>
              <w:rPr>
                <w:color w:val="000000"/>
                <w:kern w:val="0"/>
                <w:sz w:val="22"/>
                <w:szCs w:val="22"/>
              </w:rPr>
            </w:pPr>
            <w:r>
              <w:rPr>
                <w:color w:val="000000"/>
                <w:kern w:val="0"/>
                <w:sz w:val="22"/>
                <w:szCs w:val="22"/>
              </w:rPr>
              <w:t>一、综合管理（20分）</w:t>
            </w:r>
          </w:p>
        </w:tc>
        <w:tc>
          <w:tcPr>
            <w:tcW w:w="5670" w:type="dxa"/>
            <w:noWrap w:val="0"/>
            <w:vAlign w:val="center"/>
          </w:tcPr>
          <w:p>
            <w:pPr>
              <w:widowControl/>
              <w:jc w:val="left"/>
              <w:rPr>
                <w:color w:val="000000"/>
                <w:kern w:val="0"/>
                <w:sz w:val="22"/>
                <w:szCs w:val="22"/>
              </w:rPr>
            </w:pPr>
            <w:r>
              <w:rPr>
                <w:color w:val="000000"/>
                <w:kern w:val="0"/>
                <w:sz w:val="22"/>
                <w:szCs w:val="22"/>
              </w:rPr>
              <w:t>建立健全医保管理组织系统，有院领导分管，专设医保负责人或工作人员；有内部管理制度。</w:t>
            </w:r>
          </w:p>
        </w:tc>
        <w:tc>
          <w:tcPr>
            <w:tcW w:w="4394" w:type="dxa"/>
            <w:noWrap w:val="0"/>
            <w:vAlign w:val="center"/>
          </w:tcPr>
          <w:p>
            <w:pPr>
              <w:widowControl/>
              <w:jc w:val="left"/>
              <w:rPr>
                <w:color w:val="000000"/>
                <w:kern w:val="0"/>
                <w:sz w:val="22"/>
                <w:szCs w:val="22"/>
              </w:rPr>
            </w:pPr>
            <w:r>
              <w:rPr>
                <w:color w:val="000000"/>
                <w:kern w:val="0"/>
                <w:sz w:val="22"/>
                <w:szCs w:val="22"/>
              </w:rPr>
              <w:t>机构不健全扣1分，制度不健全扣1分。</w:t>
            </w:r>
          </w:p>
        </w:tc>
        <w:tc>
          <w:tcPr>
            <w:tcW w:w="993" w:type="dxa"/>
            <w:noWrap w:val="0"/>
            <w:vAlign w:val="center"/>
          </w:tcPr>
          <w:p>
            <w:pPr>
              <w:widowControl/>
              <w:jc w:val="center"/>
              <w:rPr>
                <w:color w:val="000000"/>
                <w:kern w:val="0"/>
                <w:sz w:val="22"/>
                <w:szCs w:val="22"/>
              </w:rPr>
            </w:pPr>
            <w:r>
              <w:rPr>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continue"/>
            <w:noWrap w:val="0"/>
            <w:vAlign w:val="center"/>
          </w:tcPr>
          <w:p>
            <w:pPr>
              <w:widowControl/>
              <w:jc w:val="center"/>
              <w:rPr>
                <w:color w:val="000000"/>
                <w:kern w:val="0"/>
                <w:sz w:val="22"/>
                <w:szCs w:val="22"/>
              </w:rPr>
            </w:pPr>
          </w:p>
        </w:tc>
        <w:tc>
          <w:tcPr>
            <w:tcW w:w="5670" w:type="dxa"/>
            <w:noWrap w:val="0"/>
            <w:vAlign w:val="center"/>
          </w:tcPr>
          <w:p>
            <w:pPr>
              <w:widowControl/>
              <w:jc w:val="left"/>
              <w:rPr>
                <w:color w:val="000000"/>
                <w:kern w:val="0"/>
                <w:sz w:val="22"/>
                <w:szCs w:val="22"/>
              </w:rPr>
            </w:pPr>
            <w:r>
              <w:rPr>
                <w:color w:val="000000"/>
                <w:kern w:val="0"/>
                <w:sz w:val="22"/>
                <w:szCs w:val="22"/>
              </w:rPr>
              <w:t>建立医保医师制度；组织对内部科室和医务人员开展医保知识培训。</w:t>
            </w:r>
          </w:p>
        </w:tc>
        <w:tc>
          <w:tcPr>
            <w:tcW w:w="4394" w:type="dxa"/>
            <w:noWrap w:val="0"/>
            <w:vAlign w:val="center"/>
          </w:tcPr>
          <w:p>
            <w:pPr>
              <w:widowControl/>
              <w:jc w:val="left"/>
              <w:rPr>
                <w:color w:val="000000"/>
                <w:kern w:val="0"/>
                <w:sz w:val="22"/>
                <w:szCs w:val="22"/>
              </w:rPr>
            </w:pPr>
            <w:r>
              <w:rPr>
                <w:color w:val="000000"/>
                <w:kern w:val="0"/>
                <w:sz w:val="22"/>
                <w:szCs w:val="22"/>
              </w:rPr>
              <w:t>没有医保医师制度扣1分，没有开展培训扣1分。</w:t>
            </w:r>
          </w:p>
        </w:tc>
        <w:tc>
          <w:tcPr>
            <w:tcW w:w="993" w:type="dxa"/>
            <w:noWrap w:val="0"/>
            <w:vAlign w:val="center"/>
          </w:tcPr>
          <w:p>
            <w:pPr>
              <w:widowControl/>
              <w:jc w:val="center"/>
              <w:rPr>
                <w:color w:val="000000"/>
                <w:kern w:val="0"/>
                <w:sz w:val="22"/>
                <w:szCs w:val="22"/>
              </w:rPr>
            </w:pPr>
            <w:r>
              <w:rPr>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continue"/>
            <w:noWrap w:val="0"/>
            <w:vAlign w:val="center"/>
          </w:tcPr>
          <w:p>
            <w:pPr>
              <w:widowControl/>
              <w:jc w:val="center"/>
              <w:rPr>
                <w:color w:val="000000"/>
                <w:kern w:val="0"/>
                <w:sz w:val="22"/>
                <w:szCs w:val="22"/>
              </w:rPr>
            </w:pPr>
          </w:p>
        </w:tc>
        <w:tc>
          <w:tcPr>
            <w:tcW w:w="5670" w:type="dxa"/>
            <w:noWrap w:val="0"/>
            <w:vAlign w:val="center"/>
          </w:tcPr>
          <w:p>
            <w:pPr>
              <w:widowControl/>
              <w:jc w:val="left"/>
              <w:rPr>
                <w:color w:val="000000"/>
                <w:kern w:val="0"/>
                <w:sz w:val="22"/>
                <w:szCs w:val="22"/>
              </w:rPr>
            </w:pPr>
            <w:r>
              <w:rPr>
                <w:color w:val="000000"/>
                <w:kern w:val="0"/>
                <w:sz w:val="22"/>
                <w:szCs w:val="22"/>
              </w:rPr>
              <w:t>在本单位显要位置悬挂定点医药机构标识；设置医保专用政策宣传栏、咨询服务窗口；采取多种形式宣传医保政策，按医保部门要求发放医保宣传资料，及时更新宣传栏、宣传资料。</w:t>
            </w:r>
          </w:p>
        </w:tc>
        <w:tc>
          <w:tcPr>
            <w:tcW w:w="4394" w:type="dxa"/>
            <w:noWrap w:val="0"/>
            <w:vAlign w:val="center"/>
          </w:tcPr>
          <w:p>
            <w:pPr>
              <w:widowControl/>
              <w:jc w:val="left"/>
              <w:rPr>
                <w:color w:val="000000"/>
                <w:kern w:val="0"/>
                <w:sz w:val="22"/>
                <w:szCs w:val="22"/>
              </w:rPr>
            </w:pPr>
            <w:r>
              <w:rPr>
                <w:color w:val="000000"/>
                <w:kern w:val="0"/>
                <w:sz w:val="22"/>
                <w:szCs w:val="22"/>
              </w:rPr>
              <w:t>没有悬挂定点医药机构标识扣1分，没有宣传栏扣1分，没有印发宣传材料扣1分，没有及时更新宣传栏、宣传资料扣1分。</w:t>
            </w:r>
          </w:p>
        </w:tc>
        <w:tc>
          <w:tcPr>
            <w:tcW w:w="993" w:type="dxa"/>
            <w:noWrap w:val="0"/>
            <w:vAlign w:val="center"/>
          </w:tcPr>
          <w:p>
            <w:pPr>
              <w:widowControl/>
              <w:jc w:val="center"/>
              <w:rPr>
                <w:color w:val="000000"/>
                <w:kern w:val="0"/>
                <w:sz w:val="22"/>
                <w:szCs w:val="22"/>
              </w:rPr>
            </w:pPr>
            <w:r>
              <w:rPr>
                <w:color w:val="00000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continue"/>
            <w:noWrap w:val="0"/>
            <w:vAlign w:val="center"/>
          </w:tcPr>
          <w:p>
            <w:pPr>
              <w:widowControl/>
              <w:jc w:val="center"/>
              <w:rPr>
                <w:color w:val="000000"/>
                <w:kern w:val="0"/>
                <w:sz w:val="22"/>
                <w:szCs w:val="22"/>
              </w:rPr>
            </w:pPr>
          </w:p>
        </w:tc>
        <w:tc>
          <w:tcPr>
            <w:tcW w:w="5670" w:type="dxa"/>
            <w:noWrap w:val="0"/>
            <w:vAlign w:val="center"/>
          </w:tcPr>
          <w:p>
            <w:pPr>
              <w:widowControl/>
              <w:jc w:val="left"/>
              <w:rPr>
                <w:color w:val="000000"/>
                <w:kern w:val="0"/>
                <w:sz w:val="22"/>
                <w:szCs w:val="22"/>
              </w:rPr>
            </w:pPr>
            <w:r>
              <w:rPr>
                <w:color w:val="000000"/>
                <w:kern w:val="0"/>
                <w:sz w:val="22"/>
                <w:szCs w:val="22"/>
              </w:rPr>
              <w:t>药品、耗材进、销、存系统管理、财务账目管理不规范，没有及时准确进行对账，存在进销存账实不相符的。</w:t>
            </w:r>
          </w:p>
        </w:tc>
        <w:tc>
          <w:tcPr>
            <w:tcW w:w="4394" w:type="dxa"/>
            <w:noWrap w:val="0"/>
            <w:vAlign w:val="center"/>
          </w:tcPr>
          <w:p>
            <w:pPr>
              <w:widowControl/>
              <w:jc w:val="left"/>
              <w:rPr>
                <w:color w:val="000000"/>
                <w:kern w:val="0"/>
                <w:sz w:val="22"/>
                <w:szCs w:val="22"/>
              </w:rPr>
            </w:pPr>
            <w:r>
              <w:rPr>
                <w:color w:val="000000"/>
                <w:kern w:val="0"/>
                <w:sz w:val="22"/>
                <w:szCs w:val="22"/>
              </w:rPr>
              <w:t>发现一次扣2分，直至扣完。</w:t>
            </w:r>
          </w:p>
        </w:tc>
        <w:tc>
          <w:tcPr>
            <w:tcW w:w="993" w:type="dxa"/>
            <w:noWrap w:val="0"/>
            <w:vAlign w:val="center"/>
          </w:tcPr>
          <w:p>
            <w:pPr>
              <w:widowControl/>
              <w:jc w:val="center"/>
              <w:rPr>
                <w:color w:val="000000"/>
                <w:kern w:val="0"/>
                <w:sz w:val="22"/>
                <w:szCs w:val="22"/>
              </w:rPr>
            </w:pPr>
            <w:r>
              <w:rPr>
                <w:color w:val="00000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continue"/>
            <w:noWrap w:val="0"/>
            <w:vAlign w:val="center"/>
          </w:tcPr>
          <w:p>
            <w:pPr>
              <w:widowControl/>
              <w:jc w:val="center"/>
              <w:rPr>
                <w:color w:val="000000"/>
                <w:kern w:val="0"/>
                <w:sz w:val="22"/>
                <w:szCs w:val="22"/>
              </w:rPr>
            </w:pPr>
          </w:p>
        </w:tc>
        <w:tc>
          <w:tcPr>
            <w:tcW w:w="5670" w:type="dxa"/>
            <w:noWrap w:val="0"/>
            <w:vAlign w:val="center"/>
          </w:tcPr>
          <w:p>
            <w:pPr>
              <w:widowControl/>
              <w:jc w:val="left"/>
              <w:rPr>
                <w:color w:val="000000"/>
                <w:kern w:val="0"/>
                <w:sz w:val="22"/>
                <w:szCs w:val="22"/>
              </w:rPr>
            </w:pPr>
            <w:r>
              <w:rPr>
                <w:color w:val="000000"/>
                <w:kern w:val="0"/>
                <w:sz w:val="22"/>
                <w:szCs w:val="22"/>
              </w:rPr>
              <w:t>按时、按质、按量完成医保部门布置的工作任务；做好医保目录管理、价格管理、编码对应、网络安全和数据保护、数据反馈、信息系统改造、医保电子凭证推广等相关工作。</w:t>
            </w:r>
          </w:p>
        </w:tc>
        <w:tc>
          <w:tcPr>
            <w:tcW w:w="4394" w:type="dxa"/>
            <w:noWrap w:val="0"/>
            <w:vAlign w:val="center"/>
          </w:tcPr>
          <w:p>
            <w:pPr>
              <w:widowControl/>
              <w:jc w:val="left"/>
              <w:rPr>
                <w:color w:val="000000"/>
                <w:kern w:val="0"/>
                <w:sz w:val="22"/>
                <w:szCs w:val="22"/>
              </w:rPr>
            </w:pPr>
            <w:r>
              <w:rPr>
                <w:color w:val="000000"/>
                <w:kern w:val="0"/>
                <w:sz w:val="22"/>
                <w:szCs w:val="22"/>
              </w:rPr>
              <w:t>有一项未完成扣1分，直至扣完。</w:t>
            </w:r>
          </w:p>
        </w:tc>
        <w:tc>
          <w:tcPr>
            <w:tcW w:w="993" w:type="dxa"/>
            <w:noWrap w:val="0"/>
            <w:vAlign w:val="center"/>
          </w:tcPr>
          <w:p>
            <w:pPr>
              <w:widowControl/>
              <w:jc w:val="center"/>
              <w:rPr>
                <w:color w:val="000000"/>
                <w:kern w:val="0"/>
                <w:sz w:val="22"/>
                <w:szCs w:val="22"/>
              </w:rPr>
            </w:pPr>
            <w:r>
              <w:rPr>
                <w:color w:val="00000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restart"/>
            <w:noWrap w:val="0"/>
            <w:vAlign w:val="center"/>
          </w:tcPr>
          <w:p>
            <w:pPr>
              <w:widowControl/>
              <w:jc w:val="center"/>
              <w:rPr>
                <w:color w:val="000000"/>
                <w:kern w:val="0"/>
                <w:sz w:val="22"/>
                <w:szCs w:val="22"/>
              </w:rPr>
            </w:pPr>
            <w:r>
              <w:rPr>
                <w:color w:val="000000"/>
                <w:kern w:val="0"/>
                <w:sz w:val="22"/>
                <w:szCs w:val="22"/>
              </w:rPr>
              <w:t>二、就医管理（30分）</w:t>
            </w:r>
          </w:p>
        </w:tc>
        <w:tc>
          <w:tcPr>
            <w:tcW w:w="5670" w:type="dxa"/>
            <w:noWrap w:val="0"/>
            <w:vAlign w:val="center"/>
          </w:tcPr>
          <w:p>
            <w:pPr>
              <w:widowControl/>
              <w:jc w:val="left"/>
              <w:rPr>
                <w:color w:val="000000"/>
                <w:kern w:val="0"/>
                <w:sz w:val="22"/>
                <w:szCs w:val="22"/>
              </w:rPr>
            </w:pPr>
            <w:r>
              <w:rPr>
                <w:color w:val="000000"/>
                <w:kern w:val="0"/>
                <w:sz w:val="22"/>
                <w:szCs w:val="22"/>
              </w:rPr>
              <w:t>办理住院登记和费用结算手续、门诊就诊时，人、证、卡不相符，有冒名住院、就医现象。</w:t>
            </w:r>
          </w:p>
        </w:tc>
        <w:tc>
          <w:tcPr>
            <w:tcW w:w="4394" w:type="dxa"/>
            <w:noWrap w:val="0"/>
            <w:vAlign w:val="center"/>
          </w:tcPr>
          <w:p>
            <w:pPr>
              <w:widowControl/>
              <w:jc w:val="left"/>
              <w:rPr>
                <w:color w:val="000000"/>
                <w:kern w:val="0"/>
                <w:sz w:val="22"/>
                <w:szCs w:val="22"/>
              </w:rPr>
            </w:pPr>
            <w:r>
              <w:rPr>
                <w:color w:val="000000"/>
                <w:kern w:val="0"/>
                <w:sz w:val="22"/>
                <w:szCs w:val="22"/>
              </w:rPr>
              <w:t>发现一例不得分。</w:t>
            </w:r>
          </w:p>
        </w:tc>
        <w:tc>
          <w:tcPr>
            <w:tcW w:w="993" w:type="dxa"/>
            <w:noWrap w:val="0"/>
            <w:vAlign w:val="center"/>
          </w:tcPr>
          <w:p>
            <w:pPr>
              <w:widowControl/>
              <w:jc w:val="center"/>
              <w:rPr>
                <w:color w:val="000000"/>
                <w:kern w:val="0"/>
                <w:sz w:val="22"/>
                <w:szCs w:val="22"/>
              </w:rPr>
            </w:pPr>
            <w:r>
              <w:rPr>
                <w:color w:val="00000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continue"/>
            <w:noWrap w:val="0"/>
            <w:vAlign w:val="center"/>
          </w:tcPr>
          <w:p>
            <w:pPr>
              <w:widowControl/>
              <w:jc w:val="left"/>
              <w:rPr>
                <w:color w:val="000000"/>
                <w:kern w:val="0"/>
                <w:sz w:val="22"/>
                <w:szCs w:val="22"/>
              </w:rPr>
            </w:pPr>
          </w:p>
        </w:tc>
        <w:tc>
          <w:tcPr>
            <w:tcW w:w="5670" w:type="dxa"/>
            <w:noWrap w:val="0"/>
            <w:vAlign w:val="center"/>
          </w:tcPr>
          <w:p>
            <w:pPr>
              <w:widowControl/>
              <w:jc w:val="left"/>
              <w:rPr>
                <w:color w:val="000000"/>
                <w:kern w:val="0"/>
                <w:sz w:val="22"/>
                <w:szCs w:val="22"/>
              </w:rPr>
            </w:pPr>
            <w:r>
              <w:rPr>
                <w:color w:val="000000"/>
                <w:kern w:val="0"/>
                <w:sz w:val="22"/>
                <w:szCs w:val="22"/>
              </w:rPr>
              <w:t>采取虚假宣传、违规减免自付费用、返现回扣、发放实物、卡券、赠送礼品、免费体检等方式，诱导参保人员就医、住院，且存在违规使用医保基金行为的。</w:t>
            </w:r>
          </w:p>
        </w:tc>
        <w:tc>
          <w:tcPr>
            <w:tcW w:w="4394" w:type="dxa"/>
            <w:noWrap w:val="0"/>
            <w:vAlign w:val="center"/>
          </w:tcPr>
          <w:p>
            <w:pPr>
              <w:widowControl/>
              <w:jc w:val="left"/>
              <w:rPr>
                <w:color w:val="000000"/>
                <w:kern w:val="0"/>
                <w:sz w:val="22"/>
                <w:szCs w:val="22"/>
              </w:rPr>
            </w:pPr>
            <w:r>
              <w:rPr>
                <w:color w:val="000000"/>
                <w:kern w:val="0"/>
                <w:sz w:val="22"/>
                <w:szCs w:val="22"/>
              </w:rPr>
              <w:t>发现一例不得分。</w:t>
            </w:r>
          </w:p>
        </w:tc>
        <w:tc>
          <w:tcPr>
            <w:tcW w:w="993" w:type="dxa"/>
            <w:noWrap w:val="0"/>
            <w:vAlign w:val="center"/>
          </w:tcPr>
          <w:p>
            <w:pPr>
              <w:widowControl/>
              <w:jc w:val="center"/>
              <w:rPr>
                <w:color w:val="000000"/>
                <w:kern w:val="0"/>
                <w:sz w:val="22"/>
                <w:szCs w:val="22"/>
              </w:rPr>
            </w:pPr>
            <w:r>
              <w:rPr>
                <w:color w:val="00000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continue"/>
            <w:noWrap w:val="0"/>
            <w:vAlign w:val="center"/>
          </w:tcPr>
          <w:p>
            <w:pPr>
              <w:widowControl/>
              <w:jc w:val="left"/>
              <w:rPr>
                <w:color w:val="000000"/>
                <w:kern w:val="0"/>
                <w:sz w:val="22"/>
                <w:szCs w:val="22"/>
              </w:rPr>
            </w:pPr>
          </w:p>
        </w:tc>
        <w:tc>
          <w:tcPr>
            <w:tcW w:w="5670" w:type="dxa"/>
            <w:noWrap w:val="0"/>
            <w:vAlign w:val="center"/>
          </w:tcPr>
          <w:p>
            <w:pPr>
              <w:widowControl/>
              <w:jc w:val="left"/>
              <w:rPr>
                <w:color w:val="000000"/>
                <w:kern w:val="0"/>
                <w:sz w:val="22"/>
                <w:szCs w:val="22"/>
              </w:rPr>
            </w:pPr>
            <w:r>
              <w:rPr>
                <w:color w:val="000000"/>
                <w:kern w:val="0"/>
                <w:sz w:val="22"/>
                <w:szCs w:val="22"/>
              </w:rPr>
              <w:t>将非参保人员的医疗费用纳入医保基金结算；将应当由第三人负担的或者不属于医保基金支付情形的医疗费用纳入医保基金结算。</w:t>
            </w:r>
          </w:p>
        </w:tc>
        <w:tc>
          <w:tcPr>
            <w:tcW w:w="4394" w:type="dxa"/>
            <w:noWrap w:val="0"/>
            <w:vAlign w:val="center"/>
          </w:tcPr>
          <w:p>
            <w:pPr>
              <w:widowControl/>
              <w:jc w:val="left"/>
              <w:rPr>
                <w:color w:val="000000"/>
                <w:kern w:val="0"/>
                <w:sz w:val="22"/>
                <w:szCs w:val="22"/>
              </w:rPr>
            </w:pPr>
            <w:r>
              <w:rPr>
                <w:color w:val="000000"/>
                <w:kern w:val="0"/>
                <w:sz w:val="22"/>
                <w:szCs w:val="22"/>
              </w:rPr>
              <w:t>发现一例不得分。</w:t>
            </w:r>
          </w:p>
        </w:tc>
        <w:tc>
          <w:tcPr>
            <w:tcW w:w="993" w:type="dxa"/>
            <w:noWrap w:val="0"/>
            <w:vAlign w:val="center"/>
          </w:tcPr>
          <w:p>
            <w:pPr>
              <w:widowControl/>
              <w:jc w:val="center"/>
              <w:rPr>
                <w:color w:val="000000"/>
                <w:kern w:val="0"/>
                <w:sz w:val="22"/>
                <w:szCs w:val="22"/>
              </w:rPr>
            </w:pPr>
            <w:r>
              <w:rPr>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836" w:type="dxa"/>
            <w:vMerge w:val="restart"/>
            <w:noWrap w:val="0"/>
            <w:vAlign w:val="center"/>
          </w:tcPr>
          <w:p>
            <w:pPr>
              <w:widowControl/>
              <w:jc w:val="center"/>
              <w:rPr>
                <w:color w:val="000000"/>
                <w:kern w:val="0"/>
                <w:sz w:val="22"/>
                <w:szCs w:val="22"/>
              </w:rPr>
            </w:pPr>
            <w:r>
              <w:rPr>
                <w:color w:val="000000"/>
                <w:kern w:val="0"/>
                <w:sz w:val="22"/>
                <w:szCs w:val="22"/>
              </w:rPr>
              <w:t>二、就医管理（30分）</w:t>
            </w:r>
          </w:p>
        </w:tc>
        <w:tc>
          <w:tcPr>
            <w:tcW w:w="5670" w:type="dxa"/>
            <w:noWrap w:val="0"/>
            <w:vAlign w:val="center"/>
          </w:tcPr>
          <w:p>
            <w:pPr>
              <w:widowControl/>
              <w:jc w:val="left"/>
              <w:rPr>
                <w:color w:val="000000"/>
                <w:kern w:val="0"/>
                <w:sz w:val="22"/>
                <w:szCs w:val="22"/>
              </w:rPr>
            </w:pPr>
            <w:r>
              <w:rPr>
                <w:color w:val="000000"/>
                <w:kern w:val="0"/>
                <w:sz w:val="22"/>
                <w:szCs w:val="22"/>
              </w:rPr>
              <w:t>向参保人员提供住院医疗服务时，尽量使用医保目录内的药品、耗材、医疗服务项目。使用医保支付范围以外的药品、耗材、医疗服务项目的，院外购药、检查的，未征得参保人员或其家属同意，并签字确认（抢救病人除外）</w:t>
            </w:r>
            <w:r>
              <w:rPr>
                <w:rFonts w:hint="eastAsia"/>
                <w:color w:val="000000"/>
                <w:kern w:val="0"/>
                <w:sz w:val="22"/>
                <w:szCs w:val="22"/>
              </w:rPr>
              <w:t>的</w:t>
            </w:r>
            <w:r>
              <w:rPr>
                <w:color w:val="000000"/>
                <w:kern w:val="0"/>
                <w:sz w:val="22"/>
                <w:szCs w:val="22"/>
              </w:rPr>
              <w:t>。</w:t>
            </w:r>
          </w:p>
        </w:tc>
        <w:tc>
          <w:tcPr>
            <w:tcW w:w="4394" w:type="dxa"/>
            <w:noWrap w:val="0"/>
            <w:vAlign w:val="center"/>
          </w:tcPr>
          <w:p>
            <w:pPr>
              <w:widowControl/>
              <w:jc w:val="left"/>
              <w:rPr>
                <w:color w:val="000000"/>
                <w:kern w:val="0"/>
                <w:sz w:val="22"/>
                <w:szCs w:val="22"/>
              </w:rPr>
            </w:pPr>
            <w:r>
              <w:rPr>
                <w:color w:val="000000"/>
                <w:kern w:val="0"/>
                <w:sz w:val="22"/>
                <w:szCs w:val="22"/>
              </w:rPr>
              <w:t>发现一例扣1分，直至扣完。</w:t>
            </w:r>
          </w:p>
        </w:tc>
        <w:tc>
          <w:tcPr>
            <w:tcW w:w="993" w:type="dxa"/>
            <w:noWrap w:val="0"/>
            <w:vAlign w:val="center"/>
          </w:tcPr>
          <w:p>
            <w:pPr>
              <w:widowControl/>
              <w:jc w:val="center"/>
              <w:rPr>
                <w:color w:val="000000"/>
                <w:kern w:val="0"/>
                <w:sz w:val="22"/>
                <w:szCs w:val="22"/>
              </w:rPr>
            </w:pPr>
            <w:r>
              <w:rPr>
                <w:color w:val="00000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836" w:type="dxa"/>
            <w:vMerge w:val="continue"/>
            <w:noWrap w:val="0"/>
            <w:vAlign w:val="center"/>
          </w:tcPr>
          <w:p>
            <w:pPr>
              <w:widowControl/>
              <w:jc w:val="left"/>
              <w:rPr>
                <w:color w:val="000000"/>
                <w:kern w:val="0"/>
                <w:sz w:val="22"/>
                <w:szCs w:val="22"/>
              </w:rPr>
            </w:pPr>
          </w:p>
        </w:tc>
        <w:tc>
          <w:tcPr>
            <w:tcW w:w="5670" w:type="dxa"/>
            <w:noWrap w:val="0"/>
            <w:vAlign w:val="center"/>
          </w:tcPr>
          <w:p>
            <w:pPr>
              <w:widowControl/>
              <w:jc w:val="left"/>
              <w:rPr>
                <w:color w:val="000000"/>
                <w:kern w:val="0"/>
                <w:sz w:val="22"/>
                <w:szCs w:val="22"/>
              </w:rPr>
            </w:pPr>
            <w:r>
              <w:rPr>
                <w:color w:val="000000"/>
                <w:kern w:val="0"/>
                <w:sz w:val="22"/>
                <w:szCs w:val="22"/>
              </w:rPr>
              <w:t>开展未经卫生许可的诊疗服务项目；超范围开展医疗服务。</w:t>
            </w:r>
          </w:p>
        </w:tc>
        <w:tc>
          <w:tcPr>
            <w:tcW w:w="4394" w:type="dxa"/>
            <w:noWrap w:val="0"/>
            <w:vAlign w:val="center"/>
          </w:tcPr>
          <w:p>
            <w:pPr>
              <w:widowControl/>
              <w:jc w:val="left"/>
              <w:rPr>
                <w:color w:val="000000"/>
                <w:kern w:val="0"/>
                <w:sz w:val="22"/>
                <w:szCs w:val="22"/>
              </w:rPr>
            </w:pPr>
            <w:r>
              <w:rPr>
                <w:color w:val="000000"/>
                <w:kern w:val="0"/>
                <w:sz w:val="22"/>
                <w:szCs w:val="22"/>
              </w:rPr>
              <w:t>发现一例不得分。</w:t>
            </w:r>
          </w:p>
        </w:tc>
        <w:tc>
          <w:tcPr>
            <w:tcW w:w="993" w:type="dxa"/>
            <w:noWrap w:val="0"/>
            <w:vAlign w:val="center"/>
          </w:tcPr>
          <w:p>
            <w:pPr>
              <w:widowControl/>
              <w:jc w:val="center"/>
              <w:rPr>
                <w:color w:val="000000"/>
                <w:kern w:val="0"/>
                <w:sz w:val="22"/>
                <w:szCs w:val="22"/>
              </w:rPr>
            </w:pPr>
            <w:r>
              <w:rPr>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836" w:type="dxa"/>
            <w:vMerge w:val="continue"/>
            <w:noWrap w:val="0"/>
            <w:vAlign w:val="center"/>
          </w:tcPr>
          <w:p>
            <w:pPr>
              <w:widowControl/>
              <w:jc w:val="left"/>
              <w:rPr>
                <w:color w:val="000000"/>
                <w:kern w:val="0"/>
                <w:sz w:val="22"/>
                <w:szCs w:val="22"/>
              </w:rPr>
            </w:pPr>
          </w:p>
        </w:tc>
        <w:tc>
          <w:tcPr>
            <w:tcW w:w="5670" w:type="dxa"/>
            <w:noWrap w:val="0"/>
            <w:vAlign w:val="center"/>
          </w:tcPr>
          <w:p>
            <w:pPr>
              <w:widowControl/>
              <w:rPr>
                <w:color w:val="000000"/>
                <w:kern w:val="0"/>
                <w:sz w:val="22"/>
                <w:szCs w:val="22"/>
              </w:rPr>
            </w:pPr>
            <w:r>
              <w:rPr>
                <w:color w:val="000000"/>
                <w:kern w:val="0"/>
                <w:sz w:val="22"/>
                <w:szCs w:val="22"/>
              </w:rPr>
              <w:t>按照分级诊疗的要求，应当严格执行出、入院和重症监护病房收治标准，降低入院指征</w:t>
            </w:r>
            <w:r>
              <w:rPr>
                <w:rFonts w:hint="eastAsia"/>
                <w:color w:val="FF0000"/>
                <w:kern w:val="0"/>
                <w:sz w:val="22"/>
                <w:szCs w:val="22"/>
              </w:rPr>
              <w:t>、</w:t>
            </w:r>
            <w:r>
              <w:rPr>
                <w:color w:val="000000"/>
                <w:kern w:val="0"/>
                <w:sz w:val="22"/>
                <w:szCs w:val="22"/>
              </w:rPr>
              <w:t>分解住院或要求不符合出院指征的患者出院、挂床住院；出现推诿、拒收参保人员或降低医疗服务质量的。</w:t>
            </w:r>
          </w:p>
        </w:tc>
        <w:tc>
          <w:tcPr>
            <w:tcW w:w="4394" w:type="dxa"/>
            <w:noWrap w:val="0"/>
            <w:vAlign w:val="center"/>
          </w:tcPr>
          <w:p>
            <w:pPr>
              <w:widowControl/>
              <w:jc w:val="left"/>
              <w:rPr>
                <w:color w:val="000000"/>
                <w:kern w:val="0"/>
                <w:sz w:val="22"/>
                <w:szCs w:val="22"/>
              </w:rPr>
            </w:pPr>
            <w:r>
              <w:rPr>
                <w:color w:val="000000"/>
                <w:kern w:val="0"/>
                <w:sz w:val="22"/>
                <w:szCs w:val="22"/>
              </w:rPr>
              <w:t>发现一次扣2分，直至扣完。</w:t>
            </w:r>
          </w:p>
        </w:tc>
        <w:tc>
          <w:tcPr>
            <w:tcW w:w="993" w:type="dxa"/>
            <w:noWrap w:val="0"/>
            <w:vAlign w:val="center"/>
          </w:tcPr>
          <w:p>
            <w:pPr>
              <w:widowControl/>
              <w:jc w:val="center"/>
              <w:rPr>
                <w:color w:val="000000"/>
                <w:kern w:val="0"/>
                <w:sz w:val="22"/>
                <w:szCs w:val="22"/>
              </w:rPr>
            </w:pPr>
            <w:r>
              <w:rPr>
                <w:color w:val="00000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836" w:type="dxa"/>
            <w:vMerge w:val="continue"/>
            <w:noWrap w:val="0"/>
            <w:vAlign w:val="center"/>
          </w:tcPr>
          <w:p>
            <w:pPr>
              <w:widowControl/>
              <w:jc w:val="left"/>
              <w:rPr>
                <w:color w:val="000000"/>
                <w:kern w:val="0"/>
                <w:sz w:val="22"/>
                <w:szCs w:val="22"/>
              </w:rPr>
            </w:pPr>
          </w:p>
        </w:tc>
        <w:tc>
          <w:tcPr>
            <w:tcW w:w="5670" w:type="dxa"/>
            <w:noWrap w:val="0"/>
            <w:vAlign w:val="center"/>
          </w:tcPr>
          <w:p>
            <w:pPr>
              <w:widowControl/>
              <w:jc w:val="left"/>
              <w:rPr>
                <w:color w:val="000000"/>
                <w:kern w:val="0"/>
                <w:sz w:val="22"/>
                <w:szCs w:val="22"/>
              </w:rPr>
            </w:pPr>
            <w:r>
              <w:rPr>
                <w:color w:val="000000"/>
                <w:kern w:val="0"/>
                <w:sz w:val="22"/>
                <w:szCs w:val="22"/>
              </w:rPr>
              <w:t>应按照相关规定为参保人员建立门诊、住院病历。病历首页的诊疗记录不真实、不准确、不完整、不清晰，检查结果、治疗记录和票据、费用清单不吻合。</w:t>
            </w:r>
          </w:p>
        </w:tc>
        <w:tc>
          <w:tcPr>
            <w:tcW w:w="4394" w:type="dxa"/>
            <w:noWrap w:val="0"/>
            <w:vAlign w:val="center"/>
          </w:tcPr>
          <w:p>
            <w:pPr>
              <w:widowControl/>
              <w:jc w:val="left"/>
              <w:rPr>
                <w:color w:val="000000"/>
                <w:kern w:val="0"/>
                <w:sz w:val="22"/>
                <w:szCs w:val="22"/>
              </w:rPr>
            </w:pPr>
            <w:r>
              <w:rPr>
                <w:color w:val="000000"/>
                <w:kern w:val="0"/>
                <w:sz w:val="22"/>
                <w:szCs w:val="22"/>
              </w:rPr>
              <w:t>发现一次不得分。</w:t>
            </w:r>
          </w:p>
        </w:tc>
        <w:tc>
          <w:tcPr>
            <w:tcW w:w="993" w:type="dxa"/>
            <w:noWrap w:val="0"/>
            <w:vAlign w:val="center"/>
          </w:tcPr>
          <w:p>
            <w:pPr>
              <w:widowControl/>
              <w:jc w:val="center"/>
              <w:rPr>
                <w:color w:val="000000"/>
                <w:kern w:val="0"/>
                <w:sz w:val="22"/>
                <w:szCs w:val="22"/>
              </w:rPr>
            </w:pPr>
            <w:r>
              <w:rPr>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836" w:type="dxa"/>
            <w:vMerge w:val="continue"/>
            <w:noWrap w:val="0"/>
            <w:vAlign w:val="center"/>
          </w:tcPr>
          <w:p>
            <w:pPr>
              <w:widowControl/>
              <w:jc w:val="left"/>
              <w:rPr>
                <w:color w:val="000000"/>
                <w:kern w:val="0"/>
                <w:sz w:val="22"/>
                <w:szCs w:val="22"/>
              </w:rPr>
            </w:pPr>
          </w:p>
        </w:tc>
        <w:tc>
          <w:tcPr>
            <w:tcW w:w="5670" w:type="dxa"/>
            <w:noWrap w:val="0"/>
            <w:vAlign w:val="center"/>
          </w:tcPr>
          <w:p>
            <w:pPr>
              <w:widowControl/>
              <w:jc w:val="left"/>
              <w:rPr>
                <w:rFonts w:hint="eastAsia"/>
                <w:color w:val="000000"/>
                <w:kern w:val="0"/>
                <w:sz w:val="22"/>
                <w:szCs w:val="22"/>
              </w:rPr>
            </w:pPr>
            <w:r>
              <w:rPr>
                <w:color w:val="000000"/>
                <w:kern w:val="0"/>
                <w:sz w:val="22"/>
                <w:szCs w:val="22"/>
              </w:rPr>
              <w:t>对本地参保人员不实行线上及时结算；不能实现“一站式”医保结算服务。</w:t>
            </w:r>
          </w:p>
        </w:tc>
        <w:tc>
          <w:tcPr>
            <w:tcW w:w="4394" w:type="dxa"/>
            <w:noWrap w:val="0"/>
            <w:vAlign w:val="center"/>
          </w:tcPr>
          <w:p>
            <w:pPr>
              <w:widowControl/>
              <w:jc w:val="left"/>
              <w:rPr>
                <w:color w:val="000000"/>
                <w:kern w:val="0"/>
                <w:sz w:val="22"/>
                <w:szCs w:val="22"/>
              </w:rPr>
            </w:pPr>
            <w:r>
              <w:rPr>
                <w:color w:val="000000"/>
                <w:kern w:val="0"/>
                <w:sz w:val="22"/>
                <w:szCs w:val="22"/>
              </w:rPr>
              <w:t>发现一次不得分。</w:t>
            </w:r>
          </w:p>
        </w:tc>
        <w:tc>
          <w:tcPr>
            <w:tcW w:w="993" w:type="dxa"/>
            <w:noWrap w:val="0"/>
            <w:vAlign w:val="center"/>
          </w:tcPr>
          <w:p>
            <w:pPr>
              <w:widowControl/>
              <w:jc w:val="center"/>
              <w:rPr>
                <w:color w:val="000000"/>
                <w:kern w:val="0"/>
                <w:sz w:val="22"/>
                <w:szCs w:val="22"/>
              </w:rPr>
            </w:pPr>
            <w:r>
              <w:rPr>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836" w:type="dxa"/>
            <w:vMerge w:val="restart"/>
            <w:noWrap w:val="0"/>
            <w:vAlign w:val="center"/>
          </w:tcPr>
          <w:p>
            <w:pPr>
              <w:widowControl/>
              <w:jc w:val="center"/>
              <w:rPr>
                <w:color w:val="000000"/>
                <w:kern w:val="0"/>
                <w:sz w:val="22"/>
                <w:szCs w:val="22"/>
              </w:rPr>
            </w:pPr>
            <w:r>
              <w:rPr>
                <w:color w:val="000000"/>
                <w:kern w:val="0"/>
                <w:sz w:val="22"/>
                <w:szCs w:val="22"/>
              </w:rPr>
              <w:t>三、费用管理（35分）</w:t>
            </w:r>
          </w:p>
        </w:tc>
        <w:tc>
          <w:tcPr>
            <w:tcW w:w="5670" w:type="dxa"/>
            <w:noWrap w:val="0"/>
            <w:vAlign w:val="center"/>
          </w:tcPr>
          <w:p>
            <w:pPr>
              <w:widowControl/>
              <w:jc w:val="left"/>
              <w:rPr>
                <w:color w:val="000000"/>
                <w:kern w:val="0"/>
                <w:sz w:val="22"/>
                <w:szCs w:val="22"/>
              </w:rPr>
            </w:pPr>
            <w:r>
              <w:rPr>
                <w:color w:val="000000"/>
                <w:kern w:val="0"/>
                <w:sz w:val="22"/>
                <w:szCs w:val="22"/>
              </w:rPr>
              <w:t>属于国家、省、市集中带量采购实施范围的药品、高值耗材等未按规定执行集采中选价格，其他药品、耗材未执行医保支付价。</w:t>
            </w:r>
          </w:p>
        </w:tc>
        <w:tc>
          <w:tcPr>
            <w:tcW w:w="4394" w:type="dxa"/>
            <w:noWrap w:val="0"/>
            <w:vAlign w:val="center"/>
          </w:tcPr>
          <w:p>
            <w:pPr>
              <w:widowControl/>
              <w:jc w:val="left"/>
              <w:rPr>
                <w:color w:val="000000"/>
                <w:kern w:val="0"/>
                <w:sz w:val="22"/>
                <w:szCs w:val="22"/>
              </w:rPr>
            </w:pPr>
            <w:r>
              <w:rPr>
                <w:color w:val="000000"/>
                <w:kern w:val="0"/>
                <w:sz w:val="22"/>
                <w:szCs w:val="22"/>
              </w:rPr>
              <w:t>发现一例扣1分，直至扣完。</w:t>
            </w:r>
          </w:p>
        </w:tc>
        <w:tc>
          <w:tcPr>
            <w:tcW w:w="993" w:type="dxa"/>
            <w:noWrap w:val="0"/>
            <w:vAlign w:val="center"/>
          </w:tcPr>
          <w:p>
            <w:pPr>
              <w:widowControl/>
              <w:jc w:val="center"/>
              <w:rPr>
                <w:color w:val="000000"/>
                <w:kern w:val="0"/>
                <w:sz w:val="20"/>
                <w:szCs w:val="20"/>
              </w:rPr>
            </w:pPr>
            <w:r>
              <w:rPr>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836" w:type="dxa"/>
            <w:vMerge w:val="continue"/>
            <w:noWrap w:val="0"/>
            <w:vAlign w:val="center"/>
          </w:tcPr>
          <w:p>
            <w:pPr>
              <w:widowControl/>
              <w:jc w:val="left"/>
              <w:rPr>
                <w:color w:val="000000"/>
                <w:kern w:val="0"/>
                <w:sz w:val="22"/>
                <w:szCs w:val="22"/>
              </w:rPr>
            </w:pPr>
          </w:p>
        </w:tc>
        <w:tc>
          <w:tcPr>
            <w:tcW w:w="5670" w:type="dxa"/>
            <w:noWrap w:val="0"/>
            <w:vAlign w:val="center"/>
          </w:tcPr>
          <w:p>
            <w:pPr>
              <w:widowControl/>
              <w:jc w:val="left"/>
              <w:rPr>
                <w:color w:val="000000"/>
                <w:kern w:val="0"/>
                <w:sz w:val="22"/>
                <w:szCs w:val="22"/>
              </w:rPr>
            </w:pPr>
            <w:r>
              <w:rPr>
                <w:color w:val="000000"/>
                <w:kern w:val="0"/>
                <w:sz w:val="22"/>
                <w:szCs w:val="22"/>
              </w:rPr>
              <w:t>诊疗项目未执行规定的价格标准，存在超标准收费、分解项目收费、重复收费等不合理收费情况的。</w:t>
            </w:r>
          </w:p>
        </w:tc>
        <w:tc>
          <w:tcPr>
            <w:tcW w:w="4394" w:type="dxa"/>
            <w:vMerge w:val="restart"/>
            <w:noWrap w:val="0"/>
            <w:vAlign w:val="center"/>
          </w:tcPr>
          <w:p>
            <w:pPr>
              <w:widowControl/>
              <w:jc w:val="left"/>
              <w:rPr>
                <w:color w:val="000000"/>
                <w:kern w:val="0"/>
                <w:sz w:val="22"/>
                <w:szCs w:val="22"/>
              </w:rPr>
            </w:pPr>
            <w:r>
              <w:rPr>
                <w:color w:val="000000"/>
                <w:kern w:val="0"/>
                <w:sz w:val="22"/>
                <w:szCs w:val="22"/>
              </w:rPr>
              <w:t>发现一次扣2分，直至扣完。</w:t>
            </w:r>
          </w:p>
        </w:tc>
        <w:tc>
          <w:tcPr>
            <w:tcW w:w="993" w:type="dxa"/>
            <w:noWrap w:val="0"/>
            <w:vAlign w:val="center"/>
          </w:tcPr>
          <w:p>
            <w:pPr>
              <w:widowControl/>
              <w:jc w:val="center"/>
              <w:rPr>
                <w:color w:val="000000"/>
                <w:kern w:val="0"/>
                <w:sz w:val="20"/>
                <w:szCs w:val="20"/>
              </w:rPr>
            </w:pPr>
            <w:r>
              <w:rPr>
                <w:color w:val="000000"/>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continue"/>
            <w:noWrap w:val="0"/>
            <w:vAlign w:val="center"/>
          </w:tcPr>
          <w:p>
            <w:pPr>
              <w:widowControl/>
              <w:jc w:val="left"/>
              <w:rPr>
                <w:color w:val="000000"/>
                <w:kern w:val="0"/>
                <w:sz w:val="22"/>
                <w:szCs w:val="22"/>
              </w:rPr>
            </w:pPr>
          </w:p>
        </w:tc>
        <w:tc>
          <w:tcPr>
            <w:tcW w:w="5670" w:type="dxa"/>
            <w:noWrap w:val="0"/>
            <w:vAlign w:val="center"/>
          </w:tcPr>
          <w:p>
            <w:pPr>
              <w:widowControl/>
              <w:jc w:val="left"/>
              <w:rPr>
                <w:color w:val="000000"/>
                <w:kern w:val="0"/>
                <w:sz w:val="22"/>
                <w:szCs w:val="22"/>
              </w:rPr>
            </w:pPr>
            <w:r>
              <w:rPr>
                <w:color w:val="000000"/>
                <w:kern w:val="0"/>
                <w:sz w:val="22"/>
                <w:szCs w:val="22"/>
              </w:rPr>
              <w:t>患者在住院结算时，不按规定进行医保结算，变相额外收取医疗费用，或将住院费用分解到门诊或通过外购处方分解费用。</w:t>
            </w:r>
          </w:p>
        </w:tc>
        <w:tc>
          <w:tcPr>
            <w:tcW w:w="4394" w:type="dxa"/>
            <w:vMerge w:val="continue"/>
            <w:noWrap w:val="0"/>
            <w:vAlign w:val="center"/>
          </w:tcPr>
          <w:p>
            <w:pPr>
              <w:widowControl/>
              <w:jc w:val="left"/>
              <w:rPr>
                <w:color w:val="000000"/>
                <w:kern w:val="0"/>
                <w:sz w:val="22"/>
                <w:szCs w:val="22"/>
              </w:rPr>
            </w:pPr>
          </w:p>
        </w:tc>
        <w:tc>
          <w:tcPr>
            <w:tcW w:w="993" w:type="dxa"/>
            <w:noWrap w:val="0"/>
            <w:vAlign w:val="center"/>
          </w:tcPr>
          <w:p>
            <w:pPr>
              <w:widowControl/>
              <w:jc w:val="center"/>
              <w:rPr>
                <w:color w:val="000000"/>
                <w:kern w:val="0"/>
                <w:sz w:val="20"/>
                <w:szCs w:val="20"/>
              </w:rPr>
            </w:pPr>
            <w:r>
              <w:rPr>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continue"/>
            <w:noWrap w:val="0"/>
            <w:vAlign w:val="center"/>
          </w:tcPr>
          <w:p>
            <w:pPr>
              <w:widowControl/>
              <w:jc w:val="left"/>
              <w:rPr>
                <w:color w:val="000000"/>
                <w:kern w:val="0"/>
                <w:sz w:val="22"/>
                <w:szCs w:val="22"/>
              </w:rPr>
            </w:pPr>
          </w:p>
        </w:tc>
        <w:tc>
          <w:tcPr>
            <w:tcW w:w="5670" w:type="dxa"/>
            <w:noWrap w:val="0"/>
            <w:vAlign w:val="center"/>
          </w:tcPr>
          <w:p>
            <w:pPr>
              <w:widowControl/>
              <w:jc w:val="left"/>
              <w:rPr>
                <w:color w:val="000000"/>
                <w:kern w:val="0"/>
                <w:sz w:val="22"/>
                <w:szCs w:val="22"/>
              </w:rPr>
            </w:pPr>
            <w:r>
              <w:rPr>
                <w:color w:val="000000"/>
                <w:kern w:val="0"/>
                <w:sz w:val="22"/>
                <w:szCs w:val="22"/>
              </w:rPr>
              <w:t>过度诊疗、过度检查、超量开药、超限定范围用药、高套病组、低套病组。医养结合患者未达到收治标准，未按期进行评估、合理治疗。</w:t>
            </w:r>
          </w:p>
        </w:tc>
        <w:tc>
          <w:tcPr>
            <w:tcW w:w="4394" w:type="dxa"/>
            <w:vMerge w:val="continue"/>
            <w:noWrap w:val="0"/>
            <w:vAlign w:val="center"/>
          </w:tcPr>
          <w:p>
            <w:pPr>
              <w:widowControl/>
              <w:jc w:val="left"/>
              <w:rPr>
                <w:color w:val="000000"/>
                <w:kern w:val="0"/>
                <w:sz w:val="22"/>
                <w:szCs w:val="22"/>
              </w:rPr>
            </w:pPr>
          </w:p>
        </w:tc>
        <w:tc>
          <w:tcPr>
            <w:tcW w:w="993" w:type="dxa"/>
            <w:noWrap w:val="0"/>
            <w:vAlign w:val="center"/>
          </w:tcPr>
          <w:p>
            <w:pPr>
              <w:widowControl/>
              <w:jc w:val="center"/>
              <w:rPr>
                <w:color w:val="000000"/>
                <w:kern w:val="0"/>
                <w:sz w:val="20"/>
                <w:szCs w:val="20"/>
              </w:rPr>
            </w:pPr>
            <w:r>
              <w:rPr>
                <w:color w:val="000000"/>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restart"/>
            <w:noWrap w:val="0"/>
            <w:vAlign w:val="center"/>
          </w:tcPr>
          <w:p>
            <w:pPr>
              <w:widowControl/>
              <w:jc w:val="center"/>
              <w:rPr>
                <w:color w:val="000000"/>
                <w:kern w:val="0"/>
                <w:sz w:val="22"/>
                <w:szCs w:val="22"/>
              </w:rPr>
            </w:pPr>
            <w:r>
              <w:rPr>
                <w:color w:val="000000"/>
                <w:kern w:val="0"/>
                <w:sz w:val="22"/>
                <w:szCs w:val="22"/>
              </w:rPr>
              <w:t>三、费用管理（35分）</w:t>
            </w:r>
          </w:p>
        </w:tc>
        <w:tc>
          <w:tcPr>
            <w:tcW w:w="5670" w:type="dxa"/>
            <w:noWrap w:val="0"/>
            <w:vAlign w:val="center"/>
          </w:tcPr>
          <w:p>
            <w:pPr>
              <w:widowControl/>
              <w:jc w:val="left"/>
              <w:rPr>
                <w:color w:val="000000"/>
                <w:kern w:val="0"/>
                <w:sz w:val="22"/>
                <w:szCs w:val="22"/>
              </w:rPr>
            </w:pPr>
            <w:r>
              <w:rPr>
                <w:color w:val="000000"/>
                <w:kern w:val="0"/>
                <w:sz w:val="22"/>
                <w:szCs w:val="22"/>
              </w:rPr>
              <w:t>串换药品、耗材、诊疗项目，上传虚假的药品、耗材和诊疗项目。拼凑上传医保信息系统结算数据。</w:t>
            </w:r>
          </w:p>
        </w:tc>
        <w:tc>
          <w:tcPr>
            <w:tcW w:w="4394" w:type="dxa"/>
            <w:noWrap w:val="0"/>
            <w:vAlign w:val="center"/>
          </w:tcPr>
          <w:p>
            <w:pPr>
              <w:widowControl/>
              <w:jc w:val="left"/>
              <w:rPr>
                <w:color w:val="000000"/>
                <w:kern w:val="0"/>
                <w:sz w:val="22"/>
                <w:szCs w:val="22"/>
              </w:rPr>
            </w:pPr>
            <w:r>
              <w:rPr>
                <w:color w:val="000000"/>
                <w:kern w:val="0"/>
                <w:sz w:val="22"/>
                <w:szCs w:val="22"/>
              </w:rPr>
              <w:t>串换药品、耗材、诊疗项目，上传虚假的药品、耗材和诊疗项目发现一次不得分。拼凑上传数据扣1分，未在24小时</w:t>
            </w:r>
            <w:r>
              <w:rPr>
                <w:rFonts w:hint="eastAsia"/>
                <w:kern w:val="0"/>
                <w:sz w:val="22"/>
                <w:szCs w:val="22"/>
              </w:rPr>
              <w:t>内</w:t>
            </w:r>
            <w:r>
              <w:rPr>
                <w:color w:val="000000"/>
                <w:kern w:val="0"/>
                <w:sz w:val="22"/>
                <w:szCs w:val="22"/>
              </w:rPr>
              <w:t>上传扣1分。</w:t>
            </w:r>
          </w:p>
        </w:tc>
        <w:tc>
          <w:tcPr>
            <w:tcW w:w="993" w:type="dxa"/>
            <w:noWrap w:val="0"/>
            <w:vAlign w:val="center"/>
          </w:tcPr>
          <w:p>
            <w:pPr>
              <w:widowControl/>
              <w:jc w:val="center"/>
              <w:rPr>
                <w:color w:val="000000"/>
                <w:kern w:val="0"/>
                <w:sz w:val="20"/>
                <w:szCs w:val="20"/>
              </w:rPr>
            </w:pPr>
            <w:r>
              <w:rPr>
                <w:color w:val="000000"/>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continue"/>
            <w:noWrap w:val="0"/>
            <w:vAlign w:val="center"/>
          </w:tcPr>
          <w:p>
            <w:pPr>
              <w:widowControl/>
              <w:jc w:val="left"/>
              <w:rPr>
                <w:color w:val="000000"/>
                <w:kern w:val="0"/>
                <w:sz w:val="22"/>
                <w:szCs w:val="22"/>
              </w:rPr>
            </w:pPr>
          </w:p>
        </w:tc>
        <w:tc>
          <w:tcPr>
            <w:tcW w:w="5670" w:type="dxa"/>
            <w:noWrap w:val="0"/>
            <w:vAlign w:val="center"/>
          </w:tcPr>
          <w:p>
            <w:pPr>
              <w:widowControl/>
              <w:jc w:val="left"/>
              <w:rPr>
                <w:color w:val="000000"/>
                <w:kern w:val="0"/>
                <w:sz w:val="22"/>
                <w:szCs w:val="22"/>
              </w:rPr>
            </w:pPr>
            <w:r>
              <w:rPr>
                <w:color w:val="000000"/>
                <w:kern w:val="0"/>
                <w:sz w:val="22"/>
                <w:szCs w:val="22"/>
              </w:rPr>
              <w:t>实行定额结算办法进行费用结算的，出现分解结算单元或转嫁到参保人员个人负担的。</w:t>
            </w:r>
          </w:p>
        </w:tc>
        <w:tc>
          <w:tcPr>
            <w:tcW w:w="4394" w:type="dxa"/>
            <w:noWrap w:val="0"/>
            <w:vAlign w:val="center"/>
          </w:tcPr>
          <w:p>
            <w:pPr>
              <w:widowControl/>
              <w:jc w:val="left"/>
              <w:rPr>
                <w:color w:val="000000"/>
                <w:kern w:val="0"/>
                <w:sz w:val="22"/>
                <w:szCs w:val="22"/>
              </w:rPr>
            </w:pPr>
            <w:r>
              <w:rPr>
                <w:color w:val="000000"/>
                <w:kern w:val="0"/>
                <w:sz w:val="22"/>
                <w:szCs w:val="22"/>
              </w:rPr>
              <w:t>发现一例扣2分，直至扣完。</w:t>
            </w:r>
          </w:p>
        </w:tc>
        <w:tc>
          <w:tcPr>
            <w:tcW w:w="993" w:type="dxa"/>
            <w:noWrap w:val="0"/>
            <w:vAlign w:val="center"/>
          </w:tcPr>
          <w:p>
            <w:pPr>
              <w:widowControl/>
              <w:jc w:val="center"/>
              <w:rPr>
                <w:color w:val="000000"/>
                <w:kern w:val="0"/>
                <w:sz w:val="20"/>
                <w:szCs w:val="20"/>
              </w:rPr>
            </w:pPr>
            <w:r>
              <w:rPr>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continue"/>
            <w:noWrap w:val="0"/>
            <w:vAlign w:val="center"/>
          </w:tcPr>
          <w:p>
            <w:pPr>
              <w:widowControl/>
              <w:jc w:val="left"/>
              <w:rPr>
                <w:color w:val="000000"/>
                <w:kern w:val="0"/>
                <w:sz w:val="22"/>
                <w:szCs w:val="22"/>
              </w:rPr>
            </w:pPr>
          </w:p>
        </w:tc>
        <w:tc>
          <w:tcPr>
            <w:tcW w:w="5670" w:type="dxa"/>
            <w:noWrap w:val="0"/>
            <w:vAlign w:val="center"/>
          </w:tcPr>
          <w:p>
            <w:pPr>
              <w:widowControl/>
              <w:jc w:val="left"/>
              <w:rPr>
                <w:color w:val="000000"/>
                <w:kern w:val="0"/>
                <w:sz w:val="22"/>
                <w:szCs w:val="22"/>
              </w:rPr>
            </w:pPr>
            <w:r>
              <w:rPr>
                <w:color w:val="000000"/>
                <w:kern w:val="0"/>
                <w:sz w:val="22"/>
                <w:szCs w:val="22"/>
              </w:rPr>
              <w:t>病人自付比例不合理增长超过上年度。</w:t>
            </w:r>
          </w:p>
        </w:tc>
        <w:tc>
          <w:tcPr>
            <w:tcW w:w="4394" w:type="dxa"/>
            <w:noWrap w:val="0"/>
            <w:vAlign w:val="center"/>
          </w:tcPr>
          <w:p>
            <w:pPr>
              <w:widowControl/>
              <w:jc w:val="left"/>
              <w:rPr>
                <w:color w:val="000000"/>
                <w:kern w:val="0"/>
                <w:sz w:val="22"/>
                <w:szCs w:val="22"/>
              </w:rPr>
            </w:pPr>
            <w:r>
              <w:rPr>
                <w:color w:val="000000"/>
                <w:kern w:val="0"/>
                <w:sz w:val="22"/>
                <w:szCs w:val="22"/>
              </w:rPr>
              <w:t>每不合理增长1%，扣1分，直至扣完。</w:t>
            </w:r>
          </w:p>
        </w:tc>
        <w:tc>
          <w:tcPr>
            <w:tcW w:w="993" w:type="dxa"/>
            <w:noWrap w:val="0"/>
            <w:vAlign w:val="center"/>
          </w:tcPr>
          <w:p>
            <w:pPr>
              <w:widowControl/>
              <w:jc w:val="center"/>
              <w:rPr>
                <w:color w:val="000000"/>
                <w:kern w:val="0"/>
                <w:sz w:val="20"/>
                <w:szCs w:val="20"/>
              </w:rPr>
            </w:pPr>
            <w:r>
              <w:rPr>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restart"/>
            <w:noWrap w:val="0"/>
            <w:vAlign w:val="center"/>
          </w:tcPr>
          <w:p>
            <w:pPr>
              <w:widowControl/>
              <w:jc w:val="center"/>
              <w:rPr>
                <w:color w:val="000000"/>
                <w:kern w:val="0"/>
                <w:sz w:val="22"/>
                <w:szCs w:val="22"/>
              </w:rPr>
            </w:pPr>
            <w:r>
              <w:rPr>
                <w:color w:val="000000"/>
                <w:kern w:val="0"/>
                <w:sz w:val="22"/>
                <w:szCs w:val="22"/>
              </w:rPr>
              <w:t>四、医药行为管理（15分）</w:t>
            </w:r>
          </w:p>
        </w:tc>
        <w:tc>
          <w:tcPr>
            <w:tcW w:w="5670" w:type="dxa"/>
            <w:noWrap w:val="0"/>
            <w:vAlign w:val="center"/>
          </w:tcPr>
          <w:p>
            <w:pPr>
              <w:widowControl/>
              <w:jc w:val="left"/>
              <w:rPr>
                <w:color w:val="000000"/>
                <w:kern w:val="0"/>
                <w:sz w:val="22"/>
                <w:szCs w:val="22"/>
              </w:rPr>
            </w:pPr>
            <w:r>
              <w:rPr>
                <w:color w:val="000000"/>
                <w:kern w:val="0"/>
                <w:sz w:val="22"/>
                <w:szCs w:val="22"/>
              </w:rPr>
              <w:t>被医保部门约谈、限期整改的。</w:t>
            </w:r>
          </w:p>
        </w:tc>
        <w:tc>
          <w:tcPr>
            <w:tcW w:w="4394" w:type="dxa"/>
            <w:noWrap w:val="0"/>
            <w:vAlign w:val="center"/>
          </w:tcPr>
          <w:p>
            <w:pPr>
              <w:widowControl/>
              <w:jc w:val="left"/>
              <w:rPr>
                <w:color w:val="000000"/>
                <w:kern w:val="0"/>
                <w:sz w:val="22"/>
                <w:szCs w:val="22"/>
              </w:rPr>
            </w:pPr>
            <w:r>
              <w:rPr>
                <w:color w:val="000000"/>
                <w:kern w:val="0"/>
                <w:sz w:val="22"/>
                <w:szCs w:val="22"/>
              </w:rPr>
              <w:t>约谈1次扣1分，约谈2次不得分；责令整改1次扣1分、限期未整改到位扣1分、年度责令整改2次不得分。</w:t>
            </w:r>
          </w:p>
        </w:tc>
        <w:tc>
          <w:tcPr>
            <w:tcW w:w="993" w:type="dxa"/>
            <w:noWrap w:val="0"/>
            <w:vAlign w:val="center"/>
          </w:tcPr>
          <w:p>
            <w:pPr>
              <w:widowControl/>
              <w:jc w:val="center"/>
              <w:rPr>
                <w:color w:val="000000"/>
                <w:kern w:val="0"/>
                <w:sz w:val="22"/>
                <w:szCs w:val="22"/>
              </w:rPr>
            </w:pPr>
            <w:r>
              <w:rPr>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continue"/>
            <w:noWrap w:val="0"/>
            <w:vAlign w:val="center"/>
          </w:tcPr>
          <w:p>
            <w:pPr>
              <w:widowControl/>
              <w:jc w:val="left"/>
              <w:rPr>
                <w:color w:val="000000"/>
                <w:kern w:val="0"/>
                <w:sz w:val="22"/>
                <w:szCs w:val="22"/>
              </w:rPr>
            </w:pPr>
          </w:p>
        </w:tc>
        <w:tc>
          <w:tcPr>
            <w:tcW w:w="5670" w:type="dxa"/>
            <w:noWrap w:val="0"/>
            <w:vAlign w:val="center"/>
          </w:tcPr>
          <w:p>
            <w:pPr>
              <w:widowControl/>
              <w:jc w:val="left"/>
              <w:rPr>
                <w:color w:val="000000"/>
                <w:kern w:val="0"/>
                <w:sz w:val="22"/>
                <w:szCs w:val="22"/>
              </w:rPr>
            </w:pPr>
            <w:r>
              <w:rPr>
                <w:color w:val="000000"/>
                <w:kern w:val="0"/>
                <w:sz w:val="22"/>
                <w:szCs w:val="22"/>
              </w:rPr>
              <w:t>被举报投诉存在违规行为并查实的。</w:t>
            </w:r>
          </w:p>
        </w:tc>
        <w:tc>
          <w:tcPr>
            <w:tcW w:w="4394" w:type="dxa"/>
            <w:noWrap w:val="0"/>
            <w:vAlign w:val="center"/>
          </w:tcPr>
          <w:p>
            <w:pPr>
              <w:widowControl/>
              <w:jc w:val="left"/>
              <w:rPr>
                <w:color w:val="000000"/>
                <w:kern w:val="0"/>
                <w:sz w:val="22"/>
                <w:szCs w:val="22"/>
              </w:rPr>
            </w:pPr>
            <w:r>
              <w:rPr>
                <w:color w:val="000000"/>
                <w:kern w:val="0"/>
                <w:sz w:val="22"/>
                <w:szCs w:val="22"/>
              </w:rPr>
              <w:t>发现一例扣1分，直至扣完。</w:t>
            </w:r>
          </w:p>
        </w:tc>
        <w:tc>
          <w:tcPr>
            <w:tcW w:w="993" w:type="dxa"/>
            <w:noWrap w:val="0"/>
            <w:vAlign w:val="center"/>
          </w:tcPr>
          <w:p>
            <w:pPr>
              <w:widowControl/>
              <w:jc w:val="center"/>
              <w:rPr>
                <w:color w:val="000000"/>
                <w:kern w:val="0"/>
                <w:sz w:val="22"/>
                <w:szCs w:val="22"/>
              </w:rPr>
            </w:pPr>
            <w:r>
              <w:rPr>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continue"/>
            <w:noWrap w:val="0"/>
            <w:vAlign w:val="center"/>
          </w:tcPr>
          <w:p>
            <w:pPr>
              <w:widowControl/>
              <w:jc w:val="left"/>
              <w:rPr>
                <w:color w:val="000000"/>
                <w:kern w:val="0"/>
                <w:sz w:val="22"/>
                <w:szCs w:val="22"/>
              </w:rPr>
            </w:pPr>
          </w:p>
        </w:tc>
        <w:tc>
          <w:tcPr>
            <w:tcW w:w="5670" w:type="dxa"/>
            <w:noWrap w:val="0"/>
            <w:vAlign w:val="center"/>
          </w:tcPr>
          <w:p>
            <w:pPr>
              <w:widowControl/>
              <w:jc w:val="left"/>
              <w:rPr>
                <w:color w:val="000000"/>
                <w:kern w:val="0"/>
                <w:sz w:val="22"/>
                <w:szCs w:val="22"/>
              </w:rPr>
            </w:pPr>
            <w:r>
              <w:rPr>
                <w:color w:val="000000"/>
                <w:kern w:val="0"/>
                <w:sz w:val="22"/>
                <w:szCs w:val="22"/>
              </w:rPr>
              <w:t>受到医保行政部门行政处罚的。</w:t>
            </w:r>
          </w:p>
        </w:tc>
        <w:tc>
          <w:tcPr>
            <w:tcW w:w="4394" w:type="dxa"/>
            <w:noWrap w:val="0"/>
            <w:vAlign w:val="center"/>
          </w:tcPr>
          <w:p>
            <w:pPr>
              <w:widowControl/>
              <w:jc w:val="left"/>
              <w:rPr>
                <w:color w:val="000000"/>
                <w:kern w:val="0"/>
                <w:sz w:val="22"/>
                <w:szCs w:val="22"/>
              </w:rPr>
            </w:pPr>
            <w:r>
              <w:rPr>
                <w:color w:val="000000"/>
                <w:kern w:val="0"/>
                <w:sz w:val="22"/>
                <w:szCs w:val="22"/>
              </w:rPr>
              <w:t>出现一次扣4分。</w:t>
            </w:r>
          </w:p>
        </w:tc>
        <w:tc>
          <w:tcPr>
            <w:tcW w:w="993" w:type="dxa"/>
            <w:noWrap w:val="0"/>
            <w:vAlign w:val="center"/>
          </w:tcPr>
          <w:p>
            <w:pPr>
              <w:widowControl/>
              <w:jc w:val="center"/>
              <w:rPr>
                <w:color w:val="000000"/>
                <w:kern w:val="0"/>
                <w:sz w:val="22"/>
                <w:szCs w:val="22"/>
              </w:rPr>
            </w:pPr>
            <w:r>
              <w:rPr>
                <w:color w:val="00000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continue"/>
            <w:noWrap w:val="0"/>
            <w:vAlign w:val="center"/>
          </w:tcPr>
          <w:p>
            <w:pPr>
              <w:widowControl/>
              <w:jc w:val="left"/>
              <w:rPr>
                <w:color w:val="000000"/>
                <w:kern w:val="0"/>
                <w:sz w:val="22"/>
                <w:szCs w:val="22"/>
              </w:rPr>
            </w:pPr>
          </w:p>
        </w:tc>
        <w:tc>
          <w:tcPr>
            <w:tcW w:w="5670" w:type="dxa"/>
            <w:noWrap w:val="0"/>
            <w:vAlign w:val="center"/>
          </w:tcPr>
          <w:p>
            <w:pPr>
              <w:widowControl/>
              <w:jc w:val="left"/>
              <w:rPr>
                <w:color w:val="000000"/>
                <w:kern w:val="0"/>
                <w:sz w:val="22"/>
                <w:szCs w:val="22"/>
              </w:rPr>
            </w:pPr>
            <w:r>
              <w:rPr>
                <w:color w:val="000000"/>
                <w:kern w:val="0"/>
                <w:sz w:val="22"/>
                <w:szCs w:val="22"/>
              </w:rPr>
              <w:t>签署《医疗机构工作人员廉洁从业九项准则》承诺书。</w:t>
            </w:r>
          </w:p>
        </w:tc>
        <w:tc>
          <w:tcPr>
            <w:tcW w:w="4394" w:type="dxa"/>
            <w:noWrap w:val="0"/>
            <w:vAlign w:val="center"/>
          </w:tcPr>
          <w:p>
            <w:pPr>
              <w:widowControl/>
              <w:jc w:val="left"/>
              <w:rPr>
                <w:color w:val="000000"/>
                <w:kern w:val="0"/>
                <w:sz w:val="22"/>
                <w:szCs w:val="22"/>
              </w:rPr>
            </w:pPr>
            <w:r>
              <w:rPr>
                <w:color w:val="000000"/>
                <w:kern w:val="0"/>
                <w:sz w:val="22"/>
                <w:szCs w:val="22"/>
              </w:rPr>
              <w:t>未</w:t>
            </w:r>
            <w:r>
              <w:rPr>
                <w:rFonts w:hint="eastAsia"/>
                <w:color w:val="000000"/>
                <w:kern w:val="0"/>
                <w:sz w:val="22"/>
                <w:szCs w:val="22"/>
              </w:rPr>
              <w:t>签订</w:t>
            </w:r>
            <w:r>
              <w:rPr>
                <w:color w:val="000000"/>
                <w:kern w:val="0"/>
                <w:sz w:val="22"/>
                <w:szCs w:val="22"/>
              </w:rPr>
              <w:t>扣2分。</w:t>
            </w:r>
          </w:p>
        </w:tc>
        <w:tc>
          <w:tcPr>
            <w:tcW w:w="993" w:type="dxa"/>
            <w:noWrap w:val="0"/>
            <w:vAlign w:val="center"/>
          </w:tcPr>
          <w:p>
            <w:pPr>
              <w:widowControl/>
              <w:jc w:val="center"/>
              <w:rPr>
                <w:color w:val="000000"/>
                <w:kern w:val="0"/>
                <w:sz w:val="22"/>
                <w:szCs w:val="22"/>
              </w:rPr>
            </w:pPr>
            <w:r>
              <w:rPr>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continue"/>
            <w:noWrap w:val="0"/>
            <w:vAlign w:val="center"/>
          </w:tcPr>
          <w:p>
            <w:pPr>
              <w:widowControl/>
              <w:jc w:val="left"/>
              <w:rPr>
                <w:color w:val="000000"/>
                <w:kern w:val="0"/>
                <w:sz w:val="22"/>
                <w:szCs w:val="22"/>
              </w:rPr>
            </w:pPr>
          </w:p>
        </w:tc>
        <w:tc>
          <w:tcPr>
            <w:tcW w:w="5670" w:type="dxa"/>
            <w:noWrap w:val="0"/>
            <w:vAlign w:val="center"/>
          </w:tcPr>
          <w:p>
            <w:pPr>
              <w:widowControl/>
              <w:jc w:val="left"/>
              <w:rPr>
                <w:color w:val="000000"/>
                <w:kern w:val="0"/>
                <w:sz w:val="22"/>
                <w:szCs w:val="22"/>
              </w:rPr>
            </w:pPr>
            <w:r>
              <w:rPr>
                <w:color w:val="000000"/>
                <w:kern w:val="0"/>
                <w:sz w:val="22"/>
                <w:szCs w:val="22"/>
              </w:rPr>
              <w:t>社会满意率</w:t>
            </w:r>
          </w:p>
        </w:tc>
        <w:tc>
          <w:tcPr>
            <w:tcW w:w="4394" w:type="dxa"/>
            <w:noWrap w:val="0"/>
            <w:vAlign w:val="center"/>
          </w:tcPr>
          <w:p>
            <w:pPr>
              <w:widowControl/>
              <w:jc w:val="left"/>
              <w:rPr>
                <w:color w:val="000000"/>
                <w:kern w:val="0"/>
                <w:sz w:val="22"/>
                <w:szCs w:val="22"/>
              </w:rPr>
            </w:pPr>
            <w:r>
              <w:rPr>
                <w:color w:val="000000"/>
                <w:kern w:val="0"/>
                <w:sz w:val="22"/>
                <w:szCs w:val="22"/>
              </w:rPr>
              <w:t>满意率为全市平均值以上不扣分，全市平均值以下10%的扣1分，20%的扣2分，30%的不得分。（依托安徽医保公共服务—医药机构服务评价结果）</w:t>
            </w:r>
          </w:p>
        </w:tc>
        <w:tc>
          <w:tcPr>
            <w:tcW w:w="993" w:type="dxa"/>
            <w:noWrap w:val="0"/>
            <w:vAlign w:val="center"/>
          </w:tcPr>
          <w:p>
            <w:pPr>
              <w:widowControl/>
              <w:jc w:val="center"/>
              <w:rPr>
                <w:color w:val="000000"/>
                <w:kern w:val="0"/>
                <w:sz w:val="22"/>
                <w:szCs w:val="22"/>
              </w:rPr>
            </w:pPr>
            <w:r>
              <w:rPr>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restart"/>
            <w:noWrap w:val="0"/>
            <w:vAlign w:val="center"/>
          </w:tcPr>
          <w:p>
            <w:pPr>
              <w:widowControl/>
              <w:jc w:val="center"/>
              <w:rPr>
                <w:color w:val="000000"/>
                <w:kern w:val="0"/>
                <w:sz w:val="22"/>
                <w:szCs w:val="22"/>
              </w:rPr>
            </w:pPr>
            <w:r>
              <w:rPr>
                <w:rFonts w:hint="eastAsia"/>
                <w:color w:val="000000"/>
                <w:kern w:val="0"/>
                <w:sz w:val="22"/>
                <w:szCs w:val="22"/>
              </w:rPr>
              <w:t>五</w:t>
            </w:r>
            <w:r>
              <w:rPr>
                <w:color w:val="000000"/>
                <w:kern w:val="0"/>
                <w:sz w:val="22"/>
                <w:szCs w:val="22"/>
              </w:rPr>
              <w:t>、奖惩管理</w:t>
            </w:r>
          </w:p>
        </w:tc>
        <w:tc>
          <w:tcPr>
            <w:tcW w:w="5670" w:type="dxa"/>
            <w:noWrap w:val="0"/>
            <w:vAlign w:val="center"/>
          </w:tcPr>
          <w:p>
            <w:pPr>
              <w:widowControl/>
              <w:jc w:val="left"/>
              <w:rPr>
                <w:color w:val="000000"/>
                <w:kern w:val="0"/>
                <w:sz w:val="22"/>
                <w:szCs w:val="22"/>
              </w:rPr>
            </w:pPr>
            <w:r>
              <w:rPr>
                <w:color w:val="000000"/>
                <w:kern w:val="0"/>
                <w:sz w:val="22"/>
                <w:szCs w:val="22"/>
              </w:rPr>
              <w:t>获得医保部门表彰奖励的可以加分。</w:t>
            </w:r>
          </w:p>
        </w:tc>
        <w:tc>
          <w:tcPr>
            <w:tcW w:w="4394" w:type="dxa"/>
            <w:noWrap w:val="0"/>
            <w:vAlign w:val="center"/>
          </w:tcPr>
          <w:p>
            <w:pPr>
              <w:widowControl/>
              <w:jc w:val="left"/>
              <w:rPr>
                <w:color w:val="000000"/>
                <w:kern w:val="0"/>
                <w:sz w:val="22"/>
                <w:szCs w:val="22"/>
              </w:rPr>
            </w:pPr>
            <w:r>
              <w:rPr>
                <w:color w:val="000000"/>
                <w:kern w:val="0"/>
                <w:sz w:val="22"/>
                <w:szCs w:val="22"/>
              </w:rPr>
              <w:t>获得国家、省、市、县医保部门表彰奖励的分别加4分、3分、2分、1分，最多不超过10分。</w:t>
            </w:r>
          </w:p>
        </w:tc>
        <w:tc>
          <w:tcPr>
            <w:tcW w:w="993" w:type="dxa"/>
            <w:noWrap w:val="0"/>
            <w:vAlign w:val="center"/>
          </w:tcPr>
          <w:p>
            <w:pPr>
              <w:widowControl/>
              <w:jc w:val="center"/>
              <w:rPr>
                <w:color w:val="000000"/>
                <w:kern w:val="0"/>
                <w:sz w:val="22"/>
                <w:szCs w:val="22"/>
              </w:rPr>
            </w:pPr>
            <w:r>
              <w:rPr>
                <w:color w:val="00000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vMerge w:val="continue"/>
            <w:noWrap w:val="0"/>
            <w:vAlign w:val="center"/>
          </w:tcPr>
          <w:p>
            <w:pPr>
              <w:widowControl/>
              <w:jc w:val="left"/>
              <w:rPr>
                <w:color w:val="000000"/>
                <w:kern w:val="0"/>
                <w:sz w:val="22"/>
                <w:szCs w:val="22"/>
              </w:rPr>
            </w:pPr>
          </w:p>
        </w:tc>
        <w:tc>
          <w:tcPr>
            <w:tcW w:w="5670" w:type="dxa"/>
            <w:noWrap w:val="0"/>
            <w:vAlign w:val="center"/>
          </w:tcPr>
          <w:p>
            <w:pPr>
              <w:widowControl/>
              <w:jc w:val="left"/>
              <w:rPr>
                <w:color w:val="000000"/>
                <w:kern w:val="0"/>
                <w:sz w:val="22"/>
                <w:szCs w:val="22"/>
              </w:rPr>
            </w:pPr>
            <w:r>
              <w:rPr>
                <w:color w:val="000000"/>
                <w:kern w:val="0"/>
                <w:sz w:val="22"/>
                <w:szCs w:val="22"/>
              </w:rPr>
              <w:t>出现以下行为之一的，一票否决，直接评价为不合格</w:t>
            </w:r>
            <w:r>
              <w:rPr>
                <w:rFonts w:hint="eastAsia"/>
                <w:color w:val="000000"/>
                <w:kern w:val="0"/>
                <w:sz w:val="22"/>
                <w:szCs w:val="22"/>
              </w:rPr>
              <w:t>等级</w:t>
            </w:r>
            <w:r>
              <w:rPr>
                <w:color w:val="000000"/>
                <w:kern w:val="0"/>
                <w:sz w:val="22"/>
                <w:szCs w:val="22"/>
              </w:rPr>
              <w:t>:违反医保的相关规定，被媒体曝光，造成恶劣影响的；一个年度内被查出的违规金额占本院医保基金使用量10%以上的；出现《安徽省定点医疗机构医疗保障服务协议范本》中特别严重违约责任情形的；因违法违规被暂停协议3个月及以上的。</w:t>
            </w:r>
          </w:p>
        </w:tc>
        <w:tc>
          <w:tcPr>
            <w:tcW w:w="4394" w:type="dxa"/>
            <w:noWrap w:val="0"/>
            <w:vAlign w:val="center"/>
          </w:tcPr>
          <w:p>
            <w:pPr>
              <w:widowControl/>
              <w:jc w:val="left"/>
              <w:rPr>
                <w:color w:val="000000"/>
                <w:kern w:val="0"/>
                <w:sz w:val="22"/>
                <w:szCs w:val="22"/>
              </w:rPr>
            </w:pPr>
            <w:r>
              <w:rPr>
                <w:color w:val="000000"/>
                <w:kern w:val="0"/>
                <w:sz w:val="22"/>
                <w:szCs w:val="22"/>
              </w:rPr>
              <w:t>　</w:t>
            </w:r>
          </w:p>
        </w:tc>
        <w:tc>
          <w:tcPr>
            <w:tcW w:w="993" w:type="dxa"/>
            <w:noWrap w:val="0"/>
            <w:vAlign w:val="center"/>
          </w:tcPr>
          <w:p>
            <w:pPr>
              <w:widowControl/>
              <w:jc w:val="center"/>
              <w:rPr>
                <w:color w:val="000000"/>
                <w:kern w:val="0"/>
                <w:sz w:val="22"/>
                <w:szCs w:val="22"/>
              </w:rPr>
            </w:pPr>
            <w:r>
              <w:rPr>
                <w:color w:val="000000"/>
                <w:kern w:val="0"/>
                <w:sz w:val="22"/>
                <w:szCs w:val="22"/>
              </w:rPr>
              <w:t>　</w:t>
            </w:r>
          </w:p>
        </w:tc>
      </w:tr>
    </w:tbl>
    <w:p>
      <w:r>
        <w:rPr>
          <w:rFonts w:ascii="Times New Roman" w:hAnsi="Times New Roman" w:cs="Times New Roman"/>
          <w:sz w:val="22"/>
          <w:szCs w:val="22"/>
        </w:rPr>
        <w:t>相关说明：1.每项考核按照倒扣法，标准分值扣完为止；2.暂停协议1至2个月的，</w:t>
      </w:r>
      <w:r>
        <w:rPr>
          <w:rFonts w:ascii="Times New Roman" w:hAnsi="Times New Roman" w:cs="Times New Roman"/>
          <w:color w:val="000000"/>
          <w:kern w:val="0"/>
          <w:sz w:val="22"/>
          <w:szCs w:val="22"/>
        </w:rPr>
        <w:t>当年</w:t>
      </w:r>
      <w:r>
        <w:rPr>
          <w:rFonts w:ascii="Times New Roman" w:hAnsi="Times New Roman" w:cs="Times New Roman"/>
          <w:kern w:val="0"/>
          <w:sz w:val="22"/>
          <w:szCs w:val="22"/>
        </w:rPr>
        <w:t>不得评定为</w:t>
      </w:r>
      <w:r>
        <w:rPr>
          <w:rFonts w:hint="eastAsia" w:ascii="Times New Roman" w:hAnsi="Times New Roman" w:cs="Times New Roman"/>
          <w:kern w:val="0"/>
          <w:sz w:val="22"/>
          <w:szCs w:val="22"/>
        </w:rPr>
        <w:t>优秀、良好</w:t>
      </w:r>
      <w:r>
        <w:rPr>
          <w:rFonts w:ascii="Times New Roman" w:hAnsi="Times New Roman" w:cs="Times New Roman"/>
          <w:color w:val="000000"/>
          <w:kern w:val="0"/>
          <w:sz w:val="22"/>
          <w:szCs w:val="22"/>
        </w:rPr>
        <w:t>等次。</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MzRhN2YzMjEwMWMyZDczZmJjOThlMjdkYzk3ZDYifQ=="/>
  </w:docVars>
  <w:rsids>
    <w:rsidRoot w:val="00000000"/>
    <w:rsid w:val="03087094"/>
    <w:rsid w:val="2B430715"/>
    <w:rsid w:val="44E93C84"/>
    <w:rsid w:val="621A4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TML Preformatted"/>
    <w:basedOn w:val="1"/>
    <w:uiPriority w:val="0"/>
    <w:rPr>
      <w:rFonts w:ascii="Courier New" w:hAnsi="Courier New"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1966</Words>
  <Characters>1986</Characters>
  <Lines>0</Lines>
  <Paragraphs>0</Paragraphs>
  <TotalTime>0</TotalTime>
  <ScaleCrop>false</ScaleCrop>
  <LinksUpToDate>false</LinksUpToDate>
  <CharactersWithSpaces>1988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2023-02-28T06:42:54Z</dcterms:created>
  <dc:creator>wmx</dc:creator>
  <cp:lastModifiedBy>wmx</cp:lastModifiedBy>
  <dcterms:modified xsi:type="dcterms:W3CDTF">2023-02-28T06:44:34Z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77C16F06A8DF4B088DFEEA4295E09A68</vt:lpwstr>
  </property>
</Properties>
</file>