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pStyle w:val="2"/>
        <w:widowControl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合肥市医疗保障定点门诊部、诊所考核评分标准</w:t>
      </w:r>
    </w:p>
    <w:tbl>
      <w:tblPr>
        <w:tblStyle w:val="3"/>
        <w:tblW w:w="13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8"/>
        <w:gridCol w:w="5387"/>
        <w:gridCol w:w="4819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1" w:hRule="atLeast"/>
          <w:tblHeader/>
          <w:jc w:val="center"/>
        </w:trPr>
        <w:tc>
          <w:tcPr>
            <w:tcW w:w="2648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考核要求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评分标准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标准分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64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一、综合管理（25分）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医疗机构执业许可证、营业执照经相关部门年检合格或在有效期内。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有一项做不到扣1分，直至扣完。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64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认真履行医保服务协议，法定代表人、营业地点、经营范围等基本资料变更应按规定进行备案登记。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有一项做不到不得分。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64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专人负责医保工作；建立医保管理制度、网络安全和数据保护制度、财务制度、药品、耗材进销存管理制度等。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没有专人负责医保扣1分；没有相关制度扣1分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，直至扣完</w:t>
            </w:r>
            <w:r>
              <w:rPr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64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设置“医疗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保障</w:t>
            </w:r>
            <w:r>
              <w:rPr>
                <w:color w:val="000000"/>
                <w:kern w:val="0"/>
                <w:sz w:val="22"/>
                <w:szCs w:val="22"/>
              </w:rPr>
              <w:t>政策宣传栏”，并定期更换宣传内容；医疗服务项目和服务价格进行公示，自觉接受社会监督。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没有宣传栏扣1分；不定期更换扣1分；不公示扣1分。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在门诊部（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诊</w:t>
            </w:r>
            <w:r>
              <w:rPr>
                <w:color w:val="000000"/>
                <w:kern w:val="0"/>
                <w:sz w:val="22"/>
                <w:szCs w:val="22"/>
              </w:rPr>
              <w:t>所）内设置医保投诉箱、以及医保咨询和监督电话，自觉接受社会监督。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没有投诉箱扣3分；没有咨询监督电话扣3分。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48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按时完成医保部门布置的工作任务。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有一次未完成扣2分，直至扣完。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64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二、服务管理（55分）</w:t>
            </w:r>
          </w:p>
        </w:tc>
        <w:tc>
          <w:tcPr>
            <w:tcW w:w="538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贯彻因病施治原则，做到合理检查、合理治疗、合理用药；不过度医疗、虚假治疗。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违规一次扣2分，直至扣完。</w:t>
            </w:r>
          </w:p>
        </w:tc>
        <w:tc>
          <w:tcPr>
            <w:tcW w:w="1001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弄虚作假串换药品、医疗器械、串换物品，将不属于医保支付范围的项目列入医保基金支付范围。拼凑上传医保信息系统结算数据。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串换不得分。拼凑上传数据扣1分，未在24小时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内</w:t>
            </w:r>
            <w:r>
              <w:rPr>
                <w:color w:val="000000"/>
                <w:kern w:val="0"/>
                <w:sz w:val="22"/>
                <w:szCs w:val="22"/>
              </w:rPr>
              <w:t>上传扣1分。</w:t>
            </w:r>
          </w:p>
        </w:tc>
        <w:tc>
          <w:tcPr>
            <w:tcW w:w="1001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超标准收费、分解收费。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违规一次扣2分，直至扣完。</w:t>
            </w:r>
          </w:p>
        </w:tc>
        <w:tc>
          <w:tcPr>
            <w:tcW w:w="1001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药品、耗材进、销、存符合规范，医保销售与结算相符，库存按月盘点，做到月清月结。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有一笔进销存不符扣3分，直至扣完。</w:t>
            </w:r>
          </w:p>
        </w:tc>
        <w:tc>
          <w:tcPr>
            <w:tcW w:w="1001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64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二、服务管理（55分）</w:t>
            </w:r>
          </w:p>
        </w:tc>
        <w:tc>
          <w:tcPr>
            <w:tcW w:w="5387" w:type="dxa"/>
            <w:shd w:val="clear" w:color="auto" w:fill="auto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做好与医疗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保障</w:t>
            </w:r>
            <w:r>
              <w:rPr>
                <w:color w:val="000000"/>
                <w:kern w:val="0"/>
                <w:sz w:val="22"/>
                <w:szCs w:val="22"/>
              </w:rPr>
              <w:t>信息系统的药品及诊疗项目的对照工作，确保比对项目正确，收费项目与结算项目相符。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有一次做不到扣2分，直至扣完。</w:t>
            </w:r>
          </w:p>
        </w:tc>
        <w:tc>
          <w:tcPr>
            <w:tcW w:w="1001" w:type="dxa"/>
            <w:shd w:val="clear" w:color="000000" w:fill="auto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参保人员办理门诊挂号和费用结算手续时，应认真核对人、证、卡相符情况，杜绝冒名就诊现象。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发现一例扣6分。</w:t>
            </w:r>
          </w:p>
        </w:tc>
        <w:tc>
          <w:tcPr>
            <w:tcW w:w="1001" w:type="dxa"/>
            <w:shd w:val="clear" w:color="000000" w:fill="auto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采取虚假宣传、违规减免自付费用、返现回扣、发放实物、卡券、赠送礼品、免费体检等方式，诱导参保人员就医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且存在违规使用医保基金行为的。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发现一次扣6分。</w:t>
            </w:r>
          </w:p>
        </w:tc>
        <w:tc>
          <w:tcPr>
            <w:tcW w:w="1001" w:type="dxa"/>
            <w:shd w:val="clear" w:color="000000" w:fill="auto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门诊病历处方、治疗记录不完善。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违规一次扣1分，直至扣完。</w:t>
            </w:r>
          </w:p>
        </w:tc>
        <w:tc>
          <w:tcPr>
            <w:tcW w:w="1001" w:type="dxa"/>
            <w:shd w:val="clear" w:color="000000" w:fill="auto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  <w:jc w:val="center"/>
        </w:trPr>
        <w:tc>
          <w:tcPr>
            <w:tcW w:w="2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spacing w:val="-8"/>
                <w:kern w:val="0"/>
                <w:sz w:val="22"/>
                <w:szCs w:val="22"/>
              </w:rPr>
            </w:pPr>
            <w:r>
              <w:rPr>
                <w:color w:val="000000"/>
                <w:spacing w:val="-8"/>
                <w:kern w:val="0"/>
                <w:sz w:val="22"/>
                <w:szCs w:val="22"/>
              </w:rPr>
              <w:t>处方医师必须取得注册资格；医师诊疗范围不超越其职业资格范围。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发现一次不得分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1001" w:type="dxa"/>
            <w:shd w:val="clear" w:color="000000" w:fill="auto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建立诊疗记录本，做到每项诊疗项目均有记录，并能详细反映诊疗工作量及相关诊断。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有一次做不到扣1分，直至扣完。</w:t>
            </w:r>
          </w:p>
        </w:tc>
        <w:tc>
          <w:tcPr>
            <w:tcW w:w="1001" w:type="dxa"/>
            <w:shd w:val="clear" w:color="000000" w:fill="auto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进行虚假宣传，夸大治疗效果。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发现一次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不得分</w:t>
            </w:r>
            <w:r>
              <w:rPr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1001" w:type="dxa"/>
            <w:shd w:val="clear" w:color="000000" w:fill="auto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64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三、</w:t>
            </w:r>
            <w:r>
              <w:rPr>
                <w:color w:val="000000"/>
                <w:kern w:val="0"/>
                <w:sz w:val="22"/>
                <w:szCs w:val="22"/>
              </w:rPr>
              <w:t>医药行为管理（20分）</w:t>
            </w:r>
          </w:p>
        </w:tc>
        <w:tc>
          <w:tcPr>
            <w:tcW w:w="5387" w:type="dxa"/>
            <w:shd w:val="clear" w:color="auto" w:fill="auto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被医保部门约谈、限期整改的。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约谈1次扣1分，约谈2次不得分；责令整改1次扣1分、限期未整改到位扣2分、年度责令整改2次不得分。</w:t>
            </w:r>
          </w:p>
        </w:tc>
        <w:tc>
          <w:tcPr>
            <w:tcW w:w="1001" w:type="dxa"/>
            <w:shd w:val="clear" w:color="000000" w:fill="auto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被举报投诉存在违规行为并查实的。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查实一次扣5分。</w:t>
            </w:r>
          </w:p>
        </w:tc>
        <w:tc>
          <w:tcPr>
            <w:tcW w:w="1001" w:type="dxa"/>
            <w:shd w:val="clear" w:color="000000" w:fill="auto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受到医保行政部门行政处罚的。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出现一次扣5分。</w:t>
            </w:r>
          </w:p>
        </w:tc>
        <w:tc>
          <w:tcPr>
            <w:tcW w:w="1001" w:type="dxa"/>
            <w:shd w:val="clear" w:color="000000" w:fill="auto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签署《医疗机构工作人员廉洁从业九项准则》承诺书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未签订扣2分。</w:t>
            </w:r>
          </w:p>
        </w:tc>
        <w:tc>
          <w:tcPr>
            <w:tcW w:w="1001" w:type="dxa"/>
            <w:shd w:val="clear" w:color="000000" w:fill="auto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0" w:hRule="atLeast"/>
          <w:jc w:val="center"/>
        </w:trPr>
        <w:tc>
          <w:tcPr>
            <w:tcW w:w="26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社会满意率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满意率为全市平均值以上不扣分，全市平均值以下10%的扣1分，20%的扣2分，30%的不得分。（依托安徽医保公共服务—医药机构服务评价结果）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四</w:t>
            </w:r>
            <w:r>
              <w:rPr>
                <w:color w:val="000000"/>
                <w:kern w:val="0"/>
                <w:sz w:val="22"/>
                <w:szCs w:val="22"/>
              </w:rPr>
              <w:t>、奖惩管理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获得医保部门表彰奖励的可以加分。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获得国家、省、市、县医保部门表彰奖励的分别加4分、3分、2分、1分，最多不超过10分。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264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出现以下行为之一的，一票否决，直接评价为不合格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等级</w:t>
            </w:r>
            <w:r>
              <w:rPr>
                <w:color w:val="000000"/>
                <w:kern w:val="0"/>
                <w:sz w:val="22"/>
                <w:szCs w:val="22"/>
              </w:rPr>
              <w:t>:违反医保相关规定，被媒体曝光，造成恶劣影响的；一个年度内被查出的违规金额占本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门诊部（诊所）</w:t>
            </w:r>
            <w:r>
              <w:rPr>
                <w:color w:val="000000"/>
                <w:kern w:val="0"/>
                <w:sz w:val="22"/>
                <w:szCs w:val="22"/>
              </w:rPr>
              <w:t>医保基金使用量10%以上的；出现《安徽省定点医疗机构医疗保障服务协议范本》中特别严重违约责任情形的；因违法违规被暂停协议3个月及以上的。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pStyle w:val="2"/>
        <w:widowControl/>
        <w:rPr>
          <w:rFonts w:ascii="Times New Roman" w:hAnsi="Times New Roman" w:eastAsia="黑体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相关说明：1.每项考核按照倒扣法，标准分值扣完为止；2.暂停协议1至2个月的，当年</w:t>
      </w:r>
      <w:r>
        <w:rPr>
          <w:rFonts w:ascii="Times New Roman" w:hAnsi="Times New Roman" w:cs="Times New Roman"/>
          <w:kern w:val="0"/>
          <w:sz w:val="22"/>
          <w:szCs w:val="22"/>
        </w:rPr>
        <w:t>不得评定为</w:t>
      </w:r>
      <w:r>
        <w:rPr>
          <w:rFonts w:hint="eastAsia" w:ascii="Times New Roman" w:hAnsi="Times New Roman" w:cs="Times New Roman"/>
          <w:kern w:val="0"/>
          <w:sz w:val="22"/>
          <w:szCs w:val="22"/>
        </w:rPr>
        <w:t>优秀、良好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等次。</w:t>
      </w:r>
    </w:p>
    <w:p>
      <w:r>
        <w:rPr>
          <w:rFonts w:ascii="Times New Roman" w:hAnsi="Times New Roman" w:eastAsia="黑体" w:cs="Times New Roman"/>
          <w:sz w:val="32"/>
          <w:szCs w:val="32"/>
        </w:rPr>
        <w:br w:type="page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MzRhN2YzMjEwMWMyZDczZmJjOThlMjdkYzk3ZDYifQ=="/>
  </w:docVars>
  <w:rsids>
    <w:rsidRoot w:val="00000000"/>
    <w:rsid w:val="1A3E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2023-02-28T06:44:58Z</dcterms:created>
  <dc:creator>wmx</dc:creator>
  <cp:lastModifiedBy>wmx</cp:lastModifiedBy>
  <dcterms:modified xsi:type="dcterms:W3CDTF">2023-02-28T06:45:15Z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BC4CF8433D50476993FA0BF8A7072F73</vt:lpwstr>
  </property>
</Properties>
</file>