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line="592" w:lineRule="exact"/>
        <w:rPr>
          <w:rFonts w:ascii="Times New Roman" w:hAnsi="Times New Roman" w:eastAsia="黑体" w:cs="Times New Roman"/>
          <w:sz w:val="32"/>
          <w:szCs w:val="32"/>
        </w:rPr>
      </w:pPr>
      <w:r>
        <w:rPr>
          <w:rFonts w:ascii="Times New Roman" w:hAnsi="Times New Roman" w:eastAsia="黑体" w:cs="Times New Roman"/>
          <w:sz w:val="32"/>
          <w:szCs w:val="32"/>
        </w:rPr>
        <w:t>附件3</w:t>
      </w:r>
    </w:p>
    <w:p>
      <w:pPr>
        <w:pStyle w:val="2"/>
        <w:widowControl/>
        <w:jc w:val="center"/>
        <w:rPr>
          <w:rFonts w:ascii="Times New Roman" w:hAnsi="Times New Roman" w:eastAsia="方正小标宋简体" w:cs="Times New Roman"/>
          <w:sz w:val="44"/>
          <w:szCs w:val="44"/>
        </w:rPr>
      </w:pPr>
      <w:r>
        <w:rPr>
          <w:rFonts w:ascii="Times New Roman" w:hAnsi="Times New Roman" w:eastAsia="方正小标宋简体" w:cs="Times New Roman"/>
          <w:color w:val="000000"/>
          <w:kern w:val="0"/>
          <w:sz w:val="44"/>
          <w:szCs w:val="44"/>
        </w:rPr>
        <w:t>合肥市医疗保障定点零售药店考核评分标准</w:t>
      </w:r>
    </w:p>
    <w:tbl>
      <w:tblPr>
        <w:tblStyle w:val="3"/>
        <w:tblW w:w="13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3"/>
        <w:gridCol w:w="5476"/>
        <w:gridCol w:w="4730"/>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blHeader/>
          <w:jc w:val="center"/>
        </w:trPr>
        <w:tc>
          <w:tcPr>
            <w:tcW w:w="2623" w:type="dxa"/>
            <w:noWrap w:val="0"/>
            <w:vAlign w:val="center"/>
          </w:tcPr>
          <w:p>
            <w:pPr>
              <w:widowControl/>
              <w:jc w:val="center"/>
              <w:rPr>
                <w:rFonts w:eastAsia="黑体"/>
                <w:color w:val="000000"/>
                <w:kern w:val="0"/>
                <w:sz w:val="22"/>
                <w:szCs w:val="22"/>
              </w:rPr>
            </w:pPr>
            <w:r>
              <w:rPr>
                <w:rFonts w:eastAsia="黑体"/>
                <w:color w:val="000000"/>
                <w:kern w:val="0"/>
                <w:sz w:val="22"/>
                <w:szCs w:val="22"/>
              </w:rPr>
              <w:t>内容</w:t>
            </w:r>
          </w:p>
        </w:tc>
        <w:tc>
          <w:tcPr>
            <w:tcW w:w="5476" w:type="dxa"/>
            <w:noWrap w:val="0"/>
            <w:vAlign w:val="center"/>
          </w:tcPr>
          <w:p>
            <w:pPr>
              <w:widowControl/>
              <w:jc w:val="center"/>
              <w:rPr>
                <w:rFonts w:eastAsia="黑体"/>
                <w:color w:val="000000"/>
                <w:kern w:val="0"/>
                <w:sz w:val="22"/>
                <w:szCs w:val="22"/>
              </w:rPr>
            </w:pPr>
            <w:r>
              <w:rPr>
                <w:rFonts w:eastAsia="黑体"/>
                <w:color w:val="000000"/>
                <w:kern w:val="0"/>
                <w:sz w:val="22"/>
                <w:szCs w:val="22"/>
              </w:rPr>
              <w:t>考核要求</w:t>
            </w:r>
          </w:p>
        </w:tc>
        <w:tc>
          <w:tcPr>
            <w:tcW w:w="4730" w:type="dxa"/>
            <w:noWrap w:val="0"/>
            <w:vAlign w:val="center"/>
          </w:tcPr>
          <w:p>
            <w:pPr>
              <w:widowControl/>
              <w:jc w:val="center"/>
              <w:rPr>
                <w:rFonts w:eastAsia="黑体"/>
                <w:color w:val="000000"/>
                <w:kern w:val="0"/>
                <w:sz w:val="22"/>
                <w:szCs w:val="22"/>
              </w:rPr>
            </w:pPr>
            <w:r>
              <w:rPr>
                <w:rFonts w:eastAsia="黑体"/>
                <w:color w:val="000000"/>
                <w:kern w:val="0"/>
                <w:sz w:val="22"/>
                <w:szCs w:val="22"/>
              </w:rPr>
              <w:t>评分标准</w:t>
            </w:r>
          </w:p>
        </w:tc>
        <w:tc>
          <w:tcPr>
            <w:tcW w:w="871" w:type="dxa"/>
            <w:noWrap w:val="0"/>
            <w:vAlign w:val="center"/>
          </w:tcPr>
          <w:p>
            <w:pPr>
              <w:widowControl/>
              <w:jc w:val="center"/>
              <w:rPr>
                <w:rFonts w:eastAsia="黑体"/>
                <w:color w:val="000000"/>
                <w:kern w:val="0"/>
                <w:sz w:val="22"/>
                <w:szCs w:val="22"/>
              </w:rPr>
            </w:pPr>
            <w:r>
              <w:rPr>
                <w:rFonts w:eastAsia="黑体"/>
                <w:color w:val="000000"/>
                <w:kern w:val="0"/>
                <w:sz w:val="22"/>
                <w:szCs w:val="22"/>
              </w:rPr>
              <w:t>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2623" w:type="dxa"/>
            <w:vMerge w:val="restart"/>
            <w:noWrap w:val="0"/>
            <w:vAlign w:val="center"/>
          </w:tcPr>
          <w:p>
            <w:pPr>
              <w:widowControl/>
              <w:spacing w:before="29" w:beforeLines="5" w:after="29" w:afterLines="5"/>
              <w:jc w:val="center"/>
              <w:rPr>
                <w:bCs/>
                <w:color w:val="000000"/>
                <w:kern w:val="0"/>
                <w:sz w:val="22"/>
                <w:szCs w:val="22"/>
              </w:rPr>
            </w:pPr>
            <w:r>
              <w:rPr>
                <w:bCs/>
                <w:color w:val="000000"/>
                <w:kern w:val="0"/>
                <w:sz w:val="22"/>
                <w:szCs w:val="22"/>
              </w:rPr>
              <w:t>一、综合管理（40分）</w:t>
            </w:r>
          </w:p>
        </w:tc>
        <w:tc>
          <w:tcPr>
            <w:tcW w:w="5476" w:type="dxa"/>
            <w:noWrap w:val="0"/>
            <w:vAlign w:val="center"/>
          </w:tcPr>
          <w:p>
            <w:pPr>
              <w:widowControl/>
              <w:spacing w:before="29" w:beforeLines="5" w:after="29" w:afterLines="5"/>
              <w:jc w:val="left"/>
              <w:rPr>
                <w:color w:val="000000"/>
                <w:kern w:val="0"/>
                <w:sz w:val="22"/>
                <w:szCs w:val="22"/>
              </w:rPr>
            </w:pPr>
            <w:r>
              <w:rPr>
                <w:color w:val="000000"/>
                <w:kern w:val="0"/>
                <w:sz w:val="22"/>
                <w:szCs w:val="22"/>
              </w:rPr>
              <w:t>药品经营许可证、营业执照、执业药师注册证经相关部门年检合格或在有效期内。</w:t>
            </w:r>
          </w:p>
        </w:tc>
        <w:tc>
          <w:tcPr>
            <w:tcW w:w="4730" w:type="dxa"/>
            <w:noWrap w:val="0"/>
            <w:vAlign w:val="center"/>
          </w:tcPr>
          <w:p>
            <w:pPr>
              <w:widowControl/>
              <w:spacing w:before="29" w:beforeLines="5" w:after="29" w:afterLines="5"/>
              <w:jc w:val="left"/>
              <w:rPr>
                <w:color w:val="000000"/>
                <w:kern w:val="0"/>
                <w:sz w:val="22"/>
                <w:szCs w:val="22"/>
              </w:rPr>
            </w:pPr>
            <w:r>
              <w:rPr>
                <w:color w:val="000000"/>
                <w:kern w:val="0"/>
                <w:sz w:val="22"/>
                <w:szCs w:val="22"/>
              </w:rPr>
              <w:t>有一项做不到扣2分，直至扣完。</w:t>
            </w:r>
          </w:p>
        </w:tc>
        <w:tc>
          <w:tcPr>
            <w:tcW w:w="871" w:type="dxa"/>
            <w:noWrap w:val="0"/>
            <w:vAlign w:val="center"/>
          </w:tcPr>
          <w:p>
            <w:pPr>
              <w:widowControl/>
              <w:spacing w:before="29" w:beforeLines="5" w:after="29" w:afterLines="5"/>
              <w:jc w:val="center"/>
              <w:rPr>
                <w:color w:val="000000"/>
                <w:kern w:val="0"/>
                <w:sz w:val="22"/>
                <w:szCs w:val="22"/>
              </w:rPr>
            </w:pPr>
            <w:r>
              <w:rPr>
                <w:color w:val="00000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623" w:type="dxa"/>
            <w:vMerge w:val="continue"/>
            <w:noWrap w:val="0"/>
            <w:vAlign w:val="center"/>
          </w:tcPr>
          <w:p>
            <w:pPr>
              <w:widowControl/>
              <w:spacing w:before="29" w:beforeLines="5" w:after="29" w:afterLines="5"/>
              <w:jc w:val="left"/>
              <w:rPr>
                <w:b/>
                <w:bCs/>
                <w:color w:val="000000"/>
                <w:kern w:val="0"/>
                <w:sz w:val="22"/>
                <w:szCs w:val="22"/>
              </w:rPr>
            </w:pPr>
          </w:p>
        </w:tc>
        <w:tc>
          <w:tcPr>
            <w:tcW w:w="5476" w:type="dxa"/>
            <w:noWrap w:val="0"/>
            <w:vAlign w:val="center"/>
          </w:tcPr>
          <w:p>
            <w:pPr>
              <w:widowControl/>
              <w:spacing w:before="29" w:beforeLines="5" w:after="29" w:afterLines="5"/>
              <w:jc w:val="left"/>
              <w:rPr>
                <w:color w:val="000000"/>
                <w:kern w:val="0"/>
                <w:sz w:val="22"/>
                <w:szCs w:val="22"/>
              </w:rPr>
            </w:pPr>
            <w:r>
              <w:rPr>
                <w:color w:val="000000"/>
                <w:kern w:val="0"/>
                <w:sz w:val="22"/>
                <w:szCs w:val="22"/>
              </w:rPr>
              <w:t>建立健全医保管理组织，配备专(兼)职管理人员；有明确的岗位责任制。</w:t>
            </w:r>
          </w:p>
        </w:tc>
        <w:tc>
          <w:tcPr>
            <w:tcW w:w="4730" w:type="dxa"/>
            <w:noWrap w:val="0"/>
            <w:vAlign w:val="center"/>
          </w:tcPr>
          <w:p>
            <w:pPr>
              <w:widowControl/>
              <w:spacing w:before="29" w:beforeLines="5" w:after="29" w:afterLines="5"/>
              <w:jc w:val="left"/>
              <w:rPr>
                <w:color w:val="000000"/>
                <w:kern w:val="0"/>
                <w:sz w:val="22"/>
                <w:szCs w:val="22"/>
              </w:rPr>
            </w:pPr>
            <w:r>
              <w:rPr>
                <w:color w:val="000000"/>
                <w:kern w:val="0"/>
                <w:sz w:val="22"/>
                <w:szCs w:val="22"/>
              </w:rPr>
              <w:t>无专人负责扣2分；无岗位责任制扣2分。</w:t>
            </w:r>
          </w:p>
        </w:tc>
        <w:tc>
          <w:tcPr>
            <w:tcW w:w="871" w:type="dxa"/>
            <w:noWrap w:val="0"/>
            <w:vAlign w:val="center"/>
          </w:tcPr>
          <w:p>
            <w:pPr>
              <w:widowControl/>
              <w:spacing w:before="29" w:beforeLines="5" w:after="29" w:afterLines="5"/>
              <w:jc w:val="center"/>
              <w:rPr>
                <w:color w:val="000000"/>
                <w:kern w:val="0"/>
                <w:sz w:val="22"/>
                <w:szCs w:val="22"/>
              </w:rPr>
            </w:pPr>
            <w:r>
              <w:rPr>
                <w:color w:val="00000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3" w:type="dxa"/>
            <w:vMerge w:val="continue"/>
            <w:noWrap w:val="0"/>
            <w:vAlign w:val="center"/>
          </w:tcPr>
          <w:p>
            <w:pPr>
              <w:widowControl/>
              <w:spacing w:before="29" w:beforeLines="5" w:after="29" w:afterLines="5"/>
              <w:jc w:val="left"/>
              <w:rPr>
                <w:b/>
                <w:bCs/>
                <w:color w:val="000000"/>
                <w:kern w:val="0"/>
                <w:sz w:val="22"/>
                <w:szCs w:val="22"/>
              </w:rPr>
            </w:pPr>
          </w:p>
        </w:tc>
        <w:tc>
          <w:tcPr>
            <w:tcW w:w="5476" w:type="dxa"/>
            <w:noWrap w:val="0"/>
            <w:vAlign w:val="center"/>
          </w:tcPr>
          <w:p>
            <w:pPr>
              <w:widowControl/>
              <w:spacing w:before="29" w:beforeLines="5" w:after="29" w:afterLines="5"/>
              <w:jc w:val="left"/>
              <w:rPr>
                <w:color w:val="000000"/>
                <w:kern w:val="0"/>
                <w:sz w:val="22"/>
                <w:szCs w:val="22"/>
              </w:rPr>
            </w:pPr>
            <w:r>
              <w:rPr>
                <w:color w:val="000000"/>
                <w:kern w:val="0"/>
                <w:sz w:val="22"/>
                <w:szCs w:val="22"/>
              </w:rPr>
              <w:t>从事药品质量管理，处方调配药岗位的工作人员必须是执业药师或药师职称以上药学技术人员，并保证营业时间至少有1名药师在岗。</w:t>
            </w:r>
          </w:p>
        </w:tc>
        <w:tc>
          <w:tcPr>
            <w:tcW w:w="4730" w:type="dxa"/>
            <w:noWrap w:val="0"/>
            <w:vAlign w:val="center"/>
          </w:tcPr>
          <w:p>
            <w:pPr>
              <w:widowControl/>
              <w:spacing w:before="29" w:beforeLines="5" w:after="29" w:afterLines="5"/>
              <w:jc w:val="left"/>
              <w:rPr>
                <w:color w:val="000000"/>
                <w:kern w:val="0"/>
                <w:sz w:val="22"/>
                <w:szCs w:val="22"/>
              </w:rPr>
            </w:pPr>
            <w:r>
              <w:rPr>
                <w:color w:val="000000"/>
                <w:kern w:val="0"/>
                <w:sz w:val="22"/>
                <w:szCs w:val="22"/>
              </w:rPr>
              <w:t>无执业药师扣2分；营业时间不在岗扣1分。</w:t>
            </w:r>
          </w:p>
        </w:tc>
        <w:tc>
          <w:tcPr>
            <w:tcW w:w="871" w:type="dxa"/>
            <w:noWrap w:val="0"/>
            <w:vAlign w:val="center"/>
          </w:tcPr>
          <w:p>
            <w:pPr>
              <w:widowControl/>
              <w:spacing w:before="29" w:beforeLines="5" w:after="29" w:afterLines="5"/>
              <w:jc w:val="center"/>
              <w:rPr>
                <w:color w:val="000000"/>
                <w:kern w:val="0"/>
                <w:sz w:val="22"/>
                <w:szCs w:val="22"/>
              </w:rPr>
            </w:pPr>
            <w:r>
              <w:rPr>
                <w:color w:val="00000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3" w:type="dxa"/>
            <w:vMerge w:val="continue"/>
            <w:noWrap w:val="0"/>
            <w:vAlign w:val="center"/>
          </w:tcPr>
          <w:p>
            <w:pPr>
              <w:widowControl/>
              <w:spacing w:before="29" w:beforeLines="5" w:after="29" w:afterLines="5"/>
              <w:jc w:val="left"/>
              <w:rPr>
                <w:b/>
                <w:bCs/>
                <w:color w:val="000000"/>
                <w:kern w:val="0"/>
                <w:sz w:val="22"/>
                <w:szCs w:val="22"/>
              </w:rPr>
            </w:pPr>
          </w:p>
        </w:tc>
        <w:tc>
          <w:tcPr>
            <w:tcW w:w="5476" w:type="dxa"/>
            <w:noWrap w:val="0"/>
            <w:vAlign w:val="center"/>
          </w:tcPr>
          <w:p>
            <w:pPr>
              <w:widowControl/>
              <w:spacing w:before="29" w:beforeLines="5" w:after="29" w:afterLines="5"/>
              <w:jc w:val="left"/>
              <w:rPr>
                <w:color w:val="000000"/>
                <w:kern w:val="0"/>
                <w:sz w:val="22"/>
                <w:szCs w:val="22"/>
              </w:rPr>
            </w:pPr>
            <w:r>
              <w:rPr>
                <w:color w:val="000000"/>
                <w:kern w:val="0"/>
                <w:sz w:val="22"/>
                <w:szCs w:val="22"/>
              </w:rPr>
              <w:t>认真履行医保服务协议，法定代表人、营业地点、经营范围等基本资料变更应按规定进行备案登记。</w:t>
            </w:r>
          </w:p>
        </w:tc>
        <w:tc>
          <w:tcPr>
            <w:tcW w:w="4730" w:type="dxa"/>
            <w:noWrap w:val="0"/>
            <w:vAlign w:val="center"/>
          </w:tcPr>
          <w:p>
            <w:pPr>
              <w:widowControl/>
              <w:spacing w:before="29" w:beforeLines="5" w:after="29" w:afterLines="5"/>
              <w:jc w:val="left"/>
              <w:rPr>
                <w:color w:val="000000"/>
                <w:kern w:val="0"/>
                <w:sz w:val="22"/>
                <w:szCs w:val="22"/>
              </w:rPr>
            </w:pPr>
            <w:r>
              <w:rPr>
                <w:color w:val="000000"/>
                <w:kern w:val="0"/>
                <w:sz w:val="22"/>
                <w:szCs w:val="22"/>
              </w:rPr>
              <w:t>有一项做不到不得分。</w:t>
            </w:r>
          </w:p>
        </w:tc>
        <w:tc>
          <w:tcPr>
            <w:tcW w:w="871" w:type="dxa"/>
            <w:noWrap w:val="0"/>
            <w:vAlign w:val="center"/>
          </w:tcPr>
          <w:p>
            <w:pPr>
              <w:widowControl/>
              <w:spacing w:before="29" w:beforeLines="5" w:after="29" w:afterLines="5"/>
              <w:jc w:val="center"/>
              <w:rPr>
                <w:color w:val="000000"/>
                <w:kern w:val="0"/>
                <w:sz w:val="22"/>
                <w:szCs w:val="22"/>
              </w:rPr>
            </w:pPr>
            <w:r>
              <w:rPr>
                <w:color w:val="00000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3" w:type="dxa"/>
            <w:vMerge w:val="continue"/>
            <w:noWrap w:val="0"/>
            <w:vAlign w:val="center"/>
          </w:tcPr>
          <w:p>
            <w:pPr>
              <w:widowControl/>
              <w:spacing w:before="29" w:beforeLines="5" w:after="29" w:afterLines="5"/>
              <w:jc w:val="left"/>
              <w:rPr>
                <w:b/>
                <w:bCs/>
                <w:color w:val="000000"/>
                <w:kern w:val="0"/>
                <w:sz w:val="22"/>
                <w:szCs w:val="22"/>
              </w:rPr>
            </w:pPr>
          </w:p>
        </w:tc>
        <w:tc>
          <w:tcPr>
            <w:tcW w:w="5476" w:type="dxa"/>
            <w:noWrap w:val="0"/>
            <w:vAlign w:val="center"/>
          </w:tcPr>
          <w:p>
            <w:pPr>
              <w:widowControl/>
              <w:spacing w:before="29" w:beforeLines="5" w:after="29" w:afterLines="5"/>
              <w:jc w:val="left"/>
              <w:rPr>
                <w:color w:val="000000"/>
                <w:kern w:val="0"/>
                <w:sz w:val="22"/>
                <w:szCs w:val="22"/>
              </w:rPr>
            </w:pPr>
            <w:r>
              <w:rPr>
                <w:color w:val="000000"/>
                <w:kern w:val="0"/>
                <w:sz w:val="22"/>
                <w:szCs w:val="22"/>
              </w:rPr>
              <w:t>健全与医保管理相适应的内部管理制度并认真执行，包括：医保管理制度、网络安全和数据保护制度、财务制度、药品（医疗器械）管理制度等。</w:t>
            </w:r>
          </w:p>
        </w:tc>
        <w:tc>
          <w:tcPr>
            <w:tcW w:w="4730" w:type="dxa"/>
            <w:noWrap w:val="0"/>
            <w:vAlign w:val="center"/>
          </w:tcPr>
          <w:p>
            <w:pPr>
              <w:widowControl/>
              <w:spacing w:before="29" w:beforeLines="5" w:after="29" w:afterLines="5"/>
              <w:jc w:val="left"/>
              <w:rPr>
                <w:color w:val="000000"/>
                <w:kern w:val="0"/>
                <w:sz w:val="22"/>
                <w:szCs w:val="22"/>
              </w:rPr>
            </w:pPr>
            <w:r>
              <w:rPr>
                <w:color w:val="000000"/>
                <w:kern w:val="0"/>
                <w:sz w:val="22"/>
                <w:szCs w:val="22"/>
              </w:rPr>
              <w:t>有一项做不到扣2分，直至扣完。</w:t>
            </w:r>
          </w:p>
        </w:tc>
        <w:tc>
          <w:tcPr>
            <w:tcW w:w="871" w:type="dxa"/>
            <w:noWrap w:val="0"/>
            <w:vAlign w:val="center"/>
          </w:tcPr>
          <w:p>
            <w:pPr>
              <w:widowControl/>
              <w:spacing w:before="29" w:beforeLines="5" w:after="29" w:afterLines="5"/>
              <w:jc w:val="center"/>
              <w:rPr>
                <w:color w:val="000000"/>
                <w:kern w:val="0"/>
                <w:sz w:val="22"/>
                <w:szCs w:val="22"/>
              </w:rPr>
            </w:pPr>
            <w:r>
              <w:rPr>
                <w:color w:val="00000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3" w:type="dxa"/>
            <w:vMerge w:val="continue"/>
            <w:noWrap w:val="0"/>
            <w:vAlign w:val="center"/>
          </w:tcPr>
          <w:p>
            <w:pPr>
              <w:widowControl/>
              <w:spacing w:before="29" w:beforeLines="5" w:after="29" w:afterLines="5"/>
              <w:jc w:val="left"/>
              <w:rPr>
                <w:b/>
                <w:bCs/>
                <w:color w:val="000000"/>
                <w:kern w:val="0"/>
                <w:sz w:val="22"/>
                <w:szCs w:val="22"/>
              </w:rPr>
            </w:pPr>
          </w:p>
        </w:tc>
        <w:tc>
          <w:tcPr>
            <w:tcW w:w="5476" w:type="dxa"/>
            <w:noWrap w:val="0"/>
            <w:vAlign w:val="center"/>
          </w:tcPr>
          <w:p>
            <w:pPr>
              <w:widowControl/>
              <w:spacing w:before="29" w:beforeLines="5" w:after="29" w:afterLines="5"/>
              <w:jc w:val="left"/>
              <w:rPr>
                <w:kern w:val="0"/>
                <w:sz w:val="22"/>
                <w:szCs w:val="22"/>
              </w:rPr>
            </w:pPr>
            <w:r>
              <w:rPr>
                <w:kern w:val="0"/>
                <w:sz w:val="22"/>
                <w:szCs w:val="22"/>
              </w:rPr>
              <w:t>有药品、医疗器械“进、销、存”台账，做到账账相符、账实相符。</w:t>
            </w:r>
          </w:p>
        </w:tc>
        <w:tc>
          <w:tcPr>
            <w:tcW w:w="4730" w:type="dxa"/>
            <w:noWrap w:val="0"/>
            <w:vAlign w:val="center"/>
          </w:tcPr>
          <w:p>
            <w:pPr>
              <w:widowControl/>
              <w:spacing w:before="29" w:beforeLines="5" w:after="29" w:afterLines="5"/>
              <w:jc w:val="left"/>
              <w:rPr>
                <w:kern w:val="0"/>
                <w:sz w:val="22"/>
                <w:szCs w:val="22"/>
              </w:rPr>
            </w:pPr>
            <w:r>
              <w:rPr>
                <w:kern w:val="0"/>
                <w:sz w:val="22"/>
                <w:szCs w:val="22"/>
              </w:rPr>
              <w:t>做不到扣8分。</w:t>
            </w:r>
          </w:p>
        </w:tc>
        <w:tc>
          <w:tcPr>
            <w:tcW w:w="871" w:type="dxa"/>
            <w:noWrap w:val="0"/>
            <w:vAlign w:val="center"/>
          </w:tcPr>
          <w:p>
            <w:pPr>
              <w:widowControl/>
              <w:spacing w:before="29" w:beforeLines="5" w:after="29" w:afterLines="5"/>
              <w:jc w:val="center"/>
              <w:rPr>
                <w:color w:val="000000"/>
                <w:kern w:val="0"/>
                <w:sz w:val="22"/>
                <w:szCs w:val="22"/>
              </w:rPr>
            </w:pPr>
            <w:r>
              <w:rPr>
                <w:color w:val="00000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3" w:type="dxa"/>
            <w:vMerge w:val="continue"/>
            <w:noWrap w:val="0"/>
            <w:vAlign w:val="center"/>
          </w:tcPr>
          <w:p>
            <w:pPr>
              <w:widowControl/>
              <w:spacing w:before="29" w:beforeLines="5" w:after="29" w:afterLines="5"/>
              <w:jc w:val="left"/>
              <w:rPr>
                <w:b/>
                <w:bCs/>
                <w:color w:val="000000"/>
                <w:kern w:val="0"/>
                <w:sz w:val="22"/>
                <w:szCs w:val="22"/>
              </w:rPr>
            </w:pPr>
          </w:p>
        </w:tc>
        <w:tc>
          <w:tcPr>
            <w:tcW w:w="5476" w:type="dxa"/>
            <w:noWrap w:val="0"/>
            <w:vAlign w:val="center"/>
          </w:tcPr>
          <w:p>
            <w:pPr>
              <w:widowControl/>
              <w:spacing w:before="29" w:beforeLines="5" w:after="29" w:afterLines="5"/>
              <w:jc w:val="left"/>
              <w:rPr>
                <w:color w:val="000000"/>
                <w:kern w:val="0"/>
                <w:sz w:val="22"/>
                <w:szCs w:val="22"/>
              </w:rPr>
            </w:pPr>
            <w:r>
              <w:rPr>
                <w:color w:val="000000"/>
                <w:kern w:val="0"/>
                <w:sz w:val="22"/>
                <w:szCs w:val="22"/>
              </w:rPr>
              <w:t>公开向社会做出药品质量、价格、服务“三承诺”，应对所有药品实行明码标价。</w:t>
            </w:r>
          </w:p>
        </w:tc>
        <w:tc>
          <w:tcPr>
            <w:tcW w:w="4730" w:type="dxa"/>
            <w:noWrap w:val="0"/>
            <w:vAlign w:val="center"/>
          </w:tcPr>
          <w:p>
            <w:pPr>
              <w:widowControl/>
              <w:spacing w:before="29" w:beforeLines="5" w:after="29" w:afterLines="5"/>
              <w:jc w:val="left"/>
              <w:rPr>
                <w:color w:val="000000"/>
                <w:kern w:val="0"/>
                <w:sz w:val="22"/>
                <w:szCs w:val="22"/>
              </w:rPr>
            </w:pPr>
            <w:r>
              <w:rPr>
                <w:color w:val="000000"/>
                <w:kern w:val="0"/>
                <w:sz w:val="22"/>
                <w:szCs w:val="22"/>
              </w:rPr>
              <w:t>做不到扣5分。</w:t>
            </w:r>
          </w:p>
        </w:tc>
        <w:tc>
          <w:tcPr>
            <w:tcW w:w="871" w:type="dxa"/>
            <w:noWrap w:val="0"/>
            <w:vAlign w:val="center"/>
          </w:tcPr>
          <w:p>
            <w:pPr>
              <w:widowControl/>
              <w:spacing w:before="29" w:beforeLines="5" w:after="29" w:afterLines="5"/>
              <w:jc w:val="center"/>
              <w:rPr>
                <w:color w:val="000000"/>
                <w:kern w:val="0"/>
                <w:sz w:val="22"/>
                <w:szCs w:val="22"/>
              </w:rPr>
            </w:pPr>
            <w:r>
              <w:rPr>
                <w:color w:val="00000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3" w:type="dxa"/>
            <w:vMerge w:val="continue"/>
            <w:noWrap w:val="0"/>
            <w:vAlign w:val="center"/>
          </w:tcPr>
          <w:p>
            <w:pPr>
              <w:widowControl/>
              <w:spacing w:before="29" w:beforeLines="5" w:after="29" w:afterLines="5"/>
              <w:jc w:val="left"/>
              <w:rPr>
                <w:b/>
                <w:bCs/>
                <w:color w:val="000000"/>
                <w:kern w:val="0"/>
                <w:sz w:val="22"/>
                <w:szCs w:val="22"/>
              </w:rPr>
            </w:pPr>
          </w:p>
        </w:tc>
        <w:tc>
          <w:tcPr>
            <w:tcW w:w="5476" w:type="dxa"/>
            <w:noWrap w:val="0"/>
            <w:vAlign w:val="center"/>
          </w:tcPr>
          <w:p>
            <w:pPr>
              <w:widowControl/>
              <w:spacing w:before="29" w:beforeLines="5" w:after="29" w:afterLines="5"/>
              <w:jc w:val="left"/>
              <w:rPr>
                <w:color w:val="000000"/>
                <w:kern w:val="0"/>
                <w:sz w:val="22"/>
                <w:szCs w:val="22"/>
              </w:rPr>
            </w:pPr>
            <w:r>
              <w:rPr>
                <w:color w:val="000000"/>
                <w:kern w:val="0"/>
                <w:sz w:val="22"/>
                <w:szCs w:val="22"/>
              </w:rPr>
              <w:t>设置政策宣传栏、医保投诉箱以及医保咨询和监督电话；采取多种形式宣传医保政策，完成医保布置的信息系统改造、医保电子凭证推广等工作任务。</w:t>
            </w:r>
          </w:p>
        </w:tc>
        <w:tc>
          <w:tcPr>
            <w:tcW w:w="4730" w:type="dxa"/>
            <w:noWrap w:val="0"/>
            <w:vAlign w:val="center"/>
          </w:tcPr>
          <w:p>
            <w:pPr>
              <w:widowControl/>
              <w:spacing w:before="29" w:beforeLines="5" w:after="29" w:afterLines="5"/>
              <w:jc w:val="left"/>
              <w:rPr>
                <w:color w:val="000000"/>
                <w:kern w:val="0"/>
                <w:sz w:val="22"/>
                <w:szCs w:val="22"/>
              </w:rPr>
            </w:pPr>
            <w:r>
              <w:rPr>
                <w:color w:val="000000"/>
                <w:kern w:val="0"/>
                <w:sz w:val="22"/>
                <w:szCs w:val="22"/>
              </w:rPr>
              <w:t>无宣传栏扣1分；无投诉箱及咨询监督电话扣1分；未开展医保政策宣传扣1分。有一次未完成医保部门布置的工作任务扣2分，直至扣完。</w:t>
            </w:r>
          </w:p>
        </w:tc>
        <w:tc>
          <w:tcPr>
            <w:tcW w:w="871" w:type="dxa"/>
            <w:noWrap w:val="0"/>
            <w:vAlign w:val="center"/>
          </w:tcPr>
          <w:p>
            <w:pPr>
              <w:widowControl/>
              <w:spacing w:before="29" w:beforeLines="5" w:after="29" w:afterLines="5"/>
              <w:jc w:val="center"/>
              <w:rPr>
                <w:color w:val="000000"/>
                <w:kern w:val="0"/>
                <w:sz w:val="22"/>
                <w:szCs w:val="22"/>
              </w:rPr>
            </w:pPr>
            <w:r>
              <w:rPr>
                <w:color w:val="00000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623" w:type="dxa"/>
            <w:vMerge w:val="restart"/>
            <w:noWrap w:val="0"/>
            <w:vAlign w:val="center"/>
          </w:tcPr>
          <w:p>
            <w:pPr>
              <w:widowControl/>
              <w:jc w:val="center"/>
              <w:rPr>
                <w:bCs/>
                <w:color w:val="000000"/>
                <w:kern w:val="0"/>
                <w:sz w:val="22"/>
                <w:szCs w:val="22"/>
              </w:rPr>
            </w:pPr>
            <w:r>
              <w:rPr>
                <w:bCs/>
                <w:color w:val="000000"/>
                <w:kern w:val="0"/>
                <w:sz w:val="22"/>
                <w:szCs w:val="22"/>
              </w:rPr>
              <w:t>二、服务管理（45分）</w:t>
            </w:r>
          </w:p>
        </w:tc>
        <w:tc>
          <w:tcPr>
            <w:tcW w:w="5476" w:type="dxa"/>
            <w:noWrap w:val="0"/>
            <w:vAlign w:val="center"/>
          </w:tcPr>
          <w:p>
            <w:pPr>
              <w:widowControl/>
              <w:jc w:val="left"/>
              <w:rPr>
                <w:color w:val="000000"/>
                <w:kern w:val="0"/>
                <w:sz w:val="22"/>
                <w:szCs w:val="22"/>
              </w:rPr>
            </w:pPr>
            <w:r>
              <w:rPr>
                <w:color w:val="000000"/>
                <w:kern w:val="0"/>
                <w:sz w:val="22"/>
                <w:szCs w:val="22"/>
              </w:rPr>
              <w:t>严把药品进货关，无假冒、伪劣、过期、失效的药品。</w:t>
            </w:r>
          </w:p>
        </w:tc>
        <w:tc>
          <w:tcPr>
            <w:tcW w:w="4730" w:type="dxa"/>
            <w:noWrap w:val="0"/>
            <w:vAlign w:val="center"/>
          </w:tcPr>
          <w:p>
            <w:pPr>
              <w:widowControl/>
              <w:jc w:val="left"/>
              <w:rPr>
                <w:color w:val="000000"/>
                <w:kern w:val="0"/>
                <w:sz w:val="22"/>
                <w:szCs w:val="22"/>
              </w:rPr>
            </w:pPr>
            <w:r>
              <w:rPr>
                <w:color w:val="000000"/>
                <w:kern w:val="0"/>
                <w:sz w:val="22"/>
                <w:szCs w:val="22"/>
              </w:rPr>
              <w:t>违规一次扣3分。</w:t>
            </w:r>
          </w:p>
        </w:tc>
        <w:tc>
          <w:tcPr>
            <w:tcW w:w="871" w:type="dxa"/>
            <w:noWrap w:val="0"/>
            <w:vAlign w:val="center"/>
          </w:tcPr>
          <w:p>
            <w:pPr>
              <w:widowControl/>
              <w:jc w:val="center"/>
              <w:rPr>
                <w:color w:val="000000"/>
                <w:kern w:val="0"/>
                <w:sz w:val="22"/>
                <w:szCs w:val="22"/>
              </w:rPr>
            </w:pPr>
            <w:r>
              <w:rPr>
                <w:color w:val="00000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2623" w:type="dxa"/>
            <w:vMerge w:val="continue"/>
            <w:noWrap w:val="0"/>
            <w:vAlign w:val="center"/>
          </w:tcPr>
          <w:p>
            <w:pPr>
              <w:widowControl/>
              <w:jc w:val="left"/>
              <w:rPr>
                <w:b/>
                <w:bCs/>
                <w:color w:val="000000"/>
                <w:kern w:val="0"/>
                <w:sz w:val="22"/>
                <w:szCs w:val="22"/>
              </w:rPr>
            </w:pPr>
          </w:p>
        </w:tc>
        <w:tc>
          <w:tcPr>
            <w:tcW w:w="5476" w:type="dxa"/>
            <w:noWrap w:val="0"/>
            <w:vAlign w:val="center"/>
          </w:tcPr>
          <w:p>
            <w:pPr>
              <w:widowControl/>
              <w:jc w:val="left"/>
              <w:rPr>
                <w:kern w:val="0"/>
                <w:sz w:val="22"/>
                <w:szCs w:val="22"/>
              </w:rPr>
            </w:pPr>
            <w:r>
              <w:rPr>
                <w:rFonts w:hint="eastAsia"/>
                <w:kern w:val="0"/>
                <w:sz w:val="22"/>
                <w:szCs w:val="22"/>
              </w:rPr>
              <w:t>未按规定凭处方销售处方药，出售明显不符合治疗方案的药品或超出处方用量售药</w:t>
            </w:r>
            <w:r>
              <w:rPr>
                <w:kern w:val="0"/>
                <w:sz w:val="22"/>
                <w:szCs w:val="22"/>
              </w:rPr>
              <w:t>。</w:t>
            </w:r>
            <w:r>
              <w:rPr>
                <w:rFonts w:hint="eastAsia"/>
                <w:kern w:val="0"/>
                <w:sz w:val="22"/>
                <w:szCs w:val="22"/>
              </w:rPr>
              <w:t>在处方通过平台流转前，</w:t>
            </w:r>
            <w:r>
              <w:rPr>
                <w:kern w:val="0"/>
                <w:sz w:val="22"/>
                <w:szCs w:val="22"/>
              </w:rPr>
              <w:t>未认真核查纸质处方，</w:t>
            </w:r>
            <w:r>
              <w:rPr>
                <w:rFonts w:hint="eastAsia"/>
                <w:kern w:val="0"/>
                <w:sz w:val="22"/>
                <w:szCs w:val="22"/>
              </w:rPr>
              <w:t>处方</w:t>
            </w:r>
            <w:r>
              <w:rPr>
                <w:kern w:val="0"/>
                <w:sz w:val="22"/>
                <w:szCs w:val="22"/>
              </w:rPr>
              <w:t>有涂改等违规情形</w:t>
            </w:r>
            <w:r>
              <w:rPr>
                <w:rFonts w:hint="eastAsia"/>
                <w:kern w:val="0"/>
                <w:sz w:val="22"/>
                <w:szCs w:val="22"/>
              </w:rPr>
              <w:t>的。</w:t>
            </w:r>
          </w:p>
        </w:tc>
        <w:tc>
          <w:tcPr>
            <w:tcW w:w="4730" w:type="dxa"/>
            <w:noWrap w:val="0"/>
            <w:vAlign w:val="center"/>
          </w:tcPr>
          <w:p>
            <w:pPr>
              <w:widowControl/>
              <w:jc w:val="left"/>
              <w:rPr>
                <w:kern w:val="0"/>
                <w:sz w:val="22"/>
                <w:szCs w:val="22"/>
              </w:rPr>
            </w:pPr>
            <w:r>
              <w:rPr>
                <w:rFonts w:hint="eastAsia"/>
                <w:kern w:val="0"/>
                <w:sz w:val="22"/>
                <w:szCs w:val="22"/>
              </w:rPr>
              <w:t>门诊统筹、双通道协议定点药店</w:t>
            </w:r>
            <w:r>
              <w:rPr>
                <w:kern w:val="0"/>
                <w:sz w:val="22"/>
                <w:szCs w:val="22"/>
              </w:rPr>
              <w:t>违规一次扣4分。</w:t>
            </w:r>
          </w:p>
        </w:tc>
        <w:tc>
          <w:tcPr>
            <w:tcW w:w="871" w:type="dxa"/>
            <w:noWrap w:val="0"/>
            <w:vAlign w:val="center"/>
          </w:tcPr>
          <w:p>
            <w:pPr>
              <w:widowControl/>
              <w:jc w:val="center"/>
              <w:rPr>
                <w:kern w:val="0"/>
                <w:sz w:val="22"/>
                <w:szCs w:val="22"/>
              </w:rPr>
            </w:pPr>
            <w:r>
              <w:rPr>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2623" w:type="dxa"/>
            <w:vMerge w:val="continue"/>
            <w:noWrap w:val="0"/>
            <w:vAlign w:val="center"/>
          </w:tcPr>
          <w:p>
            <w:pPr>
              <w:widowControl/>
              <w:jc w:val="left"/>
              <w:rPr>
                <w:b/>
                <w:bCs/>
                <w:color w:val="000000"/>
                <w:kern w:val="0"/>
                <w:sz w:val="22"/>
                <w:szCs w:val="22"/>
              </w:rPr>
            </w:pPr>
          </w:p>
        </w:tc>
        <w:tc>
          <w:tcPr>
            <w:tcW w:w="5476" w:type="dxa"/>
            <w:noWrap w:val="0"/>
            <w:vAlign w:val="center"/>
          </w:tcPr>
          <w:p>
            <w:pPr>
              <w:widowControl/>
              <w:jc w:val="left"/>
              <w:rPr>
                <w:kern w:val="0"/>
                <w:sz w:val="22"/>
                <w:szCs w:val="22"/>
              </w:rPr>
            </w:pPr>
            <w:r>
              <w:rPr>
                <w:rFonts w:hint="eastAsia"/>
                <w:kern w:val="0"/>
                <w:sz w:val="22"/>
                <w:szCs w:val="22"/>
              </w:rPr>
              <w:t>核对参保人员有效身份凭证、《合肥市基本医疗保险谈判药品使用申请表》或《合肥市基本医疗保险谈判药品使用评估表》、处方。</w:t>
            </w:r>
          </w:p>
        </w:tc>
        <w:tc>
          <w:tcPr>
            <w:tcW w:w="4730" w:type="dxa"/>
            <w:noWrap w:val="0"/>
            <w:vAlign w:val="center"/>
          </w:tcPr>
          <w:p>
            <w:pPr>
              <w:widowControl/>
              <w:jc w:val="left"/>
              <w:rPr>
                <w:kern w:val="0"/>
                <w:sz w:val="22"/>
                <w:szCs w:val="22"/>
              </w:rPr>
            </w:pPr>
            <w:r>
              <w:rPr>
                <w:kern w:val="0"/>
                <w:sz w:val="22"/>
                <w:szCs w:val="22"/>
              </w:rPr>
              <w:t>未核对参保人员相关</w:t>
            </w:r>
            <w:r>
              <w:rPr>
                <w:rFonts w:hint="eastAsia"/>
                <w:kern w:val="0"/>
                <w:sz w:val="22"/>
                <w:szCs w:val="22"/>
              </w:rPr>
              <w:t>身份凭证</w:t>
            </w:r>
            <w:r>
              <w:rPr>
                <w:kern w:val="0"/>
                <w:sz w:val="22"/>
                <w:szCs w:val="22"/>
              </w:rPr>
              <w:t>，未验证参保人员购药信息</w:t>
            </w:r>
            <w:r>
              <w:rPr>
                <w:rFonts w:hint="eastAsia"/>
                <w:kern w:val="0"/>
                <w:sz w:val="22"/>
                <w:szCs w:val="22"/>
              </w:rPr>
              <w:t>发现一例</w:t>
            </w:r>
            <w:r>
              <w:rPr>
                <w:kern w:val="0"/>
                <w:sz w:val="22"/>
                <w:szCs w:val="22"/>
              </w:rPr>
              <w:t>扣</w:t>
            </w:r>
            <w:r>
              <w:rPr>
                <w:rFonts w:hint="eastAsia"/>
                <w:kern w:val="0"/>
                <w:sz w:val="22"/>
                <w:szCs w:val="22"/>
              </w:rPr>
              <w:t>2</w:t>
            </w:r>
            <w:r>
              <w:rPr>
                <w:kern w:val="0"/>
                <w:sz w:val="22"/>
                <w:szCs w:val="22"/>
              </w:rPr>
              <w:t>分</w:t>
            </w:r>
            <w:r>
              <w:rPr>
                <w:rFonts w:hint="eastAsia"/>
                <w:kern w:val="0"/>
                <w:sz w:val="22"/>
                <w:szCs w:val="22"/>
              </w:rPr>
              <w:t>，直至扣完</w:t>
            </w:r>
            <w:r>
              <w:rPr>
                <w:kern w:val="0"/>
                <w:sz w:val="22"/>
                <w:szCs w:val="22"/>
              </w:rPr>
              <w:t>。</w:t>
            </w:r>
          </w:p>
        </w:tc>
        <w:tc>
          <w:tcPr>
            <w:tcW w:w="871" w:type="dxa"/>
            <w:noWrap w:val="0"/>
            <w:vAlign w:val="center"/>
          </w:tcPr>
          <w:p>
            <w:pPr>
              <w:widowControl/>
              <w:jc w:val="center"/>
              <w:rPr>
                <w:kern w:val="0"/>
                <w:sz w:val="22"/>
                <w:szCs w:val="22"/>
              </w:rPr>
            </w:pPr>
            <w:r>
              <w:rPr>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2623" w:type="dxa"/>
            <w:vMerge w:val="continue"/>
            <w:noWrap w:val="0"/>
            <w:vAlign w:val="center"/>
          </w:tcPr>
          <w:p>
            <w:pPr>
              <w:widowControl/>
              <w:jc w:val="left"/>
              <w:rPr>
                <w:b/>
                <w:bCs/>
                <w:color w:val="000000"/>
                <w:kern w:val="0"/>
                <w:sz w:val="22"/>
                <w:szCs w:val="22"/>
              </w:rPr>
            </w:pPr>
          </w:p>
        </w:tc>
        <w:tc>
          <w:tcPr>
            <w:tcW w:w="5476" w:type="dxa"/>
            <w:noWrap w:val="0"/>
            <w:vAlign w:val="center"/>
          </w:tcPr>
          <w:p>
            <w:pPr>
              <w:widowControl/>
              <w:jc w:val="left"/>
              <w:rPr>
                <w:kern w:val="0"/>
                <w:sz w:val="22"/>
                <w:szCs w:val="22"/>
              </w:rPr>
            </w:pPr>
            <w:r>
              <w:rPr>
                <w:rFonts w:hint="eastAsia"/>
                <w:kern w:val="0"/>
                <w:sz w:val="22"/>
                <w:szCs w:val="22"/>
              </w:rPr>
              <w:t>建立健全普通门诊、门诊慢特病电子档案或纸质档案。</w:t>
            </w:r>
            <w:r>
              <w:rPr>
                <w:kern w:val="0"/>
                <w:sz w:val="22"/>
                <w:szCs w:val="22"/>
              </w:rPr>
              <w:t>为购买谈判药品的参保人员建立《谈判药品使用档案》，做好谈判药处方归档。</w:t>
            </w:r>
          </w:p>
        </w:tc>
        <w:tc>
          <w:tcPr>
            <w:tcW w:w="4730" w:type="dxa"/>
            <w:noWrap w:val="0"/>
            <w:vAlign w:val="center"/>
          </w:tcPr>
          <w:p>
            <w:pPr>
              <w:widowControl/>
              <w:jc w:val="left"/>
              <w:rPr>
                <w:kern w:val="0"/>
                <w:sz w:val="22"/>
                <w:szCs w:val="22"/>
              </w:rPr>
            </w:pPr>
            <w:r>
              <w:rPr>
                <w:rFonts w:hint="eastAsia"/>
                <w:kern w:val="0"/>
                <w:sz w:val="22"/>
                <w:szCs w:val="22"/>
              </w:rPr>
              <w:t>无外配处方、购药清单（小票）、购药发票、代购（领）情况登记表扣4分。</w:t>
            </w:r>
            <w:r>
              <w:rPr>
                <w:kern w:val="0"/>
                <w:sz w:val="22"/>
                <w:szCs w:val="22"/>
              </w:rPr>
              <w:t>双通道协议药店未建立《谈判药品使用档案》扣</w:t>
            </w:r>
            <w:r>
              <w:rPr>
                <w:rFonts w:hint="eastAsia"/>
                <w:kern w:val="0"/>
                <w:sz w:val="22"/>
                <w:szCs w:val="22"/>
              </w:rPr>
              <w:t>1</w:t>
            </w:r>
            <w:r>
              <w:rPr>
                <w:kern w:val="0"/>
                <w:sz w:val="22"/>
                <w:szCs w:val="22"/>
              </w:rPr>
              <w:t>分，发现1人处方未归档扣</w:t>
            </w:r>
            <w:r>
              <w:rPr>
                <w:rFonts w:hint="eastAsia"/>
                <w:kern w:val="0"/>
                <w:sz w:val="22"/>
                <w:szCs w:val="22"/>
              </w:rPr>
              <w:t>1</w:t>
            </w:r>
            <w:r>
              <w:rPr>
                <w:kern w:val="0"/>
                <w:sz w:val="22"/>
                <w:szCs w:val="22"/>
              </w:rPr>
              <w:t>分。</w:t>
            </w:r>
          </w:p>
        </w:tc>
        <w:tc>
          <w:tcPr>
            <w:tcW w:w="871" w:type="dxa"/>
            <w:noWrap w:val="0"/>
            <w:vAlign w:val="center"/>
          </w:tcPr>
          <w:p>
            <w:pPr>
              <w:widowControl/>
              <w:jc w:val="center"/>
              <w:rPr>
                <w:kern w:val="0"/>
                <w:sz w:val="22"/>
                <w:szCs w:val="22"/>
              </w:rPr>
            </w:pPr>
            <w:r>
              <w:rPr>
                <w:rFonts w:hint="eastAsia"/>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623" w:type="dxa"/>
            <w:vMerge w:val="continue"/>
            <w:noWrap w:val="0"/>
            <w:vAlign w:val="center"/>
          </w:tcPr>
          <w:p>
            <w:pPr>
              <w:widowControl/>
              <w:jc w:val="left"/>
              <w:rPr>
                <w:b/>
                <w:bCs/>
                <w:color w:val="000000"/>
                <w:kern w:val="0"/>
                <w:sz w:val="22"/>
                <w:szCs w:val="22"/>
              </w:rPr>
            </w:pPr>
          </w:p>
        </w:tc>
        <w:tc>
          <w:tcPr>
            <w:tcW w:w="5476" w:type="dxa"/>
            <w:noWrap w:val="0"/>
            <w:vAlign w:val="center"/>
          </w:tcPr>
          <w:p>
            <w:pPr>
              <w:widowControl/>
              <w:jc w:val="left"/>
              <w:rPr>
                <w:kern w:val="0"/>
                <w:sz w:val="22"/>
                <w:szCs w:val="22"/>
              </w:rPr>
            </w:pPr>
            <w:r>
              <w:rPr>
                <w:kern w:val="0"/>
                <w:sz w:val="22"/>
                <w:szCs w:val="22"/>
              </w:rPr>
              <w:t>外配处方要有执业药师或药师职称以上的药学技术人员审核、签字、配药。</w:t>
            </w:r>
          </w:p>
        </w:tc>
        <w:tc>
          <w:tcPr>
            <w:tcW w:w="4730" w:type="dxa"/>
            <w:noWrap w:val="0"/>
            <w:vAlign w:val="center"/>
          </w:tcPr>
          <w:p>
            <w:pPr>
              <w:widowControl/>
              <w:jc w:val="left"/>
              <w:rPr>
                <w:kern w:val="0"/>
                <w:sz w:val="22"/>
                <w:szCs w:val="22"/>
              </w:rPr>
            </w:pPr>
            <w:r>
              <w:rPr>
                <w:kern w:val="0"/>
                <w:sz w:val="22"/>
                <w:szCs w:val="22"/>
              </w:rPr>
              <w:t>外配处方未审核、未签字发现一次扣2分，直至扣完。</w:t>
            </w:r>
          </w:p>
        </w:tc>
        <w:tc>
          <w:tcPr>
            <w:tcW w:w="871" w:type="dxa"/>
            <w:noWrap w:val="0"/>
            <w:vAlign w:val="center"/>
          </w:tcPr>
          <w:p>
            <w:pPr>
              <w:widowControl/>
              <w:jc w:val="center"/>
              <w:rPr>
                <w:kern w:val="0"/>
                <w:sz w:val="22"/>
                <w:szCs w:val="22"/>
              </w:rPr>
            </w:pPr>
            <w:r>
              <w:rPr>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2623" w:type="dxa"/>
            <w:vMerge w:val="continue"/>
            <w:noWrap w:val="0"/>
            <w:vAlign w:val="center"/>
          </w:tcPr>
          <w:p>
            <w:pPr>
              <w:widowControl/>
              <w:jc w:val="left"/>
              <w:rPr>
                <w:b/>
                <w:bCs/>
                <w:color w:val="000000"/>
                <w:kern w:val="0"/>
                <w:sz w:val="22"/>
                <w:szCs w:val="22"/>
              </w:rPr>
            </w:pPr>
          </w:p>
        </w:tc>
        <w:tc>
          <w:tcPr>
            <w:tcW w:w="5476" w:type="dxa"/>
            <w:noWrap w:val="0"/>
            <w:vAlign w:val="center"/>
          </w:tcPr>
          <w:p>
            <w:pPr>
              <w:widowControl/>
              <w:jc w:val="left"/>
              <w:rPr>
                <w:kern w:val="0"/>
                <w:sz w:val="22"/>
                <w:szCs w:val="22"/>
              </w:rPr>
            </w:pPr>
            <w:r>
              <w:rPr>
                <w:kern w:val="0"/>
                <w:sz w:val="22"/>
                <w:szCs w:val="22"/>
              </w:rPr>
              <w:t>药品应按规定分类摆放，并有明显标识，处方药、非处方药须分柜摆放。谈判药品设专区（柜）。</w:t>
            </w:r>
          </w:p>
        </w:tc>
        <w:tc>
          <w:tcPr>
            <w:tcW w:w="4730" w:type="dxa"/>
            <w:noWrap w:val="0"/>
            <w:vAlign w:val="center"/>
          </w:tcPr>
          <w:p>
            <w:pPr>
              <w:widowControl/>
              <w:jc w:val="left"/>
              <w:rPr>
                <w:kern w:val="0"/>
                <w:sz w:val="22"/>
                <w:szCs w:val="22"/>
              </w:rPr>
            </w:pPr>
            <w:r>
              <w:rPr>
                <w:kern w:val="0"/>
                <w:sz w:val="22"/>
                <w:szCs w:val="22"/>
              </w:rPr>
              <w:t>药品未分类摆放扣1分，无标识扣1分，处方药、非处方药未分柜摆放扣1分，谈判药品未设专区（柜）扣1分。</w:t>
            </w:r>
          </w:p>
        </w:tc>
        <w:tc>
          <w:tcPr>
            <w:tcW w:w="871" w:type="dxa"/>
            <w:noWrap w:val="0"/>
            <w:vAlign w:val="center"/>
          </w:tcPr>
          <w:p>
            <w:pPr>
              <w:widowControl/>
              <w:jc w:val="center"/>
              <w:rPr>
                <w:kern w:val="0"/>
                <w:sz w:val="22"/>
                <w:szCs w:val="22"/>
              </w:rPr>
            </w:pPr>
            <w:r>
              <w:rPr>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623" w:type="dxa"/>
            <w:vMerge w:val="continue"/>
            <w:noWrap w:val="0"/>
            <w:vAlign w:val="center"/>
          </w:tcPr>
          <w:p>
            <w:pPr>
              <w:widowControl/>
              <w:jc w:val="left"/>
              <w:rPr>
                <w:b/>
                <w:bCs/>
                <w:color w:val="000000"/>
                <w:kern w:val="0"/>
                <w:sz w:val="22"/>
                <w:szCs w:val="22"/>
              </w:rPr>
            </w:pPr>
          </w:p>
        </w:tc>
        <w:tc>
          <w:tcPr>
            <w:tcW w:w="5476" w:type="dxa"/>
            <w:noWrap/>
            <w:vAlign w:val="center"/>
          </w:tcPr>
          <w:p>
            <w:pPr>
              <w:widowControl/>
              <w:rPr>
                <w:color w:val="000000"/>
                <w:kern w:val="0"/>
                <w:sz w:val="22"/>
                <w:szCs w:val="22"/>
              </w:rPr>
            </w:pPr>
            <w:r>
              <w:rPr>
                <w:color w:val="000000"/>
                <w:kern w:val="0"/>
                <w:sz w:val="22"/>
                <w:szCs w:val="22"/>
              </w:rPr>
              <w:t>留存参保人员医保卡；提供个人账户套现。</w:t>
            </w:r>
          </w:p>
        </w:tc>
        <w:tc>
          <w:tcPr>
            <w:tcW w:w="4730" w:type="dxa"/>
            <w:noWrap w:val="0"/>
            <w:vAlign w:val="center"/>
          </w:tcPr>
          <w:p>
            <w:pPr>
              <w:widowControl/>
              <w:jc w:val="left"/>
              <w:rPr>
                <w:color w:val="000000"/>
                <w:kern w:val="0"/>
                <w:sz w:val="22"/>
                <w:szCs w:val="22"/>
              </w:rPr>
            </w:pPr>
            <w:r>
              <w:rPr>
                <w:color w:val="000000"/>
                <w:kern w:val="0"/>
                <w:sz w:val="22"/>
                <w:szCs w:val="22"/>
              </w:rPr>
              <w:t>发现一次扣10分。</w:t>
            </w:r>
          </w:p>
        </w:tc>
        <w:tc>
          <w:tcPr>
            <w:tcW w:w="871" w:type="dxa"/>
            <w:noWrap w:val="0"/>
            <w:vAlign w:val="center"/>
          </w:tcPr>
          <w:p>
            <w:pPr>
              <w:widowControl/>
              <w:jc w:val="center"/>
              <w:rPr>
                <w:color w:val="000000"/>
                <w:kern w:val="0"/>
                <w:sz w:val="22"/>
                <w:szCs w:val="22"/>
              </w:rPr>
            </w:pPr>
            <w:r>
              <w:rPr>
                <w:color w:val="00000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2623" w:type="dxa"/>
            <w:vMerge w:val="continue"/>
            <w:noWrap w:val="0"/>
            <w:vAlign w:val="center"/>
          </w:tcPr>
          <w:p>
            <w:pPr>
              <w:widowControl/>
              <w:jc w:val="left"/>
              <w:rPr>
                <w:b/>
                <w:bCs/>
                <w:color w:val="000000"/>
                <w:kern w:val="0"/>
                <w:sz w:val="22"/>
                <w:szCs w:val="22"/>
              </w:rPr>
            </w:pPr>
          </w:p>
        </w:tc>
        <w:tc>
          <w:tcPr>
            <w:tcW w:w="5476" w:type="dxa"/>
            <w:noWrap w:val="0"/>
            <w:vAlign w:val="center"/>
          </w:tcPr>
          <w:p>
            <w:pPr>
              <w:widowControl/>
              <w:jc w:val="left"/>
              <w:rPr>
                <w:color w:val="000000"/>
                <w:kern w:val="0"/>
                <w:sz w:val="22"/>
                <w:szCs w:val="22"/>
              </w:rPr>
            </w:pPr>
            <w:r>
              <w:rPr>
                <w:color w:val="000000"/>
                <w:kern w:val="0"/>
                <w:sz w:val="22"/>
                <w:szCs w:val="22"/>
              </w:rPr>
              <w:t>串换药品（医用材料、器械）或将药品（医用材料、器械）以外的其他物品纳入医保费用结算。销售药品与上传信息不一致，拼凑上传数据。</w:t>
            </w:r>
          </w:p>
        </w:tc>
        <w:tc>
          <w:tcPr>
            <w:tcW w:w="4730" w:type="dxa"/>
            <w:noWrap w:val="0"/>
            <w:vAlign w:val="center"/>
          </w:tcPr>
          <w:p>
            <w:pPr>
              <w:widowControl/>
              <w:jc w:val="left"/>
              <w:rPr>
                <w:color w:val="000000"/>
                <w:kern w:val="0"/>
                <w:sz w:val="22"/>
                <w:szCs w:val="22"/>
              </w:rPr>
            </w:pPr>
            <w:r>
              <w:rPr>
                <w:color w:val="000000"/>
                <w:kern w:val="0"/>
                <w:sz w:val="22"/>
                <w:szCs w:val="22"/>
              </w:rPr>
              <w:t>串换一次扣</w:t>
            </w:r>
            <w:r>
              <w:rPr>
                <w:rFonts w:hint="eastAsia"/>
                <w:color w:val="000000"/>
                <w:kern w:val="0"/>
                <w:sz w:val="22"/>
                <w:szCs w:val="22"/>
              </w:rPr>
              <w:t>8</w:t>
            </w:r>
            <w:r>
              <w:rPr>
                <w:color w:val="000000"/>
                <w:kern w:val="0"/>
                <w:sz w:val="22"/>
                <w:szCs w:val="22"/>
              </w:rPr>
              <w:t>分，拼凑上传数据扣2分。</w:t>
            </w:r>
          </w:p>
        </w:tc>
        <w:tc>
          <w:tcPr>
            <w:tcW w:w="871" w:type="dxa"/>
            <w:noWrap w:val="0"/>
            <w:vAlign w:val="center"/>
          </w:tcPr>
          <w:p>
            <w:pPr>
              <w:widowControl/>
              <w:jc w:val="center"/>
              <w:rPr>
                <w:rFonts w:hint="eastAsia"/>
                <w:color w:val="000000"/>
                <w:kern w:val="0"/>
                <w:sz w:val="22"/>
                <w:szCs w:val="22"/>
              </w:rPr>
            </w:pPr>
            <w:r>
              <w:rPr>
                <w:color w:val="000000"/>
                <w:kern w:val="0"/>
                <w:sz w:val="22"/>
                <w:szCs w:val="22"/>
              </w:rPr>
              <w:t>1</w:t>
            </w:r>
            <w:r>
              <w:rPr>
                <w:rFonts w:hint="eastAsia"/>
                <w:color w:val="000000"/>
                <w:kern w:val="0"/>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2623" w:type="dxa"/>
            <w:vMerge w:val="restart"/>
            <w:shd w:val="clear" w:color="auto" w:fill="auto"/>
            <w:noWrap w:val="0"/>
            <w:vAlign w:val="center"/>
          </w:tcPr>
          <w:p>
            <w:pPr>
              <w:widowControl/>
              <w:jc w:val="center"/>
              <w:rPr>
                <w:bCs/>
                <w:color w:val="000000"/>
                <w:kern w:val="0"/>
                <w:sz w:val="22"/>
                <w:szCs w:val="22"/>
              </w:rPr>
            </w:pPr>
            <w:r>
              <w:rPr>
                <w:rFonts w:hint="eastAsia"/>
                <w:bCs/>
                <w:color w:val="000000"/>
                <w:kern w:val="0"/>
                <w:sz w:val="22"/>
                <w:szCs w:val="22"/>
              </w:rPr>
              <w:t>三、</w:t>
            </w:r>
            <w:r>
              <w:rPr>
                <w:bCs/>
                <w:color w:val="000000"/>
                <w:kern w:val="0"/>
                <w:sz w:val="22"/>
                <w:szCs w:val="22"/>
              </w:rPr>
              <w:t>医药行为管理（15分）</w:t>
            </w:r>
          </w:p>
        </w:tc>
        <w:tc>
          <w:tcPr>
            <w:tcW w:w="5476" w:type="dxa"/>
            <w:shd w:val="clear" w:color="auto" w:fill="auto"/>
            <w:noWrap w:val="0"/>
            <w:vAlign w:val="center"/>
          </w:tcPr>
          <w:p>
            <w:pPr>
              <w:widowControl/>
              <w:jc w:val="left"/>
              <w:rPr>
                <w:color w:val="000000"/>
                <w:kern w:val="0"/>
                <w:sz w:val="22"/>
                <w:szCs w:val="22"/>
              </w:rPr>
            </w:pPr>
            <w:r>
              <w:rPr>
                <w:color w:val="000000"/>
                <w:kern w:val="0"/>
                <w:sz w:val="22"/>
                <w:szCs w:val="22"/>
              </w:rPr>
              <w:t>被医保部门约谈、限期整改的。</w:t>
            </w:r>
          </w:p>
        </w:tc>
        <w:tc>
          <w:tcPr>
            <w:tcW w:w="4730" w:type="dxa"/>
            <w:shd w:val="clear" w:color="auto" w:fill="auto"/>
            <w:noWrap w:val="0"/>
            <w:vAlign w:val="center"/>
          </w:tcPr>
          <w:p>
            <w:pPr>
              <w:widowControl/>
              <w:jc w:val="left"/>
              <w:rPr>
                <w:color w:val="000000"/>
                <w:kern w:val="0"/>
                <w:sz w:val="22"/>
                <w:szCs w:val="22"/>
              </w:rPr>
            </w:pPr>
            <w:r>
              <w:rPr>
                <w:color w:val="000000"/>
                <w:kern w:val="0"/>
                <w:sz w:val="22"/>
                <w:szCs w:val="22"/>
              </w:rPr>
              <w:t>约谈1次扣1分，约谈2次不得分；责令整改1次扣1分、限期未整改到位扣1分、年度责令整改2次不得分。</w:t>
            </w:r>
          </w:p>
        </w:tc>
        <w:tc>
          <w:tcPr>
            <w:tcW w:w="871" w:type="dxa"/>
            <w:shd w:val="clear" w:color="000000" w:fill="auto"/>
            <w:noWrap w:val="0"/>
            <w:vAlign w:val="center"/>
          </w:tcPr>
          <w:p>
            <w:pPr>
              <w:widowControl/>
              <w:jc w:val="center"/>
              <w:rPr>
                <w:color w:val="000000"/>
                <w:kern w:val="0"/>
                <w:sz w:val="22"/>
                <w:szCs w:val="22"/>
              </w:rPr>
            </w:pPr>
            <w:r>
              <w:rPr>
                <w:color w:val="00000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623" w:type="dxa"/>
            <w:vMerge w:val="continue"/>
            <w:shd w:val="clear" w:color="auto" w:fill="auto"/>
            <w:noWrap w:val="0"/>
            <w:vAlign w:val="center"/>
          </w:tcPr>
          <w:p>
            <w:pPr>
              <w:widowControl/>
              <w:jc w:val="left"/>
              <w:rPr>
                <w:b/>
                <w:bCs/>
                <w:color w:val="000000"/>
                <w:kern w:val="0"/>
                <w:sz w:val="22"/>
                <w:szCs w:val="22"/>
              </w:rPr>
            </w:pPr>
          </w:p>
        </w:tc>
        <w:tc>
          <w:tcPr>
            <w:tcW w:w="5476" w:type="dxa"/>
            <w:shd w:val="clear" w:color="auto" w:fill="auto"/>
            <w:noWrap w:val="0"/>
            <w:vAlign w:val="center"/>
          </w:tcPr>
          <w:p>
            <w:pPr>
              <w:widowControl/>
              <w:jc w:val="left"/>
              <w:rPr>
                <w:color w:val="000000"/>
                <w:kern w:val="0"/>
                <w:sz w:val="22"/>
                <w:szCs w:val="22"/>
              </w:rPr>
            </w:pPr>
            <w:r>
              <w:rPr>
                <w:color w:val="000000"/>
                <w:kern w:val="0"/>
                <w:sz w:val="22"/>
                <w:szCs w:val="22"/>
              </w:rPr>
              <w:t>被举报投诉存在违规行为并查实的。</w:t>
            </w:r>
          </w:p>
        </w:tc>
        <w:tc>
          <w:tcPr>
            <w:tcW w:w="4730" w:type="dxa"/>
            <w:shd w:val="clear" w:color="auto" w:fill="auto"/>
            <w:noWrap w:val="0"/>
            <w:vAlign w:val="center"/>
          </w:tcPr>
          <w:p>
            <w:pPr>
              <w:widowControl/>
              <w:jc w:val="left"/>
              <w:rPr>
                <w:color w:val="000000"/>
                <w:kern w:val="0"/>
                <w:sz w:val="22"/>
                <w:szCs w:val="22"/>
              </w:rPr>
            </w:pPr>
            <w:r>
              <w:rPr>
                <w:color w:val="000000"/>
                <w:kern w:val="0"/>
                <w:sz w:val="22"/>
                <w:szCs w:val="22"/>
              </w:rPr>
              <w:t>查实一次扣4分。</w:t>
            </w:r>
          </w:p>
        </w:tc>
        <w:tc>
          <w:tcPr>
            <w:tcW w:w="871" w:type="dxa"/>
            <w:shd w:val="clear" w:color="000000" w:fill="auto"/>
            <w:noWrap w:val="0"/>
            <w:vAlign w:val="center"/>
          </w:tcPr>
          <w:p>
            <w:pPr>
              <w:widowControl/>
              <w:jc w:val="center"/>
              <w:rPr>
                <w:color w:val="000000"/>
                <w:kern w:val="0"/>
                <w:sz w:val="22"/>
                <w:szCs w:val="22"/>
              </w:rPr>
            </w:pPr>
            <w:r>
              <w:rPr>
                <w:color w:val="00000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623" w:type="dxa"/>
            <w:vMerge w:val="continue"/>
            <w:noWrap w:val="0"/>
            <w:vAlign w:val="center"/>
          </w:tcPr>
          <w:p>
            <w:pPr>
              <w:widowControl/>
              <w:jc w:val="left"/>
              <w:rPr>
                <w:b/>
                <w:bCs/>
                <w:color w:val="000000"/>
                <w:kern w:val="0"/>
                <w:sz w:val="22"/>
                <w:szCs w:val="22"/>
              </w:rPr>
            </w:pPr>
          </w:p>
        </w:tc>
        <w:tc>
          <w:tcPr>
            <w:tcW w:w="5476" w:type="dxa"/>
            <w:noWrap w:val="0"/>
            <w:vAlign w:val="center"/>
          </w:tcPr>
          <w:p>
            <w:pPr>
              <w:widowControl/>
              <w:jc w:val="left"/>
              <w:rPr>
                <w:color w:val="000000"/>
                <w:kern w:val="0"/>
                <w:sz w:val="22"/>
                <w:szCs w:val="22"/>
              </w:rPr>
            </w:pPr>
            <w:r>
              <w:rPr>
                <w:color w:val="000000"/>
                <w:kern w:val="0"/>
                <w:sz w:val="22"/>
                <w:szCs w:val="22"/>
              </w:rPr>
              <w:t>受到医保行政部门行政处罚的。</w:t>
            </w:r>
          </w:p>
        </w:tc>
        <w:tc>
          <w:tcPr>
            <w:tcW w:w="4730" w:type="dxa"/>
            <w:noWrap w:val="0"/>
            <w:vAlign w:val="center"/>
          </w:tcPr>
          <w:p>
            <w:pPr>
              <w:widowControl/>
              <w:jc w:val="left"/>
              <w:rPr>
                <w:color w:val="000000"/>
                <w:kern w:val="0"/>
                <w:sz w:val="22"/>
                <w:szCs w:val="22"/>
              </w:rPr>
            </w:pPr>
            <w:r>
              <w:rPr>
                <w:color w:val="000000"/>
                <w:kern w:val="0"/>
                <w:sz w:val="22"/>
                <w:szCs w:val="22"/>
              </w:rPr>
              <w:t>出现一次扣5分。</w:t>
            </w:r>
          </w:p>
        </w:tc>
        <w:tc>
          <w:tcPr>
            <w:tcW w:w="871" w:type="dxa"/>
            <w:noWrap w:val="0"/>
            <w:vAlign w:val="center"/>
          </w:tcPr>
          <w:p>
            <w:pPr>
              <w:widowControl/>
              <w:jc w:val="center"/>
              <w:rPr>
                <w:color w:val="000000"/>
                <w:kern w:val="0"/>
                <w:sz w:val="22"/>
                <w:szCs w:val="22"/>
              </w:rPr>
            </w:pPr>
            <w:r>
              <w:rPr>
                <w:color w:val="00000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2623" w:type="dxa"/>
            <w:vMerge w:val="continue"/>
            <w:noWrap w:val="0"/>
            <w:vAlign w:val="center"/>
          </w:tcPr>
          <w:p>
            <w:pPr>
              <w:widowControl/>
              <w:jc w:val="left"/>
              <w:rPr>
                <w:b/>
                <w:bCs/>
                <w:color w:val="000000"/>
                <w:kern w:val="0"/>
                <w:sz w:val="22"/>
                <w:szCs w:val="22"/>
              </w:rPr>
            </w:pPr>
          </w:p>
        </w:tc>
        <w:tc>
          <w:tcPr>
            <w:tcW w:w="5476" w:type="dxa"/>
            <w:noWrap w:val="0"/>
            <w:vAlign w:val="center"/>
          </w:tcPr>
          <w:p>
            <w:pPr>
              <w:widowControl/>
              <w:jc w:val="left"/>
              <w:rPr>
                <w:color w:val="000000"/>
                <w:kern w:val="0"/>
                <w:sz w:val="22"/>
                <w:szCs w:val="22"/>
              </w:rPr>
            </w:pPr>
            <w:r>
              <w:rPr>
                <w:color w:val="000000"/>
                <w:kern w:val="0"/>
                <w:sz w:val="22"/>
                <w:szCs w:val="22"/>
              </w:rPr>
              <w:t>社会满意率</w:t>
            </w:r>
          </w:p>
        </w:tc>
        <w:tc>
          <w:tcPr>
            <w:tcW w:w="4730" w:type="dxa"/>
            <w:noWrap w:val="0"/>
            <w:vAlign w:val="center"/>
          </w:tcPr>
          <w:p>
            <w:pPr>
              <w:widowControl/>
              <w:jc w:val="left"/>
              <w:rPr>
                <w:color w:val="000000"/>
                <w:kern w:val="0"/>
                <w:sz w:val="22"/>
                <w:szCs w:val="22"/>
              </w:rPr>
            </w:pPr>
            <w:r>
              <w:rPr>
                <w:color w:val="000000"/>
                <w:kern w:val="0"/>
                <w:sz w:val="22"/>
                <w:szCs w:val="22"/>
              </w:rPr>
              <w:t>满意率为全市平均值以上不扣分，全市平均值以下10%的扣1分，20%的扣2分，30%的不得分。（依托安徽医保公共服务—医药机构服务评价结果）</w:t>
            </w:r>
          </w:p>
        </w:tc>
        <w:tc>
          <w:tcPr>
            <w:tcW w:w="871" w:type="dxa"/>
            <w:noWrap w:val="0"/>
            <w:vAlign w:val="center"/>
          </w:tcPr>
          <w:p>
            <w:pPr>
              <w:widowControl/>
              <w:jc w:val="center"/>
              <w:rPr>
                <w:color w:val="000000"/>
                <w:kern w:val="0"/>
                <w:sz w:val="22"/>
                <w:szCs w:val="22"/>
              </w:rPr>
            </w:pPr>
            <w:r>
              <w:rPr>
                <w:color w:val="00000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623" w:type="dxa"/>
            <w:vMerge w:val="restart"/>
            <w:noWrap w:val="0"/>
            <w:vAlign w:val="center"/>
          </w:tcPr>
          <w:p>
            <w:pPr>
              <w:widowControl/>
              <w:jc w:val="center"/>
              <w:rPr>
                <w:bCs/>
                <w:color w:val="000000"/>
                <w:kern w:val="0"/>
                <w:sz w:val="22"/>
                <w:szCs w:val="22"/>
              </w:rPr>
            </w:pPr>
            <w:r>
              <w:rPr>
                <w:rFonts w:hint="eastAsia"/>
                <w:bCs/>
                <w:color w:val="000000"/>
                <w:kern w:val="0"/>
                <w:sz w:val="22"/>
                <w:szCs w:val="22"/>
              </w:rPr>
              <w:t>四</w:t>
            </w:r>
            <w:r>
              <w:rPr>
                <w:bCs/>
                <w:color w:val="000000"/>
                <w:kern w:val="0"/>
                <w:sz w:val="22"/>
                <w:szCs w:val="22"/>
              </w:rPr>
              <w:t>、奖惩管理</w:t>
            </w:r>
          </w:p>
        </w:tc>
        <w:tc>
          <w:tcPr>
            <w:tcW w:w="5476" w:type="dxa"/>
            <w:noWrap w:val="0"/>
            <w:vAlign w:val="center"/>
          </w:tcPr>
          <w:p>
            <w:pPr>
              <w:widowControl/>
              <w:jc w:val="left"/>
              <w:rPr>
                <w:color w:val="000000"/>
                <w:kern w:val="0"/>
                <w:sz w:val="22"/>
                <w:szCs w:val="22"/>
              </w:rPr>
            </w:pPr>
            <w:r>
              <w:rPr>
                <w:color w:val="000000"/>
                <w:kern w:val="0"/>
                <w:sz w:val="22"/>
                <w:szCs w:val="22"/>
              </w:rPr>
              <w:t>获得医保部门表彰奖励的可以加分。</w:t>
            </w:r>
          </w:p>
        </w:tc>
        <w:tc>
          <w:tcPr>
            <w:tcW w:w="4730" w:type="dxa"/>
            <w:noWrap w:val="0"/>
            <w:vAlign w:val="center"/>
          </w:tcPr>
          <w:p>
            <w:pPr>
              <w:widowControl/>
              <w:jc w:val="left"/>
              <w:rPr>
                <w:color w:val="000000"/>
                <w:kern w:val="0"/>
                <w:sz w:val="22"/>
                <w:szCs w:val="22"/>
              </w:rPr>
            </w:pPr>
            <w:r>
              <w:rPr>
                <w:color w:val="000000"/>
                <w:kern w:val="0"/>
                <w:sz w:val="22"/>
                <w:szCs w:val="22"/>
              </w:rPr>
              <w:t>获得国家、省、市、县医保部门表彰奖励的分别加4分、3分、2分、1分，最多不超过10分。</w:t>
            </w:r>
          </w:p>
        </w:tc>
        <w:tc>
          <w:tcPr>
            <w:tcW w:w="871" w:type="dxa"/>
            <w:noWrap w:val="0"/>
            <w:vAlign w:val="center"/>
          </w:tcPr>
          <w:p>
            <w:pPr>
              <w:widowControl/>
              <w:jc w:val="center"/>
              <w:rPr>
                <w:color w:val="000000"/>
                <w:kern w:val="0"/>
                <w:sz w:val="22"/>
                <w:szCs w:val="22"/>
              </w:rPr>
            </w:pPr>
            <w:r>
              <w:rPr>
                <w:color w:val="00000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2623" w:type="dxa"/>
            <w:vMerge w:val="continue"/>
            <w:noWrap w:val="0"/>
            <w:vAlign w:val="center"/>
          </w:tcPr>
          <w:p>
            <w:pPr>
              <w:widowControl/>
              <w:jc w:val="left"/>
              <w:rPr>
                <w:b/>
                <w:bCs/>
                <w:color w:val="000000"/>
                <w:kern w:val="0"/>
                <w:sz w:val="22"/>
                <w:szCs w:val="22"/>
              </w:rPr>
            </w:pPr>
          </w:p>
        </w:tc>
        <w:tc>
          <w:tcPr>
            <w:tcW w:w="5476" w:type="dxa"/>
            <w:noWrap w:val="0"/>
            <w:vAlign w:val="center"/>
          </w:tcPr>
          <w:p>
            <w:pPr>
              <w:widowControl/>
              <w:jc w:val="left"/>
              <w:rPr>
                <w:color w:val="000000"/>
                <w:kern w:val="0"/>
                <w:sz w:val="22"/>
                <w:szCs w:val="22"/>
              </w:rPr>
            </w:pPr>
            <w:r>
              <w:rPr>
                <w:color w:val="000000"/>
                <w:kern w:val="0"/>
                <w:sz w:val="22"/>
                <w:szCs w:val="22"/>
              </w:rPr>
              <w:t>出现以下行为之一的，一票否决，直接评价为不合格</w:t>
            </w:r>
            <w:r>
              <w:rPr>
                <w:rFonts w:hint="eastAsia"/>
                <w:color w:val="000000"/>
                <w:kern w:val="0"/>
                <w:sz w:val="22"/>
                <w:szCs w:val="22"/>
              </w:rPr>
              <w:t>等级</w:t>
            </w:r>
            <w:r>
              <w:rPr>
                <w:color w:val="000000"/>
                <w:kern w:val="0"/>
                <w:sz w:val="22"/>
                <w:szCs w:val="22"/>
              </w:rPr>
              <w:t>:违反医保相关规定，被媒体曝光，造成恶劣影响的；一个年度内被查出的违规金额占本药店医保基金使用量10%以上的；出现《安徽省定点零售药店医疗保障服务协议范本》中特别严重违约责任情形的；因违法违规被暂停协议3个月及以上的。</w:t>
            </w:r>
          </w:p>
        </w:tc>
        <w:tc>
          <w:tcPr>
            <w:tcW w:w="4730" w:type="dxa"/>
            <w:noWrap w:val="0"/>
            <w:vAlign w:val="center"/>
          </w:tcPr>
          <w:p>
            <w:pPr>
              <w:widowControl/>
              <w:jc w:val="left"/>
              <w:rPr>
                <w:color w:val="000000"/>
                <w:kern w:val="0"/>
                <w:sz w:val="22"/>
                <w:szCs w:val="22"/>
              </w:rPr>
            </w:pPr>
            <w:r>
              <w:rPr>
                <w:color w:val="000000"/>
                <w:kern w:val="0"/>
                <w:sz w:val="22"/>
                <w:szCs w:val="22"/>
              </w:rPr>
              <w:t>　</w:t>
            </w:r>
          </w:p>
        </w:tc>
        <w:tc>
          <w:tcPr>
            <w:tcW w:w="871" w:type="dxa"/>
            <w:noWrap w:val="0"/>
            <w:vAlign w:val="center"/>
          </w:tcPr>
          <w:p>
            <w:pPr>
              <w:widowControl/>
              <w:jc w:val="center"/>
              <w:rPr>
                <w:color w:val="000000"/>
                <w:kern w:val="0"/>
                <w:sz w:val="22"/>
                <w:szCs w:val="22"/>
              </w:rPr>
            </w:pPr>
            <w:r>
              <w:rPr>
                <w:color w:val="000000"/>
                <w:kern w:val="0"/>
                <w:sz w:val="22"/>
                <w:szCs w:val="22"/>
              </w:rPr>
              <w:t>　</w:t>
            </w:r>
          </w:p>
        </w:tc>
      </w:tr>
    </w:tbl>
    <w:p>
      <w:pPr>
        <w:pStyle w:val="2"/>
        <w:widowControl/>
        <w:rPr>
          <w:rFonts w:ascii="Times New Roman" w:hAnsi="Times New Roman" w:eastAsia="黑体" w:cs="Times New Roman"/>
          <w:sz w:val="32"/>
          <w:szCs w:val="32"/>
        </w:rPr>
      </w:pPr>
      <w:r>
        <w:rPr>
          <w:rFonts w:ascii="Times New Roman" w:hAnsi="Times New Roman" w:cs="Times New Roman"/>
          <w:color w:val="000000"/>
          <w:kern w:val="0"/>
          <w:sz w:val="22"/>
          <w:szCs w:val="22"/>
        </w:rPr>
        <w:t>相关说明：1.每项考核按照倒扣法，标准分值扣完为止；2.暂停协议1至2个月的，当年</w:t>
      </w:r>
      <w:r>
        <w:rPr>
          <w:rFonts w:ascii="Times New Roman" w:hAnsi="Times New Roman" w:cs="Times New Roman"/>
          <w:kern w:val="0"/>
          <w:sz w:val="22"/>
          <w:szCs w:val="22"/>
        </w:rPr>
        <w:t>不得评定为</w:t>
      </w:r>
      <w:r>
        <w:rPr>
          <w:rFonts w:hint="eastAsia" w:ascii="Times New Roman" w:hAnsi="Times New Roman" w:cs="Times New Roman"/>
          <w:kern w:val="0"/>
          <w:sz w:val="22"/>
          <w:szCs w:val="22"/>
        </w:rPr>
        <w:t>优秀、良好</w:t>
      </w:r>
      <w:r>
        <w:rPr>
          <w:rFonts w:ascii="Times New Roman" w:hAnsi="Times New Roman" w:cs="Times New Roman"/>
          <w:color w:val="000000"/>
          <w:kern w:val="0"/>
          <w:sz w:val="22"/>
          <w:szCs w:val="22"/>
        </w:rPr>
        <w:t>等次。</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MzRhN2YzMjEwMWMyZDczZmJjOThlMjdkYzk3ZDYifQ=="/>
  </w:docVars>
  <w:rsids>
    <w:rsidRoot w:val="00000000"/>
    <w:rsid w:val="15693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qFormat/>
    <w:uiPriority w:val="0"/>
    <w:rPr>
      <w:rFonts w:ascii="Courier New" w:hAnsi="Courier New" w:cs="Courier New"/>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2023-02-28T06:45:35Z</dcterms:created>
  <dc:creator>wmx</dc:creator>
  <cp:lastModifiedBy>wmx</cp:lastModifiedBy>
  <dcterms:modified xsi:type="dcterms:W3CDTF">2023-02-28T06:45:59Z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FB033F6D652E48C2B5ACC21DEBA06B11</vt:lpwstr>
  </property>
</Properties>
</file>