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mc:AlternateContent>
          <mc:Choice Requires="wpg">
            <w:drawing>
              <wp:anchor distT="0" distB="0" distL="114300" distR="114300" simplePos="0" relativeHeight="251659264" behindDoc="0" locked="0" layoutInCell="1" allowOverlap="1">
                <wp:simplePos x="0" y="0"/>
                <wp:positionH relativeFrom="column">
                  <wp:posOffset>-417830</wp:posOffset>
                </wp:positionH>
                <wp:positionV relativeFrom="paragraph">
                  <wp:posOffset>250190</wp:posOffset>
                </wp:positionV>
                <wp:extent cx="6091555" cy="1083310"/>
                <wp:effectExtent l="0" t="4445" r="23495" b="36195"/>
                <wp:wrapNone/>
                <wp:docPr id="3" name="OAGroup 25"/>
                <wp:cNvGraphicFramePr/>
                <a:graphic xmlns:a="http://schemas.openxmlformats.org/drawingml/2006/main">
                  <a:graphicData uri="http://schemas.microsoft.com/office/word/2010/wordprocessingGroup">
                    <wpg:wgp>
                      <wpg:cNvGrpSpPr/>
                      <wpg:grpSpPr>
                        <a:xfrm>
                          <a:off x="0" y="0"/>
                          <a:ext cx="6091555" cy="1083310"/>
                          <a:chOff x="1408" y="2023"/>
                          <a:chExt cx="9054" cy="1791"/>
                        </a:xfrm>
                      </wpg:grpSpPr>
                      <wps:wsp>
                        <wps:cNvPr id="1" name="矩形 3"/>
                        <wps:cNvSpPr/>
                        <wps:spPr>
                          <a:xfrm>
                            <a:off x="1462" y="2023"/>
                            <a:ext cx="9000" cy="1635"/>
                          </a:xfrm>
                          <a:prstGeom prst="rect">
                            <a:avLst/>
                          </a:prstGeom>
                          <a:noFill/>
                          <a:ln w="9525" cap="flat" cmpd="sng">
                            <a:solidFill>
                              <a:srgbClr val="FFFFFF"/>
                            </a:solidFill>
                            <a:prstDash val="solid"/>
                            <a:miter/>
                            <a:headEnd type="none" w="med" len="med"/>
                            <a:tailEnd type="none" w="med" len="med"/>
                          </a:ln>
                        </wps:spPr>
                        <wps:txbx>
                          <w:txbxContent>
                            <w:p>
                              <w:pPr>
                                <w:jc w:val="center"/>
                                <w:rPr>
                                  <w:rFonts w:ascii="方正小标宋简体" w:hAnsi="新宋体" w:eastAsia="方正小标宋简体"/>
                                  <w:color w:val="FF0000"/>
                                  <w:w w:val="48"/>
                                  <w:sz w:val="100"/>
                                  <w:szCs w:val="100"/>
                                </w:rPr>
                              </w:pPr>
                              <w:r>
                                <w:rPr>
                                  <w:rFonts w:hint="eastAsia" w:ascii="方正小标宋简体" w:hAnsi="新宋体" w:eastAsia="方正小标宋简体"/>
                                  <w:color w:val="FF0000"/>
                                  <w:w w:val="48"/>
                                  <w:sz w:val="100"/>
                                  <w:szCs w:val="100"/>
                                </w:rPr>
                                <w:t>合肥市瑶海区建设工程质量安全监督站文件</w:t>
                              </w:r>
                            </w:p>
                            <w:p>
                              <w:pPr>
                                <w:jc w:val="center"/>
                                <w:rPr>
                                  <w:rFonts w:ascii="方正小标宋简体" w:hAnsi="Times New Roman" w:eastAsia="方正小标宋简体"/>
                                  <w:color w:val="FF0000"/>
                                  <w:sz w:val="100"/>
                                  <w:szCs w:val="100"/>
                                </w:rPr>
                              </w:pPr>
                            </w:p>
                          </w:txbxContent>
                        </wps:txbx>
                        <wps:bodyPr upright="1"/>
                      </wps:wsp>
                      <wps:wsp>
                        <wps:cNvPr id="2" name="直线 4"/>
                        <wps:cNvCnPr/>
                        <wps:spPr>
                          <a:xfrm>
                            <a:off x="1408" y="3814"/>
                            <a:ext cx="9004" cy="0"/>
                          </a:xfrm>
                          <a:prstGeom prst="line">
                            <a:avLst/>
                          </a:prstGeom>
                          <a:ln w="38100" cap="flat" cmpd="sng">
                            <a:solidFill>
                              <a:srgbClr val="FF0000"/>
                            </a:solidFill>
                            <a:prstDash val="solid"/>
                            <a:headEnd type="none" w="med" len="med"/>
                            <a:tailEnd type="none" w="med" len="med"/>
                          </a:ln>
                        </wps:spPr>
                        <wps:bodyPr upright="1"/>
                      </wps:wsp>
                    </wpg:wgp>
                  </a:graphicData>
                </a:graphic>
              </wp:anchor>
            </w:drawing>
          </mc:Choice>
          <mc:Fallback>
            <w:pict>
              <v:group id="OAGroup 25" o:spid="_x0000_s1026" o:spt="203" style="position:absolute;left:0pt;margin-left:-32.9pt;margin-top:19.7pt;height:85.3pt;width:479.65pt;z-index:251659264;mso-width-relative:page;mso-height-relative:page;" coordorigin="1408,2023" coordsize="9054,1791" o:gfxdata="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EovCy2wAA&#10;AAoBAAAPAAAAAAAAAAEAIAAAACIAAABkcnMvZG93bnJldi54bWxQSwECFAAUAAAACACHTuJAPI9e&#10;xcYCAAA1BwAADgAAAAAAAAABACAAAAAqAQAAZHJzL2Uyb0RvYy54bWxQSwUGAAAAAAYABgBZAQAA&#10;YgYAAAAA&#10;">
                <o:lock v:ext="edit" aspectratio="f"/>
                <v:rect id="矩形 3" o:spid="_x0000_s1026" o:spt="1" style="position:absolute;left:1462;top:2023;height:1635;width:9000;" filled="f" stroked="t" coordsize="21600,21600" o:gfxdata="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cv/SrsAAADa&#10;AAAADwAAAAAAAAABACAAAAAiAAAAZHJzL2Rvd25yZXYueG1sUEsBAhQAFAAAAAgAh07iQDMvBZ47&#10;AAAAOQAAABAAAAAAAAAAAQAgAAAACgEAAGRycy9zaGFwZXhtbC54bWxQSwUGAAAAAAYABgBbAQAA&#10;tAMAAAAA&#10;">
                  <v:fill on="f" focussize="0,0"/>
                  <v:stroke color="#FFFFFF" joinstyle="miter"/>
                  <v:imagedata o:title=""/>
                  <o:lock v:ext="edit" aspectratio="f"/>
                  <v:textbox>
                    <w:txbxContent>
                      <w:p>
                        <w:pPr>
                          <w:jc w:val="center"/>
                          <w:rPr>
                            <w:rFonts w:ascii="方正小标宋简体" w:hAnsi="新宋体" w:eastAsia="方正小标宋简体"/>
                            <w:color w:val="FF0000"/>
                            <w:w w:val="48"/>
                            <w:sz w:val="100"/>
                            <w:szCs w:val="100"/>
                          </w:rPr>
                        </w:pPr>
                        <w:r>
                          <w:rPr>
                            <w:rFonts w:hint="eastAsia" w:ascii="方正小标宋简体" w:hAnsi="新宋体" w:eastAsia="方正小标宋简体"/>
                            <w:color w:val="FF0000"/>
                            <w:w w:val="48"/>
                            <w:sz w:val="100"/>
                            <w:szCs w:val="100"/>
                          </w:rPr>
                          <w:t>合肥市瑶海区建设工程质量安全监督站文件</w:t>
                        </w:r>
                      </w:p>
                      <w:p>
                        <w:pPr>
                          <w:jc w:val="center"/>
                          <w:rPr>
                            <w:rFonts w:ascii="方正小标宋简体" w:hAnsi="Times New Roman" w:eastAsia="方正小标宋简体"/>
                            <w:color w:val="FF0000"/>
                            <w:sz w:val="100"/>
                            <w:szCs w:val="100"/>
                          </w:rPr>
                        </w:pPr>
                      </w:p>
                    </w:txbxContent>
                  </v:textbox>
                </v:rect>
                <v:line id="直线 4" o:spid="_x0000_s1026" o:spt="20" style="position:absolute;left:1408;top:3814;height:0;width:9004;" filled="f" stroked="t" coordsize="21600,2160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group>
            </w:pict>
          </mc:Fallback>
        </mc:AlternateContent>
      </w:r>
    </w:p>
    <w:p>
      <w:pPr>
        <w:pStyle w:val="2"/>
      </w:pPr>
    </w:p>
    <w:p>
      <w:pPr>
        <w:adjustRightInd/>
        <w:spacing w:after="0" w:line="560" w:lineRule="exact"/>
        <w:rPr>
          <w:rFonts w:ascii="仿宋_GB2312" w:hAnsi="Calibri" w:eastAsia="仿宋_GB2312" w:cs="仿宋_GB2312"/>
          <w:kern w:val="2"/>
          <w:sz w:val="32"/>
          <w:szCs w:val="32"/>
        </w:rPr>
      </w:pPr>
    </w:p>
    <w:p>
      <w:pPr>
        <w:adjustRightInd/>
        <w:spacing w:after="0" w:line="560" w:lineRule="exact"/>
        <w:rPr>
          <w:rFonts w:ascii="方正小标宋简体" w:eastAsia="方正小标宋简体"/>
          <w:sz w:val="44"/>
          <w:szCs w:val="44"/>
        </w:rPr>
      </w:pPr>
    </w:p>
    <w:p>
      <w:pPr>
        <w:adjustRightInd/>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w:t>
      </w:r>
      <w:r>
        <w:rPr>
          <w:rFonts w:hint="eastAsia" w:ascii="方正小标宋简体" w:eastAsia="方正小标宋简体"/>
          <w:sz w:val="44"/>
          <w:szCs w:val="44"/>
        </w:rPr>
        <w:t>瑶海区建设领域危大工程专项治理行动实施方案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各建设、监理、施工单位：</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 w:eastAsia="仿宋_GB2312" w:cs="仿宋"/>
          <w:sz w:val="32"/>
          <w:szCs w:val="32"/>
          <w:lang w:val="en-US" w:eastAsia="zh-CN"/>
        </w:rPr>
        <w:t>关于开展建筑施工领域危大工程管理的紧急通知</w:t>
      </w:r>
      <w:r>
        <w:rPr>
          <w:rFonts w:hint="eastAsia" w:ascii="仿宋_GB2312" w:hAnsi="仿宋_GB2312" w:eastAsia="仿宋_GB2312" w:cs="仿宋_GB2312"/>
          <w:sz w:val="32"/>
          <w:szCs w:val="32"/>
          <w:lang w:eastAsia="zh-CN"/>
        </w:rPr>
        <w:t>》</w:t>
      </w:r>
      <w:r>
        <w:rPr>
          <w:rFonts w:hint="eastAsia" w:ascii="仿宋_GB2312" w:hAnsi="仿宋" w:eastAsia="仿宋_GB2312" w:cs="仿宋"/>
          <w:sz w:val="32"/>
          <w:szCs w:val="32"/>
          <w:lang w:val="en-US" w:eastAsia="zh-CN"/>
        </w:rPr>
        <w:t>（合建质安〔2023〕6号）</w:t>
      </w:r>
      <w:r>
        <w:rPr>
          <w:rFonts w:hint="eastAsia" w:ascii="仿宋_GB2312" w:hAnsi="仿宋_GB2312" w:eastAsia="仿宋_GB2312" w:cs="仿宋_GB2312"/>
          <w:sz w:val="32"/>
          <w:szCs w:val="32"/>
          <w:lang w:eastAsia="zh-CN"/>
        </w:rPr>
        <w:t>文件要求，结合瑶海区实际，制定《瑶海区建设领域危大工程专项治理行动实施方案》，现印发给各你们，请结合实际，认真组织实施。</w:t>
      </w:r>
    </w:p>
    <w:p>
      <w:pPr>
        <w:pStyle w:val="2"/>
        <w:ind w:left="0" w:leftChars="0" w:firstLine="640" w:firstLineChars="200"/>
        <w:rPr>
          <w:rFonts w:hint="default"/>
          <w:lang w:val="en-US" w:eastAsia="zh-CN"/>
        </w:rPr>
      </w:pPr>
      <w:r>
        <w:rPr>
          <w:rFonts w:hint="eastAsia"/>
          <w:lang w:val="en-US" w:eastAsia="zh-CN"/>
        </w:rPr>
        <w:t>特此通知。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jc w:val="both"/>
        <w:textAlignment w:val="auto"/>
        <w:rPr>
          <w:rFonts w:ascii="仿宋" w:hAnsi="仿宋" w:eastAsia="仿宋" w:cs="仿宋"/>
          <w:sz w:val="32"/>
          <w:szCs w:val="32"/>
        </w:rPr>
      </w:pP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瑶海区建设工程质量安全监督站</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jc w:val="right"/>
        <w:textAlignment w:val="auto"/>
        <w:rPr>
          <w:rFonts w:ascii="仿宋_GB2312" w:hAnsi="宋体" w:eastAsia="仿宋_GB2312" w:cs="宋体"/>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wordWrap/>
        <w:rPr>
          <w:rFonts w:hint="eastAsia"/>
        </w:rPr>
      </w:pPr>
    </w:p>
    <w:p>
      <w:pPr>
        <w:pStyle w:val="2"/>
        <w:wordWrap/>
        <w:rPr>
          <w:rFonts w:hint="eastAsia"/>
        </w:rPr>
      </w:pPr>
    </w:p>
    <w:p>
      <w:pPr>
        <w:pStyle w:val="2"/>
        <w:wordWrap/>
        <w:rPr>
          <w:rFonts w:hint="eastAsia"/>
        </w:rPr>
      </w:pPr>
    </w:p>
    <w:p>
      <w:pPr>
        <w:pStyle w:val="2"/>
        <w:wordWrap/>
        <w:rPr>
          <w:rFonts w:hint="eastAsia"/>
        </w:rPr>
      </w:pPr>
    </w:p>
    <w:p>
      <w:pPr>
        <w:adjustRightInd/>
        <w:spacing w:after="0" w:line="560" w:lineRule="exact"/>
        <w:jc w:val="center"/>
        <w:rPr>
          <w:rFonts w:ascii="方正小标宋简体" w:eastAsia="方正小标宋简体"/>
          <w:sz w:val="44"/>
          <w:szCs w:val="44"/>
        </w:rPr>
      </w:pPr>
      <w:r>
        <w:rPr>
          <w:rFonts w:hint="eastAsia" w:ascii="方正小标宋简体" w:eastAsia="方正小标宋简体"/>
          <w:sz w:val="44"/>
          <w:szCs w:val="44"/>
        </w:rPr>
        <w:t>瑶海区建设领域</w:t>
      </w:r>
      <w:r>
        <w:rPr>
          <w:rFonts w:hint="eastAsia" w:ascii="方正小标宋简体" w:eastAsia="方正小标宋简体"/>
          <w:sz w:val="44"/>
          <w:szCs w:val="44"/>
          <w:lang w:eastAsia="zh-CN"/>
        </w:rPr>
        <w:t>危大工程</w:t>
      </w:r>
      <w:r>
        <w:rPr>
          <w:rFonts w:hint="eastAsia" w:ascii="方正小标宋简体" w:eastAsia="方正小标宋简体"/>
          <w:sz w:val="44"/>
          <w:szCs w:val="44"/>
        </w:rPr>
        <w:t>专项</w:t>
      </w:r>
      <w:r>
        <w:rPr>
          <w:rFonts w:hint="eastAsia" w:ascii="方正小标宋简体" w:eastAsia="方正小标宋简体"/>
          <w:sz w:val="44"/>
          <w:szCs w:val="44"/>
          <w:lang w:eastAsia="zh-CN"/>
        </w:rPr>
        <w:t>治理</w:t>
      </w:r>
      <w:r>
        <w:rPr>
          <w:rFonts w:hint="eastAsia" w:ascii="方正小标宋简体" w:eastAsia="方正小标宋简体"/>
          <w:sz w:val="44"/>
          <w:szCs w:val="44"/>
        </w:rPr>
        <w:t>行动实施方案</w:t>
      </w:r>
    </w:p>
    <w:p>
      <w:pPr>
        <w:adjustRightInd/>
        <w:spacing w:after="0" w:line="560" w:lineRule="exact"/>
        <w:jc w:val="center"/>
        <w:rPr>
          <w:rFonts w:ascii="方正小标宋简体" w:eastAsia="方正小标宋简体"/>
          <w:sz w:val="44"/>
          <w:szCs w:val="44"/>
        </w:rPr>
      </w:pPr>
    </w:p>
    <w:p>
      <w:pPr>
        <w:adjustRightInd/>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根据市城乡建设局</w:t>
      </w:r>
      <w:r>
        <w:rPr>
          <w:rFonts w:hint="eastAsia" w:ascii="仿宋_GB2312" w:hAnsi="仿宋_GB2312" w:eastAsia="仿宋_GB2312" w:cs="仿宋_GB2312"/>
          <w:color w:val="000000"/>
          <w:sz w:val="32"/>
          <w:szCs w:val="32"/>
        </w:rPr>
        <w:t>市建设局《</w:t>
      </w:r>
      <w:r>
        <w:rPr>
          <w:rFonts w:hint="eastAsia" w:ascii="仿宋_GB2312" w:hAnsi="仿宋" w:eastAsia="仿宋_GB2312" w:cs="仿宋"/>
          <w:sz w:val="32"/>
          <w:szCs w:val="32"/>
          <w:lang w:val="en-US" w:eastAsia="zh-CN"/>
        </w:rPr>
        <w:t>关于开展建筑施工领域危大工程管理的紧急通知</w:t>
      </w:r>
      <w:r>
        <w:rPr>
          <w:rFonts w:hint="eastAsia" w:ascii="仿宋_GB2312" w:hAnsi="仿宋_GB2312" w:eastAsia="仿宋_GB2312" w:cs="仿宋_GB2312"/>
          <w:color w:val="000000"/>
          <w:sz w:val="32"/>
          <w:szCs w:val="32"/>
        </w:rPr>
        <w:t>》</w:t>
      </w:r>
      <w:r>
        <w:rPr>
          <w:rFonts w:hint="eastAsia" w:ascii="仿宋_GB2312" w:hAnsi="仿宋" w:eastAsia="仿宋_GB2312" w:cs="仿宋"/>
          <w:sz w:val="32"/>
          <w:szCs w:val="32"/>
        </w:rPr>
        <w:t>文件要求，我站立即开展</w:t>
      </w:r>
      <w:r>
        <w:rPr>
          <w:rFonts w:hint="eastAsia" w:ascii="仿宋_GB2312" w:hAnsi="仿宋" w:eastAsia="仿宋_GB2312" w:cs="仿宋"/>
          <w:sz w:val="32"/>
          <w:szCs w:val="32"/>
          <w:lang w:eastAsia="zh-CN"/>
        </w:rPr>
        <w:t>建设领域危大工程专项治理</w:t>
      </w:r>
      <w:r>
        <w:rPr>
          <w:rFonts w:hint="eastAsia" w:ascii="仿宋_GB2312" w:hAnsi="仿宋" w:eastAsia="仿宋_GB2312" w:cs="仿宋"/>
          <w:sz w:val="32"/>
          <w:szCs w:val="32"/>
        </w:rPr>
        <w:t>行动，现制定工作方案如下：</w:t>
      </w:r>
    </w:p>
    <w:p>
      <w:pPr>
        <w:keepNext w:val="0"/>
        <w:keepLines w:val="0"/>
        <w:pageBreakBefore w:val="0"/>
        <w:kinsoku/>
        <w:wordWrap/>
        <w:topLinePunct w:val="0"/>
        <w:autoSpaceDE/>
        <w:autoSpaceDN/>
        <w:bidi w:val="0"/>
        <w:adjustRightInd w:val="0"/>
        <w:snapToGrid w:val="0"/>
        <w:spacing w:after="0" w:line="560" w:lineRule="exact"/>
        <w:ind w:firstLine="640" w:firstLineChars="200"/>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一、工作目标</w:t>
      </w:r>
    </w:p>
    <w:p>
      <w:pPr>
        <w:keepNext w:val="0"/>
        <w:keepLines w:val="0"/>
        <w:pageBreakBefore w:val="0"/>
        <w:kinsoku/>
        <w:wordWrap/>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通过开展危大工程安全专项治理行动，进一步规范全区危大工程动态管理工作，压实五方主体责任，切实管控重大风险，防范各类安全事故。</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二、检查范围</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textAlignment w:val="auto"/>
        <w:rPr>
          <w:rFonts w:ascii="仿宋_GB2312" w:hAnsi="仿宋" w:eastAsia="仿宋_GB2312" w:cs="仿宋"/>
          <w:sz w:val="32"/>
          <w:szCs w:val="32"/>
        </w:rPr>
      </w:pPr>
      <w:r>
        <w:rPr>
          <w:rFonts w:hint="eastAsia" w:ascii="仿宋_GB2312" w:hAnsi="仿宋_GB2312" w:eastAsia="仿宋_GB2312" w:cs="仿宋_GB2312"/>
          <w:sz w:val="32"/>
          <w:szCs w:val="32"/>
          <w:lang w:eastAsia="zh-CN"/>
        </w:rPr>
        <w:t>全区区管在建房建、市政基础设施、二次装修项目</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三、检查的依据、标准</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1.《危险性较大的分部分项工程安全管理规定》（住房和城乡建设部令第37号）</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2.住房城乡建设部办公厅关于实施《危险性较大的分部分项工程安全管理规定》有关问题的通知（建办质〔2018〕31号）</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3.《安徽省危险性较大的分部分项工程安全管理规定</w:t>
      </w:r>
      <w:bookmarkStart w:id="0" w:name="_GoBack"/>
      <w:bookmarkEnd w:id="0"/>
      <w:r>
        <w:rPr>
          <w:rFonts w:hint="eastAsia" w:ascii="仿宋_GB2312" w:hAnsi="仿宋" w:eastAsia="仿宋_GB2312" w:cs="仿宋"/>
          <w:sz w:val="32"/>
          <w:szCs w:val="32"/>
          <w:lang w:val="en-US" w:eastAsia="zh-CN"/>
        </w:rPr>
        <w:t>实施细则》(建质〔2018〕162号)</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4.《安徽省建筑起重机械安全管理十项重点》(建质函〔2020〕559号)</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5.危险性较大的分部分项工程安全管理违法违规行为认定标准(试行)（公告〔2019〕49号）</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6.《建筑起重机械安全监督管理规定》（建设部令第166号）</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7.《关于开展建筑施工领域危大工程管理的紧急通知》（合建质安〔2023〕6号）</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textAlignment w:val="auto"/>
        <w:rPr>
          <w:rFonts w:ascii="仿宋_GB2312" w:hAnsi="仿宋" w:eastAsia="仿宋_GB2312" w:cs="仿宋"/>
          <w:sz w:val="32"/>
          <w:szCs w:val="32"/>
        </w:rPr>
      </w:pPr>
      <w:r>
        <w:rPr>
          <w:rFonts w:hint="eastAsia" w:ascii="黑体" w:hAnsi="黑体" w:eastAsia="黑体" w:cs="仿宋"/>
          <w:sz w:val="32"/>
          <w:szCs w:val="32"/>
        </w:rPr>
        <w:t>四、检查内容</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3"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1.方案编制。</w:t>
      </w:r>
      <w:r>
        <w:rPr>
          <w:rFonts w:hint="eastAsia" w:ascii="仿宋_GB2312" w:hAnsi="仿宋_GB2312" w:eastAsia="仿宋_GB2312" w:cs="仿宋_GB2312"/>
          <w:b w:val="0"/>
          <w:bCs w:val="0"/>
          <w:i w:val="0"/>
          <w:iCs w:val="0"/>
          <w:caps w:val="0"/>
          <w:color w:val="auto"/>
          <w:spacing w:val="0"/>
          <w:sz w:val="32"/>
          <w:szCs w:val="32"/>
          <w:shd w:val="clear" w:fill="FFFFFF"/>
        </w:rPr>
        <w:t>施工单位是否组织相关技术人员针对危大工程单独编织专项施工方案，专项施工方案是否包括计算书、相关图纸及安全技术保障措施，专项施工方案是否经施工单位技术负责人审批后，报项目总监理工程师审查签字并加盖执业印章；</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3"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2.专家论证。</w:t>
      </w:r>
      <w:r>
        <w:rPr>
          <w:rFonts w:hint="eastAsia" w:ascii="仿宋_GB2312" w:hAnsi="仿宋_GB2312" w:eastAsia="仿宋_GB2312" w:cs="仿宋_GB2312"/>
          <w:b w:val="0"/>
          <w:bCs w:val="0"/>
          <w:i w:val="0"/>
          <w:iCs w:val="0"/>
          <w:caps w:val="0"/>
          <w:color w:val="auto"/>
          <w:spacing w:val="0"/>
          <w:sz w:val="32"/>
          <w:szCs w:val="32"/>
          <w:shd w:val="clear" w:fill="FFFFFF"/>
        </w:rPr>
        <w:t>超过一定规模的危大工程，施工单位是否组织专家对专项施工方案进行论证；</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3"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3.方案交底。</w:t>
      </w:r>
      <w:r>
        <w:rPr>
          <w:rFonts w:hint="eastAsia" w:ascii="仿宋_GB2312" w:hAnsi="仿宋_GB2312" w:eastAsia="仿宋_GB2312" w:cs="仿宋_GB2312"/>
          <w:b w:val="0"/>
          <w:bCs w:val="0"/>
          <w:i w:val="0"/>
          <w:iCs w:val="0"/>
          <w:caps w:val="0"/>
          <w:color w:val="auto"/>
          <w:spacing w:val="0"/>
          <w:sz w:val="32"/>
          <w:szCs w:val="32"/>
          <w:shd w:val="clear" w:fill="FFFFFF"/>
        </w:rPr>
        <w:t>专项施工方案编织人员或项目技术负责人是否向现场管理人员进行方案交底，现场管理人员是否对施工作业班组、作业人员进行安全技术交底，并签字确认；</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3"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4.过程管理。</w:t>
      </w:r>
      <w:r>
        <w:rPr>
          <w:rFonts w:hint="eastAsia" w:ascii="仿宋_GB2312" w:hAnsi="仿宋_GB2312" w:eastAsia="仿宋_GB2312" w:cs="仿宋_GB2312"/>
          <w:b w:val="0"/>
          <w:bCs w:val="0"/>
          <w:i w:val="0"/>
          <w:iCs w:val="0"/>
          <w:caps w:val="0"/>
          <w:color w:val="auto"/>
          <w:spacing w:val="0"/>
          <w:sz w:val="32"/>
          <w:szCs w:val="32"/>
          <w:shd w:val="clear" w:fill="FFFFFF"/>
        </w:rPr>
        <w:t>施工单位是否严格按照专项施工方案组织施工，是否擅自修改专项方案，施工单位和监理单位是否对专项方案实施情况进行现场监督并做好安全专项巡查；</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3"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5.工序验收。</w:t>
      </w:r>
      <w:r>
        <w:rPr>
          <w:rFonts w:hint="eastAsia" w:ascii="仿宋_GB2312" w:hAnsi="仿宋_GB2312" w:eastAsia="仿宋_GB2312" w:cs="仿宋_GB2312"/>
          <w:b w:val="0"/>
          <w:bCs w:val="0"/>
          <w:i w:val="0"/>
          <w:iCs w:val="0"/>
          <w:caps w:val="0"/>
          <w:color w:val="auto"/>
          <w:spacing w:val="0"/>
          <w:sz w:val="32"/>
          <w:szCs w:val="32"/>
          <w:shd w:val="clear" w:fill="FFFFFF"/>
        </w:rPr>
        <w:t>对于按规定需要验收的危大工程，施工单位、监理单位是否组织相关人员进行联合验收，验收合格的，是否经施工单位技术负责人及总监理工程师签字后，进入下一道工序。</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黑体" w:hAnsi="黑体" w:eastAsia="黑体" w:cs="仿宋"/>
          <w:sz w:val="32"/>
          <w:szCs w:val="32"/>
          <w:lang w:eastAsia="zh-CN"/>
        </w:rPr>
      </w:pPr>
      <w:r>
        <w:rPr>
          <w:rFonts w:hint="eastAsia" w:ascii="黑体" w:hAnsi="黑体" w:eastAsia="黑体" w:cs="仿宋"/>
          <w:sz w:val="32"/>
          <w:szCs w:val="32"/>
        </w:rPr>
        <w:t>五、</w:t>
      </w:r>
      <w:r>
        <w:rPr>
          <w:rFonts w:hint="eastAsia" w:ascii="黑体" w:hAnsi="黑体" w:eastAsia="黑体" w:cs="仿宋"/>
          <w:sz w:val="32"/>
          <w:szCs w:val="32"/>
          <w:lang w:eastAsia="zh-CN"/>
        </w:rPr>
        <w:t>工作要求</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 w:eastAsia="仿宋_GB2312" w:cs="仿宋"/>
          <w:sz w:val="32"/>
          <w:szCs w:val="32"/>
        </w:rPr>
        <w:t>本次检查</w:t>
      </w:r>
      <w:r>
        <w:rPr>
          <w:rFonts w:hint="eastAsia" w:ascii="仿宋_GB2312" w:hAnsi="仿宋" w:eastAsia="仿宋_GB2312" w:cs="仿宋"/>
          <w:sz w:val="32"/>
          <w:szCs w:val="32"/>
          <w:lang w:eastAsia="zh-CN"/>
        </w:rPr>
        <w:t>时间从即日起至</w:t>
      </w:r>
      <w:r>
        <w:rPr>
          <w:rFonts w:hint="eastAsia" w:ascii="仿宋_GB2312" w:hAnsi="仿宋" w:eastAsia="仿宋_GB2312" w:cs="仿宋"/>
          <w:sz w:val="32"/>
          <w:szCs w:val="32"/>
          <w:lang w:val="en-US" w:eastAsia="zh-CN"/>
        </w:rPr>
        <w:t>3月底，</w:t>
      </w:r>
      <w:r>
        <w:rPr>
          <w:rFonts w:hint="eastAsia" w:ascii="仿宋_GB2312" w:hAnsi="仿宋" w:eastAsia="仿宋_GB2312" w:cs="仿宋"/>
          <w:sz w:val="32"/>
          <w:szCs w:val="32"/>
        </w:rPr>
        <w:t>采取</w:t>
      </w:r>
      <w:r>
        <w:rPr>
          <w:rFonts w:hint="eastAsia" w:ascii="仿宋_GB2312" w:hAnsi="仿宋_GB2312" w:eastAsia="仿宋_GB2312" w:cs="仿宋_GB2312"/>
          <w:sz w:val="32"/>
          <w:szCs w:val="32"/>
        </w:rPr>
        <w:t>自查和检查相结合、集中整改和长效机制相结合的方式开展。</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一）建设工地自查自纠。项目应成立由建设单位项目负责人、施工单位项目经理和监理单位总监理工程师等组成的施工现场安全风险管控小组，确定专人负责组织、监督、落实施工现场安全风险查找、研判、预警、防范、处置和责任等“六项机制”，全面排查在建项目，形成隐患治理排查清单，落实隐患全面整改。</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（二）执法检查阶段。我站</w:t>
      </w:r>
      <w:r>
        <w:rPr>
          <w:rFonts w:hint="eastAsia" w:ascii="仿宋_GB2312" w:hAnsi="仿宋" w:eastAsia="仿宋_GB2312" w:cs="仿宋"/>
          <w:sz w:val="32"/>
          <w:szCs w:val="32"/>
          <w:lang w:eastAsia="zh-CN"/>
        </w:rPr>
        <w:t>将</w:t>
      </w:r>
      <w:r>
        <w:rPr>
          <w:rFonts w:hint="eastAsia" w:ascii="仿宋_GB2312" w:hAnsi="仿宋" w:eastAsia="仿宋_GB2312" w:cs="仿宋"/>
          <w:sz w:val="32"/>
          <w:szCs w:val="32"/>
        </w:rPr>
        <w:t>对监管在建工程施工现场按照检查内容开展全方位检查，</w:t>
      </w:r>
      <w:r>
        <w:rPr>
          <w:rFonts w:hint="eastAsia" w:ascii="仿宋_GB2312" w:hAnsi="仿宋_GB2312" w:eastAsia="仿宋_GB2312" w:cs="仿宋_GB2312"/>
          <w:color w:val="000000"/>
          <w:sz w:val="32"/>
          <w:szCs w:val="32"/>
        </w:rPr>
        <w:t>确保横向到边，纵向到底，不留死角，坚决要求项目做到隐患不整改不生产，</w:t>
      </w:r>
      <w:r>
        <w:rPr>
          <w:rFonts w:hint="eastAsia" w:ascii="仿宋_GB2312" w:hAnsi="仿宋_GB2312" w:eastAsia="仿宋_GB2312" w:cs="仿宋_GB2312"/>
          <w:color w:val="000000"/>
          <w:sz w:val="32"/>
          <w:szCs w:val="32"/>
          <w:lang w:val="zh-CN" w:bidi="zh-CN"/>
        </w:rPr>
        <w:t>隐患不</w:t>
      </w:r>
      <w:r>
        <w:rPr>
          <w:rFonts w:hint="eastAsia" w:ascii="仿宋_GB2312" w:hAnsi="仿宋_GB2312" w:eastAsia="仿宋_GB2312" w:cs="仿宋_GB2312"/>
          <w:color w:val="000000"/>
          <w:sz w:val="32"/>
          <w:szCs w:val="32"/>
        </w:rPr>
        <w:t>消除不开工，对隐患多、管理差、整改落实不到位项目，安排专人督促整改。对拒不整改，冒险作业的，坚决要求停工，并约谈相关企业及负责人</w:t>
      </w:r>
      <w:r>
        <w:rPr>
          <w:rFonts w:hint="eastAsia" w:ascii="仿宋_GB2312" w:hAnsi="仿宋" w:eastAsia="仿宋_GB2312" w:cs="仿宋"/>
          <w:sz w:val="32"/>
          <w:szCs w:val="32"/>
        </w:rPr>
        <w:t>。</w:t>
      </w:r>
    </w:p>
    <w:p>
      <w:pPr>
        <w:keepNext w:val="0"/>
        <w:keepLines w:val="0"/>
        <w:pageBreakBefore w:val="0"/>
        <w:widowControl/>
        <w:kinsoku/>
        <w:wordWrap/>
        <w:overflowPunct w:val="0"/>
        <w:topLinePunct w:val="0"/>
        <w:autoSpaceDE/>
        <w:autoSpaceDN/>
        <w:bidi w:val="0"/>
        <w:adjustRightInd w:val="0"/>
        <w:snapToGrid w:val="0"/>
        <w:spacing w:after="0" w:line="560" w:lineRule="exact"/>
        <w:ind w:righ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三）总结阶段。对检查情况进行汇总、整理，依法严肃处理施工现场安全生产违法违规行为，对未按要求认真开展隐患排查，未及时整改或整改不到位的，将依据相关规定对责任单位及责任人督办处理，严肃问责。</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jFmNmE3MTc1ZjQ0Njg4NzBjMzdmMjAxYzlmMDEifQ=="/>
    <w:docVar w:name="KSO_WPS_MARK_KEY" w:val="692b2828-a35a-44cf-8391-1cb65207e0d5"/>
  </w:docVars>
  <w:rsids>
    <w:rsidRoot w:val="00D31D50"/>
    <w:rsid w:val="000274CD"/>
    <w:rsid w:val="000443F9"/>
    <w:rsid w:val="000548D6"/>
    <w:rsid w:val="00054C62"/>
    <w:rsid w:val="00076ACE"/>
    <w:rsid w:val="000815B1"/>
    <w:rsid w:val="000F6944"/>
    <w:rsid w:val="001C197F"/>
    <w:rsid w:val="001F5F6C"/>
    <w:rsid w:val="00323B43"/>
    <w:rsid w:val="00373370"/>
    <w:rsid w:val="003D37D8"/>
    <w:rsid w:val="003F64BC"/>
    <w:rsid w:val="00426133"/>
    <w:rsid w:val="004358AB"/>
    <w:rsid w:val="005049AF"/>
    <w:rsid w:val="007A6D05"/>
    <w:rsid w:val="00830974"/>
    <w:rsid w:val="00851791"/>
    <w:rsid w:val="008B7726"/>
    <w:rsid w:val="00AA0A41"/>
    <w:rsid w:val="00B048EA"/>
    <w:rsid w:val="00BD3BE2"/>
    <w:rsid w:val="00C42390"/>
    <w:rsid w:val="00D22395"/>
    <w:rsid w:val="00D22B4F"/>
    <w:rsid w:val="00D31D50"/>
    <w:rsid w:val="00D61EC8"/>
    <w:rsid w:val="00EA4676"/>
    <w:rsid w:val="00F24FB5"/>
    <w:rsid w:val="05A538CB"/>
    <w:rsid w:val="16141E7E"/>
    <w:rsid w:val="2B600763"/>
    <w:rsid w:val="35714F81"/>
    <w:rsid w:val="41700D46"/>
    <w:rsid w:val="422A2392"/>
    <w:rsid w:val="47E62463"/>
    <w:rsid w:val="4EBF0EC3"/>
    <w:rsid w:val="6C9B39BA"/>
    <w:rsid w:val="70F6156A"/>
    <w:rsid w:val="7BB7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qFormat/>
    <w:uiPriority w:val="0"/>
    <w:pPr>
      <w:widowControl w:val="0"/>
      <w:adjustRightInd/>
      <w:snapToGrid/>
      <w:ind w:left="0" w:leftChars="0" w:firstLine="420"/>
      <w:jc w:val="both"/>
    </w:pPr>
    <w:rPr>
      <w:rFonts w:ascii="仿宋_GB2312" w:hAnsi="Calibri" w:eastAsia="仿宋_GB2312" w:cs="仿宋_GB2312"/>
      <w:kern w:val="2"/>
      <w:sz w:val="32"/>
      <w:szCs w:val="32"/>
    </w:rPr>
  </w:style>
  <w:style w:type="paragraph" w:styleId="3">
    <w:name w:val="Body Text Indent"/>
    <w:basedOn w:val="1"/>
    <w:link w:val="12"/>
    <w:semiHidden/>
    <w:unhideWhenUsed/>
    <w:qFormat/>
    <w:uiPriority w:val="99"/>
    <w:pPr>
      <w:spacing w:after="120"/>
      <w:ind w:left="420" w:leftChars="200"/>
    </w:p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paragraph" w:styleId="11">
    <w:name w:val="List Paragraph"/>
    <w:basedOn w:val="1"/>
    <w:qFormat/>
    <w:uiPriority w:val="34"/>
    <w:pPr>
      <w:ind w:firstLine="420" w:firstLineChars="200"/>
    </w:pPr>
  </w:style>
  <w:style w:type="character" w:customStyle="1" w:styleId="12">
    <w:name w:val="正文文本缩进 Char"/>
    <w:basedOn w:val="8"/>
    <w:link w:val="3"/>
    <w:semiHidden/>
    <w:qFormat/>
    <w:uiPriority w:val="99"/>
    <w:rPr>
      <w:rFonts w:ascii="Tahoma" w:hAnsi="Tahoma"/>
    </w:rPr>
  </w:style>
  <w:style w:type="character" w:customStyle="1" w:styleId="13">
    <w:name w:val="正文首行缩进 2 Char"/>
    <w:basedOn w:val="12"/>
    <w:link w:val="2"/>
    <w:qFormat/>
    <w:uiPriority w:val="0"/>
    <w:rPr>
      <w:rFonts w:ascii="仿宋_GB2312" w:hAnsi="Calibri" w:eastAsia="仿宋_GB2312" w:cs="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1424</Words>
  <Characters>1467</Characters>
  <Lines>9</Lines>
  <Paragraphs>2</Paragraphs>
  <TotalTime>0</TotalTime>
  <ScaleCrop>false</ScaleCrop>
  <LinksUpToDate>false</LinksUpToDate>
  <CharactersWithSpaces>1468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五里</cp:lastModifiedBy>
  <cp:lastPrinted>2020-08-19T08:49:00Z</cp:lastPrinted>
  <dcterms:modified xsi:type="dcterms:W3CDTF">2023-03-23T01:35:16Z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8949F13D5A854EF7813E9D8922E876EC</vt:lpwstr>
  </property>
</Properties>
</file>