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E5" w:rsidRDefault="003B6B17">
      <w:pPr>
        <w:spacing w:line="640" w:lineRule="exact"/>
        <w:jc w:val="center"/>
        <w:rPr>
          <w:rFonts w:ascii="方正小标宋_GBK" w:eastAsia="方正小标宋_GBK" w:hAnsi="方正小标宋_GBK" w:cs="方正小标宋_GBK"/>
          <w:b/>
          <w:bCs/>
          <w:sz w:val="36"/>
          <w:szCs w:val="44"/>
        </w:rPr>
      </w:pPr>
      <w:bookmarkStart w:id="0" w:name="zhengwen"/>
      <w:r>
        <w:rPr>
          <w:rFonts w:ascii="方正小标宋_GBK" w:eastAsia="方正小标宋_GBK" w:hAnsi="方正小标宋_GBK" w:cs="方正小标宋_GBK" w:hint="eastAsia"/>
          <w:b/>
          <w:bCs/>
          <w:sz w:val="36"/>
          <w:szCs w:val="44"/>
        </w:rPr>
        <w:t>关于瑶海区社会投资简易低风险工程</w:t>
      </w:r>
      <w:r>
        <w:rPr>
          <w:rFonts w:ascii="方正小标宋_GBK" w:eastAsia="方正小标宋_GBK" w:hAnsi="方正小标宋_GBK" w:cs="方正小标宋_GBK"/>
          <w:b/>
          <w:bCs/>
          <w:sz w:val="36"/>
          <w:szCs w:val="44"/>
        </w:rPr>
        <w:t>建设</w:t>
      </w:r>
      <w:r>
        <w:rPr>
          <w:rFonts w:ascii="方正小标宋_GBK" w:eastAsia="方正小标宋_GBK" w:hAnsi="方正小标宋_GBK" w:cs="方正小标宋_GBK" w:hint="eastAsia"/>
          <w:b/>
          <w:bCs/>
          <w:sz w:val="36"/>
          <w:szCs w:val="44"/>
        </w:rPr>
        <w:t>项目工程勘察及施工图审查费用实施减免的通知</w:t>
      </w:r>
    </w:p>
    <w:p w:rsidR="00E666E5" w:rsidRDefault="00E666E5">
      <w:pPr>
        <w:spacing w:line="566" w:lineRule="exact"/>
        <w:rPr>
          <w:rFonts w:ascii="仿宋_GB2312" w:eastAsia="仿宋" w:hAnsi="仿宋_GB2312" w:cs="仿宋_GB2312"/>
          <w:sz w:val="32"/>
          <w:szCs w:val="32"/>
        </w:rPr>
      </w:pPr>
    </w:p>
    <w:p w:rsidR="00E666E5" w:rsidRDefault="003B6B17">
      <w:pPr>
        <w:spacing w:line="560" w:lineRule="exact"/>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相关单位：</w:t>
      </w:r>
      <w:r>
        <w:rPr>
          <w:rFonts w:ascii="仿宋_GB2312" w:eastAsia="仿宋_GB2312" w:hint="eastAsia"/>
          <w:sz w:val="32"/>
          <w:szCs w:val="32"/>
        </w:rPr>
        <w:t xml:space="preserve"> </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为进一步深化“放管服”改革，优化营商环境，根据《关于印发合肥市优化社会投资简易低风险工程建设项目审批服务实施方案（试行）的通知》（合四最办〔</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号）、《关于做好我市社会投资简易低风险工程建设项目工程勘察费用减免的通知》（合建〔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号）、《关于做好我市社会投资简易低风险建设项目施工图设计文件抽查管理的通知》（合建【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文件要求，现将减免我区社会投资简易低风险工程建设项目工程勘察及施工图审查费用有关事项通知如下</w:t>
      </w:r>
      <w:r>
        <w:rPr>
          <w:rFonts w:ascii="仿宋_GB2312" w:eastAsia="仿宋_GB2312" w:hAnsi="仿宋_GB2312" w:cs="仿宋_GB2312" w:hint="eastAsia"/>
          <w:sz w:val="32"/>
          <w:szCs w:val="32"/>
        </w:rPr>
        <w:t>:</w:t>
      </w:r>
    </w:p>
    <w:p w:rsidR="00E666E5" w:rsidRDefault="003B6B17">
      <w:pPr>
        <w:autoSpaceDE w:val="0"/>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一、适用范围</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瑶海区行政区域范围内社会投资简易低风险工程建设项</w:t>
      </w:r>
      <w:r>
        <w:rPr>
          <w:rFonts w:ascii="仿宋_GB2312" w:eastAsia="仿宋_GB2312" w:hAnsi="仿宋_GB2312" w:cs="仿宋_GB2312" w:hint="eastAsia"/>
          <w:sz w:val="32"/>
          <w:szCs w:val="32"/>
        </w:rPr>
        <w:t>目，其工程勘察及施工图审查费用予以减免。政府已有公开地质勘察信息且满足现行规范要求的，社会投资简易低风险工程建设项目可使用政府公开的地质勘察信息开展设计，无需再进行工程勘察。</w:t>
      </w:r>
    </w:p>
    <w:p w:rsidR="00E666E5" w:rsidRDefault="003B6B17">
      <w:pPr>
        <w:autoSpaceDE w:val="0"/>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二、认定程序</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社会投资简易低风险工程建设项目是指建筑物高度不超过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米，无地下室，总建筑面积不超过</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平方米，功能单一，技术要求简单，建筑物性质为普通标准厂房、仓储项目（详见附</w:t>
      </w:r>
      <w:r>
        <w:rPr>
          <w:rFonts w:ascii="仿宋_GB2312" w:eastAsia="仿宋_GB2312" w:hAnsi="仿宋_GB2312" w:cs="仿宋_GB2312" w:hint="eastAsia"/>
          <w:sz w:val="32"/>
          <w:szCs w:val="32"/>
        </w:rPr>
        <w:lastRenderedPageBreak/>
        <w:t>件）。</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易燃易爆、有毒有害等安全保护的项目，涉及环境敏感区域或生态环境影响大的项目，涉及污染地块用途变更为公共服务用地的项目，涉及防洪安全的项目，涉及风貌保护、轨道交通保护等特定区域的项目，以及各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认为不宜纳入的项目，不得纳入社会投资简易低风险项目范围进行审批管理。</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社会投资简易低风险项目的认定，由建设单位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提出申请，相关审批部门审核后确定。具体方式如下：建设单位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通过全国一体化在线政务服务平台“皖事通办”企业法人账号登录工程建设项目审批管理平台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以下简称“工改平台”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，点击“社会投资</w:t>
      </w:r>
      <w:r>
        <w:rPr>
          <w:rFonts w:ascii="仿宋_GB2312" w:eastAsia="仿宋_GB2312" w:hAnsi="仿宋_GB2312" w:cs="仿宋_GB2312" w:hint="eastAsia"/>
          <w:sz w:val="32"/>
          <w:szCs w:val="32"/>
        </w:rPr>
        <w:t>简易低风险工程类”项目模块，对报建项目用途限定条件进行申报，“工改平台”将项目信息自动推送至发改、自规、住建、环保、人防、城管、水务、文旅、园林等相关审批部门，审批部门限时确认后，建设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按社会投资简易低风险工程类项目进行事项申报。不符合社会投资简易低风险工程类项目范围的，审批部门及时提出不符合意见，并说明原因，综合窗口将审批部门结果反馈建设单位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666E5" w:rsidRDefault="003B6B17">
      <w:pPr>
        <w:autoSpaceDE w:val="0"/>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三、减免</w:t>
      </w:r>
      <w:r>
        <w:rPr>
          <w:rFonts w:ascii="黑体" w:eastAsia="黑体" w:hAnsi="黑体"/>
          <w:b/>
          <w:bCs/>
          <w:sz w:val="32"/>
          <w:szCs w:val="32"/>
        </w:rPr>
        <w:t>方式</w:t>
      </w:r>
    </w:p>
    <w:p w:rsidR="00E666E5" w:rsidRDefault="003B6B1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依据市级文件要求，采用以下方式实施我区行政区域范围内社会投资简易低风险工程建设项目工程勘察及施工图审查费用减免：</w:t>
      </w:r>
    </w:p>
    <w:p w:rsidR="00E666E5" w:rsidRDefault="003B6B17">
      <w:pPr>
        <w:autoSpaceDE w:val="0"/>
        <w:spacing w:line="560" w:lineRule="exact"/>
        <w:ind w:firstLineChars="200" w:firstLine="643"/>
        <w:rPr>
          <w:rFonts w:eastAsia="仿宋_GB2312"/>
          <w:sz w:val="32"/>
          <w:szCs w:val="32"/>
        </w:rPr>
      </w:pPr>
      <w:r>
        <w:rPr>
          <w:rFonts w:eastAsia="仿宋_GB2312" w:hint="eastAsia"/>
          <w:b/>
          <w:sz w:val="32"/>
          <w:szCs w:val="32"/>
        </w:rPr>
        <w:t>1</w:t>
      </w:r>
      <w:r>
        <w:rPr>
          <w:rFonts w:eastAsia="仿宋_GB2312" w:hint="eastAsia"/>
          <w:b/>
          <w:sz w:val="32"/>
          <w:szCs w:val="32"/>
        </w:rPr>
        <w:t>.</w:t>
      </w:r>
      <w:r>
        <w:rPr>
          <w:rFonts w:eastAsia="仿宋_GB2312" w:hint="eastAsia"/>
          <w:b/>
          <w:sz w:val="32"/>
          <w:szCs w:val="32"/>
        </w:rPr>
        <w:t>关于</w:t>
      </w:r>
      <w:r>
        <w:rPr>
          <w:rFonts w:eastAsia="仿宋_GB2312"/>
          <w:b/>
          <w:sz w:val="32"/>
          <w:szCs w:val="32"/>
        </w:rPr>
        <w:t>工程</w:t>
      </w:r>
      <w:r>
        <w:rPr>
          <w:rFonts w:eastAsia="仿宋_GB2312"/>
          <w:b/>
          <w:sz w:val="32"/>
          <w:szCs w:val="32"/>
        </w:rPr>
        <w:t>勘察费用减免。</w:t>
      </w:r>
      <w:r>
        <w:rPr>
          <w:rFonts w:eastAsia="仿宋_GB2312" w:hint="eastAsia"/>
          <w:sz w:val="32"/>
          <w:szCs w:val="32"/>
        </w:rPr>
        <w:t>建设单位自行委托勘察单位完成</w:t>
      </w:r>
      <w:r>
        <w:rPr>
          <w:rFonts w:eastAsia="仿宋_GB2312"/>
          <w:sz w:val="32"/>
          <w:szCs w:val="32"/>
        </w:rPr>
        <w:lastRenderedPageBreak/>
        <w:t>勘察，</w:t>
      </w:r>
      <w:r>
        <w:rPr>
          <w:rFonts w:eastAsia="仿宋_GB2312" w:hint="eastAsia"/>
          <w:sz w:val="32"/>
          <w:szCs w:val="32"/>
        </w:rPr>
        <w:t>由</w:t>
      </w:r>
      <w:r>
        <w:rPr>
          <w:rFonts w:eastAsia="仿宋_GB2312"/>
          <w:sz w:val="32"/>
          <w:szCs w:val="32"/>
        </w:rPr>
        <w:t>建设单位在</w:t>
      </w:r>
      <w:r>
        <w:rPr>
          <w:rFonts w:eastAsia="仿宋_GB2312" w:hint="eastAsia"/>
          <w:sz w:val="32"/>
          <w:szCs w:val="32"/>
        </w:rPr>
        <w:t>项目办理建筑</w:t>
      </w:r>
      <w:r>
        <w:rPr>
          <w:rFonts w:eastAsia="仿宋_GB2312"/>
          <w:sz w:val="32"/>
          <w:szCs w:val="32"/>
        </w:rPr>
        <w:t>工程</w:t>
      </w:r>
      <w:r>
        <w:rPr>
          <w:rFonts w:eastAsia="仿宋_GB2312" w:hint="eastAsia"/>
          <w:sz w:val="32"/>
          <w:szCs w:val="32"/>
        </w:rPr>
        <w:t>施工许可证后至工程竣工验收备案前向区住建局提出申请，区</w:t>
      </w:r>
      <w:r>
        <w:rPr>
          <w:rFonts w:eastAsia="仿宋_GB2312"/>
          <w:sz w:val="32"/>
          <w:szCs w:val="32"/>
        </w:rPr>
        <w:t>住建局报告区政府</w:t>
      </w:r>
      <w:r>
        <w:rPr>
          <w:rFonts w:eastAsia="仿宋_GB2312" w:hint="eastAsia"/>
          <w:sz w:val="32"/>
          <w:szCs w:val="32"/>
        </w:rPr>
        <w:t>据实予以减免。</w:t>
      </w:r>
    </w:p>
    <w:p w:rsidR="00E666E5" w:rsidRDefault="003B6B17">
      <w:pPr>
        <w:pStyle w:val="2"/>
        <w:spacing w:line="560" w:lineRule="exact"/>
        <w:ind w:firstLineChars="200" w:firstLine="643"/>
        <w:rPr>
          <w:rFonts w:eastAsia="仿宋_GB2312"/>
        </w:rPr>
      </w:pPr>
      <w:r>
        <w:rPr>
          <w:rFonts w:eastAsia="仿宋_GB2312" w:hint="eastAsia"/>
          <w:b/>
        </w:rPr>
        <w:t>2</w:t>
      </w:r>
      <w:r>
        <w:rPr>
          <w:rFonts w:eastAsia="仿宋_GB2312" w:hint="eastAsia"/>
          <w:b/>
        </w:rPr>
        <w:t>.</w:t>
      </w:r>
      <w:r>
        <w:rPr>
          <w:rFonts w:eastAsia="仿宋_GB2312"/>
          <w:b/>
        </w:rPr>
        <w:t>关于施工图审查费用减免</w:t>
      </w:r>
      <w:r>
        <w:rPr>
          <w:rFonts w:eastAsia="仿宋_GB2312" w:hint="eastAsia"/>
          <w:b/>
        </w:rPr>
        <w:t>。</w:t>
      </w:r>
      <w:r>
        <w:rPr>
          <w:rFonts w:eastAsia="仿宋_GB2312" w:hint="eastAsia"/>
        </w:rPr>
        <w:t>建设</w:t>
      </w:r>
      <w:r>
        <w:rPr>
          <w:rFonts w:eastAsia="仿宋_GB2312"/>
        </w:rPr>
        <w:t>单位</w:t>
      </w:r>
      <w:r>
        <w:rPr>
          <w:rFonts w:eastAsia="仿宋_GB2312" w:hint="eastAsia"/>
        </w:rPr>
        <w:t>提交</w:t>
      </w:r>
      <w:r>
        <w:rPr>
          <w:rFonts w:eastAsia="仿宋_GB2312"/>
        </w:rPr>
        <w:t>相关资料</w:t>
      </w:r>
      <w:r>
        <w:rPr>
          <w:rFonts w:eastAsia="仿宋_GB2312" w:hint="eastAsia"/>
        </w:rPr>
        <w:t>至“合肥</w:t>
      </w:r>
      <w:r>
        <w:rPr>
          <w:rFonts w:eastAsia="仿宋_GB2312"/>
        </w:rPr>
        <w:t>市建设行业监管平台综合服务平台数字化审图系统</w:t>
      </w:r>
      <w:r>
        <w:rPr>
          <w:rFonts w:eastAsia="仿宋_GB2312"/>
        </w:rPr>
        <w:t>”</w:t>
      </w:r>
      <w:r>
        <w:rPr>
          <w:rFonts w:eastAsia="仿宋_GB2312" w:hint="eastAsia"/>
        </w:rPr>
        <w:t>后</w:t>
      </w:r>
      <w:r>
        <w:rPr>
          <w:rFonts w:eastAsia="仿宋_GB2312"/>
        </w:rPr>
        <w:t>，由区住建局</w:t>
      </w:r>
      <w:r>
        <w:rPr>
          <w:rFonts w:eastAsia="仿宋_GB2312" w:hint="eastAsia"/>
        </w:rPr>
        <w:t>委托具有</w:t>
      </w:r>
      <w:r>
        <w:rPr>
          <w:rFonts w:eastAsia="仿宋_GB2312"/>
        </w:rPr>
        <w:t>相应资质的</w:t>
      </w:r>
      <w:r>
        <w:rPr>
          <w:rFonts w:eastAsia="仿宋_GB2312" w:hint="eastAsia"/>
        </w:rPr>
        <w:t>审图</w:t>
      </w:r>
      <w:r>
        <w:rPr>
          <w:rFonts w:eastAsia="仿宋_GB2312"/>
        </w:rPr>
        <w:t>机构</w:t>
      </w:r>
      <w:r>
        <w:rPr>
          <w:rFonts w:eastAsia="仿宋_GB2312" w:hint="eastAsia"/>
        </w:rPr>
        <w:t>或</w:t>
      </w:r>
      <w:r>
        <w:rPr>
          <w:rFonts w:eastAsia="仿宋_GB2312"/>
        </w:rPr>
        <w:t>具备相应资格的专家</w:t>
      </w:r>
      <w:r>
        <w:rPr>
          <w:rFonts w:eastAsia="仿宋_GB2312" w:hint="eastAsia"/>
        </w:rPr>
        <w:t>，</w:t>
      </w:r>
      <w:r>
        <w:rPr>
          <w:rFonts w:eastAsia="仿宋_GB2312"/>
        </w:rPr>
        <w:t>对</w:t>
      </w:r>
      <w:r>
        <w:rPr>
          <w:rFonts w:eastAsia="仿宋_GB2312" w:hint="eastAsia"/>
        </w:rPr>
        <w:t>提交到</w:t>
      </w:r>
      <w:r>
        <w:rPr>
          <w:rFonts w:eastAsia="仿宋_GB2312"/>
        </w:rPr>
        <w:t>系统的</w:t>
      </w:r>
      <w:r>
        <w:rPr>
          <w:rFonts w:eastAsia="仿宋_GB2312" w:hint="eastAsia"/>
        </w:rPr>
        <w:t>施工图</w:t>
      </w:r>
      <w:r>
        <w:rPr>
          <w:rFonts w:eastAsia="仿宋_GB2312"/>
        </w:rPr>
        <w:t>质量进</w:t>
      </w:r>
      <w:r>
        <w:rPr>
          <w:rFonts w:eastAsia="仿宋_GB2312" w:hint="eastAsia"/>
        </w:rPr>
        <w:t>行</w:t>
      </w:r>
      <w:r>
        <w:rPr>
          <w:rFonts w:eastAsia="仿宋_GB2312" w:hint="eastAsia"/>
        </w:rPr>
        <w:t>100%</w:t>
      </w:r>
      <w:r>
        <w:rPr>
          <w:rFonts w:eastAsia="仿宋_GB2312" w:hint="eastAsia"/>
        </w:rPr>
        <w:t>抽查</w:t>
      </w:r>
      <w:r>
        <w:rPr>
          <w:rFonts w:eastAsia="仿宋_GB2312"/>
        </w:rPr>
        <w:t>并出具抽查意见，相应</w:t>
      </w:r>
      <w:r>
        <w:rPr>
          <w:rFonts w:eastAsia="仿宋_GB2312" w:hint="eastAsia"/>
        </w:rPr>
        <w:t>经费纳</w:t>
      </w:r>
      <w:r>
        <w:rPr>
          <w:rFonts w:eastAsia="仿宋_GB2312"/>
        </w:rPr>
        <w:t>入</w:t>
      </w:r>
      <w:r>
        <w:rPr>
          <w:rFonts w:eastAsia="仿宋_GB2312" w:hint="eastAsia"/>
        </w:rPr>
        <w:t>区</w:t>
      </w:r>
      <w:r>
        <w:rPr>
          <w:rFonts w:eastAsia="仿宋_GB2312"/>
        </w:rPr>
        <w:t>住建局年度预算向区政府申请予以保障。</w:t>
      </w:r>
    </w:p>
    <w:p w:rsidR="00E666E5" w:rsidRDefault="003B6B17">
      <w:pPr>
        <w:pStyle w:val="2"/>
        <w:spacing w:after="0" w:line="560" w:lineRule="exact"/>
        <w:ind w:firstLineChars="200" w:firstLine="643"/>
        <w:rPr>
          <w:rFonts w:eastAsia="仿宋_GB2312"/>
        </w:rPr>
      </w:pPr>
      <w:r>
        <w:rPr>
          <w:rFonts w:ascii="黑体" w:eastAsia="黑体" w:hAnsi="黑体" w:hint="eastAsia"/>
          <w:b/>
          <w:bCs/>
        </w:rPr>
        <w:t>本通知自印发之日起施行。</w:t>
      </w:r>
    </w:p>
    <w:p w:rsidR="00E666E5" w:rsidRDefault="00E666E5">
      <w:pPr>
        <w:pStyle w:val="2"/>
        <w:spacing w:after="0" w:line="560" w:lineRule="exact"/>
        <w:ind w:firstLineChars="200" w:firstLine="640"/>
        <w:rPr>
          <w:rFonts w:eastAsia="仿宋_GB2312"/>
        </w:rPr>
      </w:pPr>
    </w:p>
    <w:p w:rsidR="00E666E5" w:rsidRDefault="003B6B17">
      <w:pPr>
        <w:pStyle w:val="2"/>
        <w:spacing w:after="0" w:line="560" w:lineRule="exact"/>
        <w:ind w:firstLineChars="200" w:firstLine="640"/>
        <w:rPr>
          <w:rFonts w:eastAsia="仿宋_GB2312"/>
        </w:rPr>
      </w:pPr>
      <w:r>
        <w:rPr>
          <w:rFonts w:eastAsia="仿宋_GB2312" w:hint="eastAsia"/>
        </w:rPr>
        <w:t>附件：社会投资简易低风险工程建设项目清单</w:t>
      </w:r>
    </w:p>
    <w:p w:rsidR="00E666E5" w:rsidRDefault="00E666E5">
      <w:pPr>
        <w:pStyle w:val="2"/>
        <w:spacing w:after="0" w:line="560" w:lineRule="exact"/>
        <w:ind w:firstLineChars="200" w:firstLine="640"/>
        <w:rPr>
          <w:rFonts w:eastAsia="仿宋_GB2312"/>
        </w:rPr>
      </w:pPr>
    </w:p>
    <w:p w:rsidR="00E666E5" w:rsidRDefault="003B6B17">
      <w:pPr>
        <w:pStyle w:val="2"/>
        <w:spacing w:after="0" w:line="560" w:lineRule="exact"/>
        <w:ind w:firstLineChars="200" w:firstLine="640"/>
        <w:jc w:val="right"/>
        <w:rPr>
          <w:rFonts w:eastAsia="仿宋_GB2312"/>
        </w:rPr>
      </w:pPr>
      <w:r>
        <w:rPr>
          <w:rFonts w:eastAsia="仿宋_GB2312" w:hint="eastAsia"/>
        </w:rPr>
        <w:t>合肥市瑶海区住房和城乡建设局</w:t>
      </w:r>
    </w:p>
    <w:p w:rsidR="00E666E5" w:rsidRDefault="003B6B17">
      <w:pPr>
        <w:pStyle w:val="2"/>
        <w:spacing w:after="0" w:line="560" w:lineRule="exact"/>
        <w:ind w:firstLineChars="200" w:firstLine="640"/>
        <w:jc w:val="center"/>
        <w:rPr>
          <w:rFonts w:eastAsia="仿宋_GB2312"/>
        </w:rPr>
      </w:pPr>
      <w:r>
        <w:rPr>
          <w:rFonts w:eastAsia="仿宋_GB2312" w:hint="eastAsia"/>
        </w:rPr>
        <w:t xml:space="preserve">                          2023</w:t>
      </w:r>
      <w:r>
        <w:rPr>
          <w:rFonts w:eastAsia="仿宋_GB2312" w:hint="eastAsia"/>
        </w:rPr>
        <w:t>年</w:t>
      </w:r>
      <w:r>
        <w:rPr>
          <w:rFonts w:eastAsia="仿宋_GB2312" w:hint="eastAsia"/>
        </w:rPr>
        <w:t>9</w:t>
      </w:r>
      <w:r>
        <w:rPr>
          <w:rFonts w:eastAsia="仿宋_GB2312" w:hint="eastAsia"/>
        </w:rPr>
        <w:t>月</w:t>
      </w:r>
      <w:r>
        <w:rPr>
          <w:rFonts w:eastAsia="仿宋_GB2312" w:hint="eastAsia"/>
        </w:rPr>
        <w:t>19</w:t>
      </w:r>
      <w:r>
        <w:rPr>
          <w:rFonts w:eastAsia="仿宋_GB2312" w:hint="eastAsia"/>
        </w:rPr>
        <w:t>日</w:t>
      </w:r>
    </w:p>
    <w:p w:rsidR="00E666E5" w:rsidRDefault="00E666E5">
      <w:pPr>
        <w:pStyle w:val="2"/>
        <w:spacing w:after="0" w:line="566" w:lineRule="exact"/>
        <w:ind w:firstLineChars="200" w:firstLine="640"/>
        <w:rPr>
          <w:rFonts w:eastAsia="仿宋_GB2312"/>
        </w:rPr>
      </w:pPr>
    </w:p>
    <w:bookmarkEnd w:id="0"/>
    <w:p w:rsidR="00E666E5" w:rsidRDefault="00E666E5">
      <w:pPr>
        <w:pStyle w:val="2"/>
        <w:rPr>
          <w:rFonts w:ascii="仿宋" w:hAnsi="仿宋"/>
          <w:color w:val="000000"/>
          <w:sz w:val="28"/>
        </w:rPr>
        <w:sectPr w:rsidR="00E666E5">
          <w:footerReference w:type="even" r:id="rId7"/>
          <w:footerReference w:type="default" r:id="rId8"/>
          <w:pgSz w:w="11906" w:h="16838"/>
          <w:pgMar w:top="2098" w:right="1587" w:bottom="1928" w:left="1474" w:header="851" w:footer="992" w:gutter="0"/>
          <w:pgNumType w:fmt="numberInDash"/>
          <w:cols w:space="720"/>
          <w:docGrid w:type="lines" w:linePitch="312"/>
        </w:sectPr>
      </w:pPr>
    </w:p>
    <w:p w:rsidR="00E666E5" w:rsidRDefault="003B6B17">
      <w:pPr>
        <w:spacing w:line="640" w:lineRule="exact"/>
        <w:rPr>
          <w:rFonts w:ascii="仿宋" w:eastAsia="仿宋" w:hAnsi="仿宋" w:cs="仿宋"/>
          <w:sz w:val="24"/>
        </w:rPr>
      </w:pPr>
      <w:r>
        <w:rPr>
          <w:rFonts w:ascii="仿宋" w:eastAsia="仿宋" w:hAnsi="仿宋" w:cs="仿宋" w:hint="eastAsia"/>
          <w:b/>
          <w:bCs/>
          <w:sz w:val="32"/>
          <w:szCs w:val="32"/>
        </w:rPr>
        <w:lastRenderedPageBreak/>
        <w:t>附件：</w:t>
      </w:r>
      <w:r>
        <w:rPr>
          <w:rFonts w:ascii="仿宋" w:eastAsia="仿宋" w:hAnsi="仿宋" w:cs="仿宋" w:hint="eastAsia"/>
          <w:b/>
          <w:bCs/>
          <w:sz w:val="32"/>
          <w:szCs w:val="32"/>
        </w:rPr>
        <w:t xml:space="preserve"> </w:t>
      </w:r>
      <w:r>
        <w:rPr>
          <w:rFonts w:ascii="仿宋" w:eastAsia="仿宋" w:hAnsi="仿宋" w:cs="仿宋" w:hint="eastAsia"/>
          <w:sz w:val="24"/>
        </w:rPr>
        <w:t xml:space="preserve">                 </w:t>
      </w:r>
    </w:p>
    <w:p w:rsidR="00E666E5" w:rsidRDefault="003B6B17">
      <w:pPr>
        <w:spacing w:line="64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社会投资简易低风险工程建设项目清单</w:t>
      </w:r>
    </w:p>
    <w:tbl>
      <w:tblPr>
        <w:tblStyle w:val="a7"/>
        <w:tblW w:w="13637" w:type="dxa"/>
        <w:tblLook w:val="04A0" w:firstRow="1" w:lastRow="0" w:firstColumn="1" w:lastColumn="0" w:noHBand="0" w:noVBand="1"/>
      </w:tblPr>
      <w:tblGrid>
        <w:gridCol w:w="2028"/>
        <w:gridCol w:w="3425"/>
        <w:gridCol w:w="2728"/>
        <w:gridCol w:w="2728"/>
        <w:gridCol w:w="2728"/>
      </w:tblGrid>
      <w:tr w:rsidR="00E666E5">
        <w:trPr>
          <w:trHeight w:val="1063"/>
        </w:trPr>
        <w:tc>
          <w:tcPr>
            <w:tcW w:w="2028" w:type="dxa"/>
            <w:vAlign w:val="center"/>
          </w:tcPr>
          <w:p w:rsidR="00E666E5" w:rsidRDefault="003B6B17">
            <w:pPr>
              <w:pStyle w:val="2"/>
              <w:jc w:val="center"/>
              <w:rPr>
                <w:rFonts w:ascii="仿宋" w:hAnsi="仿宋" w:cs="仿宋"/>
                <w:b/>
                <w:bCs/>
              </w:rPr>
            </w:pPr>
            <w:r>
              <w:rPr>
                <w:rFonts w:ascii="仿宋" w:hAnsi="仿宋" w:cs="仿宋" w:hint="eastAsia"/>
                <w:b/>
                <w:bCs/>
              </w:rPr>
              <w:t>建筑物性质</w:t>
            </w:r>
          </w:p>
        </w:tc>
        <w:tc>
          <w:tcPr>
            <w:tcW w:w="3425" w:type="dxa"/>
            <w:vAlign w:val="center"/>
          </w:tcPr>
          <w:p w:rsidR="00E666E5" w:rsidRDefault="003B6B17">
            <w:pPr>
              <w:pStyle w:val="2"/>
              <w:jc w:val="center"/>
              <w:rPr>
                <w:rFonts w:ascii="仿宋" w:hAnsi="仿宋" w:cs="仿宋"/>
                <w:b/>
                <w:bCs/>
              </w:rPr>
            </w:pPr>
            <w:r>
              <w:rPr>
                <w:rFonts w:ascii="仿宋" w:hAnsi="仿宋" w:cs="仿宋" w:hint="eastAsia"/>
                <w:b/>
                <w:bCs/>
              </w:rPr>
              <w:t>用途限定条件</w:t>
            </w:r>
          </w:p>
        </w:tc>
        <w:tc>
          <w:tcPr>
            <w:tcW w:w="2728" w:type="dxa"/>
            <w:vAlign w:val="center"/>
          </w:tcPr>
          <w:p w:rsidR="00E666E5" w:rsidRDefault="003B6B17">
            <w:pPr>
              <w:pStyle w:val="2"/>
              <w:jc w:val="center"/>
              <w:rPr>
                <w:rFonts w:ascii="仿宋" w:hAnsi="仿宋" w:cs="仿宋"/>
                <w:b/>
                <w:bCs/>
              </w:rPr>
            </w:pPr>
            <w:r>
              <w:rPr>
                <w:rFonts w:ascii="仿宋" w:hAnsi="仿宋" w:cs="仿宋" w:hint="eastAsia"/>
                <w:b/>
                <w:bCs/>
              </w:rPr>
              <w:t>位置</w:t>
            </w:r>
          </w:p>
        </w:tc>
        <w:tc>
          <w:tcPr>
            <w:tcW w:w="2728" w:type="dxa"/>
            <w:vAlign w:val="center"/>
          </w:tcPr>
          <w:p w:rsidR="00E666E5" w:rsidRDefault="003B6B17">
            <w:pPr>
              <w:pStyle w:val="2"/>
              <w:jc w:val="center"/>
              <w:rPr>
                <w:rFonts w:ascii="仿宋" w:hAnsi="仿宋" w:cs="仿宋"/>
                <w:b/>
                <w:bCs/>
              </w:rPr>
            </w:pPr>
            <w:r>
              <w:rPr>
                <w:rFonts w:ascii="仿宋" w:hAnsi="仿宋" w:cs="仿宋" w:hint="eastAsia"/>
                <w:b/>
                <w:bCs/>
              </w:rPr>
              <w:t>结构层次要求</w:t>
            </w:r>
          </w:p>
        </w:tc>
        <w:tc>
          <w:tcPr>
            <w:tcW w:w="2728" w:type="dxa"/>
            <w:vAlign w:val="center"/>
          </w:tcPr>
          <w:p w:rsidR="00E666E5" w:rsidRDefault="003B6B17">
            <w:pPr>
              <w:pStyle w:val="2"/>
              <w:jc w:val="center"/>
              <w:rPr>
                <w:rFonts w:ascii="仿宋" w:hAnsi="仿宋" w:cs="仿宋"/>
                <w:b/>
                <w:bCs/>
              </w:rPr>
            </w:pPr>
            <w:r>
              <w:rPr>
                <w:rFonts w:ascii="仿宋" w:hAnsi="仿宋" w:cs="仿宋" w:hint="eastAsia"/>
                <w:b/>
                <w:bCs/>
              </w:rPr>
              <w:t>建筑面积</w:t>
            </w:r>
          </w:p>
        </w:tc>
      </w:tr>
      <w:tr w:rsidR="00E666E5">
        <w:trPr>
          <w:trHeight w:val="3096"/>
        </w:trPr>
        <w:tc>
          <w:tcPr>
            <w:tcW w:w="2028" w:type="dxa"/>
            <w:vAlign w:val="center"/>
          </w:tcPr>
          <w:p w:rsidR="00E666E5" w:rsidRDefault="003B6B17">
            <w:pPr>
              <w:pStyle w:val="2"/>
              <w:jc w:val="center"/>
              <w:rPr>
                <w:rFonts w:ascii="仿宋" w:hAnsi="仿宋" w:cs="仿宋"/>
                <w:sz w:val="24"/>
                <w:szCs w:val="24"/>
              </w:rPr>
            </w:pPr>
            <w:r>
              <w:rPr>
                <w:rFonts w:ascii="仿宋" w:hAnsi="仿宋" w:cs="仿宋" w:hint="eastAsia"/>
                <w:sz w:val="24"/>
                <w:szCs w:val="24"/>
              </w:rPr>
              <w:t>仓储</w:t>
            </w:r>
          </w:p>
        </w:tc>
        <w:tc>
          <w:tcPr>
            <w:tcW w:w="3425" w:type="dxa"/>
            <w:vAlign w:val="center"/>
          </w:tcPr>
          <w:p w:rsidR="00E666E5" w:rsidRDefault="003B6B17">
            <w:pPr>
              <w:pStyle w:val="2"/>
              <w:jc w:val="left"/>
              <w:rPr>
                <w:rFonts w:ascii="仿宋" w:hAnsi="仿宋" w:cs="仿宋"/>
                <w:sz w:val="24"/>
                <w:szCs w:val="24"/>
              </w:rPr>
            </w:pPr>
            <w:r>
              <w:rPr>
                <w:rFonts w:ascii="仿宋" w:hAnsi="仿宋" w:cs="仿宋" w:hint="eastAsia"/>
                <w:sz w:val="24"/>
                <w:szCs w:val="24"/>
              </w:rPr>
              <w:t>不存放易燃、易爆、有毒、有害物品或危险品；利用绿地用地、广场用地、城市道路用地、社会停车场用地和其他城市交通用地等开发地下空间的建设项目除外。</w:t>
            </w:r>
          </w:p>
        </w:tc>
        <w:tc>
          <w:tcPr>
            <w:tcW w:w="2728" w:type="dxa"/>
            <w:vMerge w:val="restart"/>
            <w:vAlign w:val="center"/>
          </w:tcPr>
          <w:p w:rsidR="00E666E5" w:rsidRDefault="003B6B17">
            <w:pPr>
              <w:pStyle w:val="2"/>
              <w:jc w:val="left"/>
              <w:rPr>
                <w:rFonts w:ascii="仿宋" w:hAnsi="仿宋" w:cs="仿宋"/>
                <w:sz w:val="24"/>
                <w:szCs w:val="24"/>
              </w:rPr>
            </w:pPr>
            <w:r>
              <w:rPr>
                <w:rFonts w:ascii="仿宋" w:hAnsi="仿宋" w:cs="仿宋" w:hint="eastAsia"/>
                <w:sz w:val="24"/>
                <w:szCs w:val="24"/>
              </w:rPr>
              <w:t>位于规划城乡建设用地和工业园区内，市政管线配套健全，管线接入不需要破坏城市主、次干道车行道或快速路；未位于文物保护范围、建控地带、地下文物埋藏区、《建设项目环境影响评价分类管理名录》确定的环境敏感区；未位于用途变更为公共服务用地的污染地块区域；且未位于机要单位和名木古树</w:t>
            </w:r>
            <w:r>
              <w:rPr>
                <w:rFonts w:ascii="仿宋" w:hAnsi="仿宋" w:cs="仿宋" w:hint="eastAsia"/>
                <w:sz w:val="24"/>
                <w:szCs w:val="24"/>
              </w:rPr>
              <w:t>30</w:t>
            </w:r>
            <w:r>
              <w:rPr>
                <w:rFonts w:ascii="仿宋" w:hAnsi="仿宋" w:cs="仿宋" w:hint="eastAsia"/>
                <w:sz w:val="24"/>
                <w:szCs w:val="24"/>
              </w:rPr>
              <w:t>米范围内。</w:t>
            </w:r>
          </w:p>
        </w:tc>
        <w:tc>
          <w:tcPr>
            <w:tcW w:w="2728" w:type="dxa"/>
            <w:vMerge w:val="restart"/>
            <w:vAlign w:val="center"/>
          </w:tcPr>
          <w:p w:rsidR="00E666E5" w:rsidRDefault="003B6B17">
            <w:pPr>
              <w:pStyle w:val="2"/>
              <w:jc w:val="left"/>
              <w:rPr>
                <w:rFonts w:ascii="仿宋" w:hAnsi="仿宋" w:cs="仿宋"/>
                <w:sz w:val="24"/>
                <w:szCs w:val="24"/>
              </w:rPr>
            </w:pPr>
            <w:r>
              <w:rPr>
                <w:rFonts w:ascii="仿宋" w:hAnsi="仿宋" w:cs="仿宋" w:hint="eastAsia"/>
                <w:sz w:val="24"/>
                <w:szCs w:val="24"/>
              </w:rPr>
              <w:t>现浇混凝土结构或砌体结构、钢结构的单层或多层建筑</w:t>
            </w:r>
          </w:p>
        </w:tc>
        <w:tc>
          <w:tcPr>
            <w:tcW w:w="2728" w:type="dxa"/>
            <w:vMerge w:val="restart"/>
            <w:vAlign w:val="center"/>
          </w:tcPr>
          <w:p w:rsidR="00E666E5" w:rsidRDefault="003B6B17">
            <w:pPr>
              <w:pStyle w:val="2"/>
              <w:jc w:val="left"/>
              <w:rPr>
                <w:rFonts w:ascii="仿宋" w:hAnsi="仿宋" w:cs="仿宋"/>
                <w:sz w:val="24"/>
                <w:szCs w:val="24"/>
              </w:rPr>
            </w:pPr>
            <w:r>
              <w:rPr>
                <w:rFonts w:ascii="仿宋" w:hAnsi="仿宋" w:cs="仿宋" w:hint="eastAsia"/>
                <w:sz w:val="24"/>
                <w:szCs w:val="24"/>
              </w:rPr>
              <w:t>建筑物高度不超过</w:t>
            </w:r>
            <w:r>
              <w:rPr>
                <w:rFonts w:ascii="仿宋" w:hAnsi="仿宋" w:cs="仿宋" w:hint="eastAsia"/>
                <w:sz w:val="24"/>
                <w:szCs w:val="24"/>
              </w:rPr>
              <w:t>24</w:t>
            </w:r>
            <w:r>
              <w:rPr>
                <w:rFonts w:ascii="仿宋" w:hAnsi="仿宋" w:cs="仿宋" w:hint="eastAsia"/>
                <w:sz w:val="24"/>
                <w:szCs w:val="24"/>
              </w:rPr>
              <w:t>米，无地下室，总建筑面积不超</w:t>
            </w:r>
            <w:r>
              <w:rPr>
                <w:rFonts w:ascii="仿宋" w:hAnsi="仿宋" w:cs="仿宋" w:hint="eastAsia"/>
                <w:sz w:val="24"/>
                <w:szCs w:val="24"/>
              </w:rPr>
              <w:t>10000</w:t>
            </w:r>
            <w:r>
              <w:rPr>
                <w:rFonts w:ascii="仿宋" w:hAnsi="仿宋" w:cs="仿宋" w:hint="eastAsia"/>
                <w:sz w:val="24"/>
                <w:szCs w:val="24"/>
              </w:rPr>
              <w:t>平方米，功能单一，技术要求简单</w:t>
            </w:r>
          </w:p>
        </w:tc>
      </w:tr>
      <w:tr w:rsidR="00E666E5">
        <w:trPr>
          <w:trHeight w:val="2640"/>
        </w:trPr>
        <w:tc>
          <w:tcPr>
            <w:tcW w:w="2028" w:type="dxa"/>
            <w:vAlign w:val="center"/>
          </w:tcPr>
          <w:p w:rsidR="00E666E5" w:rsidRDefault="00E666E5">
            <w:pPr>
              <w:pStyle w:val="2"/>
              <w:jc w:val="center"/>
              <w:rPr>
                <w:rFonts w:ascii="仿宋" w:hAnsi="仿宋" w:cs="仿宋"/>
                <w:sz w:val="24"/>
                <w:szCs w:val="24"/>
              </w:rPr>
            </w:pPr>
          </w:p>
          <w:p w:rsidR="00E666E5" w:rsidRDefault="003B6B17">
            <w:pPr>
              <w:pStyle w:val="2"/>
              <w:jc w:val="center"/>
              <w:rPr>
                <w:rFonts w:ascii="仿宋" w:hAnsi="仿宋" w:cs="仿宋"/>
                <w:sz w:val="24"/>
                <w:szCs w:val="24"/>
              </w:rPr>
            </w:pPr>
            <w:r>
              <w:rPr>
                <w:rFonts w:ascii="仿宋" w:hAnsi="仿宋" w:cs="仿宋" w:hint="eastAsia"/>
                <w:sz w:val="24"/>
                <w:szCs w:val="24"/>
              </w:rPr>
              <w:t>标准厂房</w:t>
            </w:r>
          </w:p>
        </w:tc>
        <w:tc>
          <w:tcPr>
            <w:tcW w:w="3425" w:type="dxa"/>
            <w:vAlign w:val="center"/>
          </w:tcPr>
          <w:p w:rsidR="00E666E5" w:rsidRDefault="003B6B17">
            <w:pPr>
              <w:pStyle w:val="2"/>
              <w:jc w:val="left"/>
              <w:rPr>
                <w:rFonts w:ascii="仿宋" w:hAnsi="仿宋" w:cs="仿宋"/>
                <w:sz w:val="24"/>
                <w:szCs w:val="24"/>
              </w:rPr>
            </w:pPr>
            <w:r>
              <w:rPr>
                <w:rFonts w:ascii="仿宋" w:hAnsi="仿宋" w:cs="仿宋" w:hint="eastAsia"/>
                <w:sz w:val="24"/>
                <w:szCs w:val="24"/>
              </w:rPr>
              <w:t>不生产易燃、易爆、有毒、有害物品或危险品；利用绿地用地、广场用地、城市道路用地、社会停车场用地和其他城市交通用地等开发地下空间的建设项目除外。</w:t>
            </w:r>
          </w:p>
        </w:tc>
        <w:tc>
          <w:tcPr>
            <w:tcW w:w="2728" w:type="dxa"/>
            <w:vMerge/>
            <w:vAlign w:val="center"/>
          </w:tcPr>
          <w:p w:rsidR="00E666E5" w:rsidRDefault="00E666E5">
            <w:pPr>
              <w:pStyle w:val="2"/>
              <w:rPr>
                <w:rFonts w:ascii="仿宋" w:hAnsi="仿宋" w:cs="仿宋"/>
                <w:b/>
                <w:bCs/>
                <w:sz w:val="24"/>
                <w:szCs w:val="24"/>
              </w:rPr>
            </w:pPr>
          </w:p>
        </w:tc>
        <w:tc>
          <w:tcPr>
            <w:tcW w:w="2728" w:type="dxa"/>
            <w:vMerge/>
            <w:vAlign w:val="center"/>
          </w:tcPr>
          <w:p w:rsidR="00E666E5" w:rsidRDefault="00E666E5">
            <w:pPr>
              <w:pStyle w:val="2"/>
              <w:rPr>
                <w:rFonts w:ascii="仿宋" w:hAnsi="仿宋" w:cs="仿宋"/>
                <w:b/>
                <w:bCs/>
                <w:sz w:val="24"/>
                <w:szCs w:val="24"/>
              </w:rPr>
            </w:pPr>
          </w:p>
        </w:tc>
        <w:tc>
          <w:tcPr>
            <w:tcW w:w="2728" w:type="dxa"/>
            <w:vMerge/>
            <w:vAlign w:val="center"/>
          </w:tcPr>
          <w:p w:rsidR="00E666E5" w:rsidRDefault="00E666E5">
            <w:pPr>
              <w:pStyle w:val="2"/>
              <w:rPr>
                <w:rFonts w:ascii="仿宋" w:hAnsi="仿宋" w:cs="仿宋"/>
                <w:b/>
                <w:bCs/>
                <w:sz w:val="24"/>
                <w:szCs w:val="24"/>
              </w:rPr>
            </w:pPr>
          </w:p>
        </w:tc>
      </w:tr>
    </w:tbl>
    <w:p w:rsidR="00E666E5" w:rsidRDefault="003B6B17">
      <w:pPr>
        <w:pStyle w:val="2"/>
        <w:jc w:val="left"/>
        <w:rPr>
          <w:rFonts w:ascii="仿宋" w:hAnsi="仿宋" w:cs="仿宋"/>
          <w:b/>
          <w:bCs/>
          <w:sz w:val="24"/>
          <w:szCs w:val="24"/>
        </w:rPr>
        <w:sectPr w:rsidR="00E666E5">
          <w:pgSz w:w="16838" w:h="11906" w:orient="landscape"/>
          <w:pgMar w:top="1474" w:right="2098" w:bottom="1587" w:left="1928" w:header="851" w:footer="992" w:gutter="0"/>
          <w:pgNumType w:fmt="numberInDash"/>
          <w:cols w:space="720"/>
          <w:docGrid w:type="lines" w:linePitch="312"/>
        </w:sectPr>
      </w:pPr>
      <w:r>
        <w:rPr>
          <w:rFonts w:ascii="仿宋" w:hAnsi="仿宋" w:cs="仿宋" w:hint="eastAsia"/>
          <w:b/>
          <w:bCs/>
          <w:sz w:val="24"/>
          <w:szCs w:val="24"/>
        </w:rPr>
        <w:t>注：《建设工程消防设计审查验收管理暂行规定》的特殊建设工程除外。</w:t>
      </w:r>
      <w:bookmarkStart w:id="1" w:name="_GoBack"/>
    </w:p>
    <w:bookmarkEnd w:id="1"/>
    <w:p w:rsidR="00E666E5" w:rsidRDefault="00E666E5" w:rsidP="000A116C">
      <w:pPr>
        <w:tabs>
          <w:tab w:val="left" w:pos="654"/>
        </w:tabs>
        <w:jc w:val="left"/>
      </w:pPr>
    </w:p>
    <w:sectPr w:rsidR="00E666E5">
      <w:pgSz w:w="11906" w:h="16838"/>
      <w:pgMar w:top="2098" w:right="1587" w:bottom="1928"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17" w:rsidRDefault="003B6B17">
      <w:r>
        <w:separator/>
      </w:r>
    </w:p>
  </w:endnote>
  <w:endnote w:type="continuationSeparator" w:id="0">
    <w:p w:rsidR="003B6B17" w:rsidRDefault="003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E5" w:rsidRDefault="003B6B1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66E5" w:rsidRDefault="003B6B17">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666E5" w:rsidRDefault="003B6B17">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E5" w:rsidRDefault="003B6B1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66E5" w:rsidRDefault="003B6B17">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116C">
                            <w:rPr>
                              <w:rFonts w:ascii="宋体" w:hAnsi="宋体" w:cs="宋体"/>
                              <w:noProof/>
                              <w:sz w:val="28"/>
                              <w:szCs w:val="28"/>
                            </w:rPr>
                            <w:t>- 5 -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E666E5" w:rsidRDefault="003B6B17">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116C">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17" w:rsidRDefault="003B6B17">
      <w:r>
        <w:separator/>
      </w:r>
    </w:p>
  </w:footnote>
  <w:footnote w:type="continuationSeparator" w:id="0">
    <w:p w:rsidR="003B6B17" w:rsidRDefault="003B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WJlNjEwMmQxMWYzNGI1NjEwNThmZWE1NDdlZWEifQ=="/>
  </w:docVars>
  <w:rsids>
    <w:rsidRoot w:val="55B336C3"/>
    <w:rsid w:val="00023B7A"/>
    <w:rsid w:val="00034FD2"/>
    <w:rsid w:val="00035434"/>
    <w:rsid w:val="000448A0"/>
    <w:rsid w:val="0005348F"/>
    <w:rsid w:val="000543EB"/>
    <w:rsid w:val="00087DA1"/>
    <w:rsid w:val="000A116C"/>
    <w:rsid w:val="000A295A"/>
    <w:rsid w:val="000E6B98"/>
    <w:rsid w:val="001305FB"/>
    <w:rsid w:val="00134063"/>
    <w:rsid w:val="001344B8"/>
    <w:rsid w:val="00150CB7"/>
    <w:rsid w:val="001C4FDD"/>
    <w:rsid w:val="001D6659"/>
    <w:rsid w:val="00200EAC"/>
    <w:rsid w:val="002249DD"/>
    <w:rsid w:val="00250200"/>
    <w:rsid w:val="002A4A17"/>
    <w:rsid w:val="002C1947"/>
    <w:rsid w:val="003154EA"/>
    <w:rsid w:val="00377DC5"/>
    <w:rsid w:val="003B6B17"/>
    <w:rsid w:val="00423779"/>
    <w:rsid w:val="004871FE"/>
    <w:rsid w:val="00491E57"/>
    <w:rsid w:val="004C088D"/>
    <w:rsid w:val="004E4A72"/>
    <w:rsid w:val="004F0E48"/>
    <w:rsid w:val="004F737E"/>
    <w:rsid w:val="00587EC5"/>
    <w:rsid w:val="005A0A53"/>
    <w:rsid w:val="005D0DC5"/>
    <w:rsid w:val="005D62E5"/>
    <w:rsid w:val="005F3E18"/>
    <w:rsid w:val="006739E9"/>
    <w:rsid w:val="0067493F"/>
    <w:rsid w:val="006969CF"/>
    <w:rsid w:val="006A6259"/>
    <w:rsid w:val="006C72B9"/>
    <w:rsid w:val="006D0C14"/>
    <w:rsid w:val="006D269C"/>
    <w:rsid w:val="006E700C"/>
    <w:rsid w:val="007231F4"/>
    <w:rsid w:val="00726C37"/>
    <w:rsid w:val="00746582"/>
    <w:rsid w:val="007541AD"/>
    <w:rsid w:val="007C4F1E"/>
    <w:rsid w:val="007C646A"/>
    <w:rsid w:val="007D16F0"/>
    <w:rsid w:val="007E4E20"/>
    <w:rsid w:val="00860477"/>
    <w:rsid w:val="00881654"/>
    <w:rsid w:val="00891611"/>
    <w:rsid w:val="008A115E"/>
    <w:rsid w:val="008D69B5"/>
    <w:rsid w:val="008F0A2C"/>
    <w:rsid w:val="00921F8D"/>
    <w:rsid w:val="00924E08"/>
    <w:rsid w:val="0093652F"/>
    <w:rsid w:val="0093665C"/>
    <w:rsid w:val="00971F04"/>
    <w:rsid w:val="009A6245"/>
    <w:rsid w:val="009B0CB9"/>
    <w:rsid w:val="009C2061"/>
    <w:rsid w:val="009C6C0F"/>
    <w:rsid w:val="009D49C4"/>
    <w:rsid w:val="009E442F"/>
    <w:rsid w:val="00A2239D"/>
    <w:rsid w:val="00A45121"/>
    <w:rsid w:val="00A6434D"/>
    <w:rsid w:val="00A81D54"/>
    <w:rsid w:val="00A97AB0"/>
    <w:rsid w:val="00AD6CBD"/>
    <w:rsid w:val="00AD7835"/>
    <w:rsid w:val="00B01397"/>
    <w:rsid w:val="00B13853"/>
    <w:rsid w:val="00B363D0"/>
    <w:rsid w:val="00B52A57"/>
    <w:rsid w:val="00B5535B"/>
    <w:rsid w:val="00B661D5"/>
    <w:rsid w:val="00C06B6B"/>
    <w:rsid w:val="00C161EE"/>
    <w:rsid w:val="00C16368"/>
    <w:rsid w:val="00C308A0"/>
    <w:rsid w:val="00C67CEE"/>
    <w:rsid w:val="00CB3872"/>
    <w:rsid w:val="00CC1074"/>
    <w:rsid w:val="00CC5176"/>
    <w:rsid w:val="00D602B5"/>
    <w:rsid w:val="00D63E8D"/>
    <w:rsid w:val="00D6600E"/>
    <w:rsid w:val="00DB6524"/>
    <w:rsid w:val="00DC6D0E"/>
    <w:rsid w:val="00E1725D"/>
    <w:rsid w:val="00E666E5"/>
    <w:rsid w:val="00E77127"/>
    <w:rsid w:val="00E86282"/>
    <w:rsid w:val="00E92A6E"/>
    <w:rsid w:val="00E971AB"/>
    <w:rsid w:val="00ED2A2E"/>
    <w:rsid w:val="00EE51E2"/>
    <w:rsid w:val="00EF64BB"/>
    <w:rsid w:val="00F30021"/>
    <w:rsid w:val="00F35348"/>
    <w:rsid w:val="00F553B5"/>
    <w:rsid w:val="00F66ECE"/>
    <w:rsid w:val="00F81AF9"/>
    <w:rsid w:val="00F81C48"/>
    <w:rsid w:val="00FE3D1E"/>
    <w:rsid w:val="022E26FA"/>
    <w:rsid w:val="03CE639B"/>
    <w:rsid w:val="054F492E"/>
    <w:rsid w:val="09DA6CC4"/>
    <w:rsid w:val="0EEB4DEC"/>
    <w:rsid w:val="12957C2C"/>
    <w:rsid w:val="14BA38FF"/>
    <w:rsid w:val="17243F88"/>
    <w:rsid w:val="1CEC1A21"/>
    <w:rsid w:val="1D484219"/>
    <w:rsid w:val="1F2962CC"/>
    <w:rsid w:val="1F9C07D7"/>
    <w:rsid w:val="24BC729A"/>
    <w:rsid w:val="265C0807"/>
    <w:rsid w:val="27DE0403"/>
    <w:rsid w:val="2B4F208D"/>
    <w:rsid w:val="2C3B319A"/>
    <w:rsid w:val="2F90179A"/>
    <w:rsid w:val="32374F59"/>
    <w:rsid w:val="3773418B"/>
    <w:rsid w:val="37857003"/>
    <w:rsid w:val="39995930"/>
    <w:rsid w:val="3D805E06"/>
    <w:rsid w:val="3F1165B2"/>
    <w:rsid w:val="40A20302"/>
    <w:rsid w:val="43F31E26"/>
    <w:rsid w:val="46B34549"/>
    <w:rsid w:val="46FE2F4C"/>
    <w:rsid w:val="486B6AAE"/>
    <w:rsid w:val="497632A6"/>
    <w:rsid w:val="4B845FC8"/>
    <w:rsid w:val="4E6F054A"/>
    <w:rsid w:val="519B00B4"/>
    <w:rsid w:val="51D07D5D"/>
    <w:rsid w:val="539A1DBB"/>
    <w:rsid w:val="53CA1685"/>
    <w:rsid w:val="55B336C3"/>
    <w:rsid w:val="58CF4F36"/>
    <w:rsid w:val="597D57A8"/>
    <w:rsid w:val="5E924DAA"/>
    <w:rsid w:val="5F6B3FB6"/>
    <w:rsid w:val="651E559B"/>
    <w:rsid w:val="6A2E1D2D"/>
    <w:rsid w:val="6B9868FE"/>
    <w:rsid w:val="71961941"/>
    <w:rsid w:val="73477F3E"/>
    <w:rsid w:val="767064B5"/>
    <w:rsid w:val="7B08391B"/>
    <w:rsid w:val="7D491A2D"/>
    <w:rsid w:val="7FA3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12F66A3-DCA3-4C02-B84E-0786B69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70" w:lineRule="exact"/>
      <w:ind w:firstLine="560"/>
    </w:pPr>
    <w:rPr>
      <w:rFonts w:eastAsia="楷体_GB2312"/>
      <w:sz w:val="32"/>
      <w:szCs w:val="32"/>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qFormat/>
    <w:pPr>
      <w:spacing w:after="120" w:line="240" w:lineRule="auto"/>
      <w:ind w:firstLine="40"/>
    </w:pPr>
    <w:rPr>
      <w:rFonts w:ascii="仿宋_GB2312" w:eastAsia="仿宋" w:hAnsi="仿宋_GB2312" w:cs="仿宋_GB2312"/>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265</Words>
  <Characters>1516</Characters>
  <Application>Microsoft Office Word</Application>
  <DocSecurity>0</DocSecurity>
  <Lines>12</Lines>
  <Paragraphs>3</Paragraphs>
  <ScaleCrop>false</ScaleCrop>
  <Company>微软中国</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市住建局收文员</dc:creator>
  <cp:lastModifiedBy>Administrator</cp:lastModifiedBy>
  <cp:revision>98</cp:revision>
  <cp:lastPrinted>2023-09-19T02:10:00Z</cp:lastPrinted>
  <dcterms:created xsi:type="dcterms:W3CDTF">2022-07-28T10:45:00Z</dcterms:created>
  <dcterms:modified xsi:type="dcterms:W3CDTF">2023-09-19T07:46:00Z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62A417A7222D4F4DBC7D7B884C21BCD9_13</vt:lpwstr>
  </property>
  <property fmtid="{D5CDD505-2E9C-101B-9397-08002B2CF9AE}" pid="4" name="KSOSaveFontToCloudKey">
    <vt:lpwstr>511492111_cloud</vt:lpwstr>
  </property>
</Properties>
</file>