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52"/>
          <w:szCs w:val="52"/>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color w:val="000000" w:themeColor="text1"/>
          <w:spacing w:val="-40"/>
          <w:sz w:val="52"/>
          <w:szCs w:val="5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40"/>
          <w:sz w:val="52"/>
          <w:szCs w:val="52"/>
          <w:lang w:val="en-US" w:eastAsia="zh-CN"/>
          <w14:textFill>
            <w14:solidFill>
              <w14:schemeClr w14:val="tx1"/>
            </w14:solidFill>
          </w14:textFill>
        </w:rPr>
        <w:t>合肥市</w:t>
      </w:r>
      <w:r>
        <w:rPr>
          <w:rFonts w:hint="eastAsia" w:ascii="方正小标宋简体" w:hAnsi="方正小标宋简体" w:eastAsia="方正小标宋简体" w:cs="方正小标宋简体"/>
          <w:b w:val="0"/>
          <w:bCs w:val="0"/>
          <w:color w:val="000000" w:themeColor="text1"/>
          <w:spacing w:val="-40"/>
          <w:sz w:val="52"/>
          <w:szCs w:val="52"/>
          <w14:textFill>
            <w14:solidFill>
              <w14:schemeClr w14:val="tx1"/>
            </w14:solidFill>
          </w14:textFill>
        </w:rPr>
        <w:t>瑶海区</w:t>
      </w:r>
      <w:r>
        <w:rPr>
          <w:rFonts w:hint="eastAsia" w:ascii="方正小标宋简体" w:hAnsi="方正小标宋简体" w:eastAsia="方正小标宋简体" w:cs="方正小标宋简体"/>
          <w:b w:val="0"/>
          <w:bCs w:val="0"/>
          <w:color w:val="000000" w:themeColor="text1"/>
          <w:spacing w:val="-40"/>
          <w:sz w:val="52"/>
          <w:szCs w:val="52"/>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40"/>
          <w:sz w:val="52"/>
          <w:szCs w:val="52"/>
          <w:lang w:val="en-US" w:eastAsia="zh-CN"/>
          <w14:textFill>
            <w14:solidFill>
              <w14:schemeClr w14:val="tx1"/>
            </w14:solidFill>
          </w14:textFill>
        </w:rPr>
        <w:t>十四五</w:t>
      </w:r>
      <w:r>
        <w:rPr>
          <w:rFonts w:hint="eastAsia" w:ascii="方正小标宋简体" w:hAnsi="方正小标宋简体" w:eastAsia="方正小标宋简体" w:cs="方正小标宋简体"/>
          <w:b w:val="0"/>
          <w:bCs w:val="0"/>
          <w:color w:val="000000" w:themeColor="text1"/>
          <w:spacing w:val="-40"/>
          <w:sz w:val="52"/>
          <w:szCs w:val="52"/>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40"/>
          <w:sz w:val="52"/>
          <w:szCs w:val="52"/>
          <w:lang w:val="en-US" w:eastAsia="zh-CN"/>
          <w14:textFill>
            <w14:solidFill>
              <w14:schemeClr w14:val="tx1"/>
            </w14:solidFill>
          </w14:textFill>
        </w:rPr>
        <w:t>市场监督管理</w:t>
      </w:r>
      <w:r>
        <w:rPr>
          <w:rFonts w:hint="eastAsia" w:ascii="方正小标宋简体" w:hAnsi="方正小标宋简体" w:eastAsia="方正小标宋简体" w:cs="方正小标宋简体"/>
          <w:b w:val="0"/>
          <w:bCs w:val="0"/>
          <w:color w:val="000000" w:themeColor="text1"/>
          <w:spacing w:val="-40"/>
          <w:sz w:val="52"/>
          <w:szCs w:val="52"/>
          <w14:textFill>
            <w14:solidFill>
              <w14:schemeClr w14:val="tx1"/>
            </w14:solidFill>
          </w14:textFill>
        </w:rPr>
        <w:t>规划</w:t>
      </w:r>
    </w:p>
    <w:p>
      <w:pPr>
        <w:spacing w:line="360" w:lineRule="auto"/>
        <w:jc w:val="center"/>
        <w:rPr>
          <w:rFonts w:hint="eastAsia" w:ascii="宋体" w:hAnsi="宋体" w:eastAsia="宋体" w:cs="宋体"/>
          <w:b/>
          <w:bCs/>
          <w:color w:val="000000" w:themeColor="text1"/>
          <w:sz w:val="56"/>
          <w:szCs w:val="56"/>
          <w:lang w:eastAsia="zh-CN"/>
          <w14:textFill>
            <w14:solidFill>
              <w14:schemeClr w14:val="tx1"/>
            </w14:solidFill>
          </w14:textFill>
        </w:rPr>
      </w:pPr>
    </w:p>
    <w:p>
      <w:pPr>
        <w:spacing w:line="400" w:lineRule="exact"/>
        <w:rPr>
          <w:rFonts w:ascii="Times New Roman" w:hAnsi="Times New Roman" w:eastAsia="方正小标宋简体" w:cs="Times New Roman"/>
          <w:b/>
          <w:bCs/>
          <w:color w:val="000000" w:themeColor="text1"/>
          <w:sz w:val="44"/>
          <w:szCs w:val="44"/>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eastAsia="仿宋" w:cs="Times New Roman"/>
          <w:color w:val="000000" w:themeColor="text1"/>
          <w:sz w:val="32"/>
          <w:szCs w:val="32"/>
          <w14:textFill>
            <w14:solidFill>
              <w14:schemeClr w14:val="tx1"/>
            </w14:solidFill>
          </w14:textFill>
        </w:rPr>
      </w:pPr>
    </w:p>
    <w:p>
      <w:pPr>
        <w:pStyle w:val="2"/>
        <w:rPr>
          <w:rFonts w:ascii="Times New Roman" w:hAnsi="Times New Roman" w:eastAsia="仿宋" w:cs="Times New Roman"/>
          <w:color w:val="000000" w:themeColor="text1"/>
          <w:sz w:val="32"/>
          <w:szCs w:val="32"/>
          <w14:textFill>
            <w14:solidFill>
              <w14:schemeClr w14:val="tx1"/>
            </w14:solidFill>
          </w14:textFill>
        </w:rPr>
      </w:pPr>
    </w:p>
    <w:p>
      <w:pPr>
        <w:tabs>
          <w:tab w:val="left" w:pos="935"/>
        </w:tabs>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tabs>
          <w:tab w:val="left" w:pos="935"/>
        </w:tabs>
        <w:kinsoku/>
        <w:wordWrap/>
        <w:overflowPunct/>
        <w:topLinePunct w:val="0"/>
        <w:autoSpaceDE/>
        <w:autoSpaceDN/>
        <w:bidi w:val="0"/>
        <w:adjustRightInd/>
        <w:snapToGrid/>
        <w:spacing w:line="800" w:lineRule="exact"/>
        <w:jc w:val="center"/>
        <w:textAlignment w:val="auto"/>
        <w:rPr>
          <w:color w:val="000000" w:themeColor="text1"/>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目 </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录</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fldChar w:fldCharType="begin"/>
      </w:r>
      <w:r>
        <w:rPr>
          <w:rFonts w:hint="eastAsia"/>
          <w:color w:val="000000" w:themeColor="text1"/>
          <w:sz w:val="32"/>
          <w:szCs w:val="32"/>
          <w14:textFill>
            <w14:solidFill>
              <w14:schemeClr w14:val="tx1"/>
            </w14:solidFill>
          </w14:textFill>
        </w:rPr>
        <w:instrText xml:space="preserve">TOC \o "1-2" \h \u </w:instrText>
      </w:r>
      <w:r>
        <w:rPr>
          <w:rFonts w:hint="eastAsia"/>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"_Toc20012" </w:instrText>
      </w:r>
      <w:r>
        <w:rPr>
          <w:color w:val="000000" w:themeColor="text1"/>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“十三五”期间发展现状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w:t>
      </w:r>
      <w:r>
        <w:rPr>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"_Toc147"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（一）机构改革稳步推进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"_Toc25960"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（二）营商环境不断优化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"_Toc1916"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（三）竞争环境规范有序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"_Toc8565"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（四）市场安全明显改善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5</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"_Toc15645"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（五）质量提升成效明显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"_Toc12001"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（六）监管机制不断完善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"_Toc18195"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（七）消费维权扎实推进 </w:t>
      </w:r>
      <w:r>
        <w:rPr>
          <w:rFonts w:hint="eastAsia" w:ascii="仿宋_GB2312" w:hAnsi="仿宋_GB2312" w:eastAsia="仿宋_GB2312" w:cs="仿宋_GB2312"/>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7</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"_Toc17136"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（八）菜市场建设得到强化 </w:t>
      </w:r>
      <w:r>
        <w:rPr>
          <w:rFonts w:hint="eastAsia" w:ascii="仿宋_GB2312" w:hAnsi="仿宋_GB2312" w:eastAsia="仿宋_GB2312" w:cs="仿宋_GB2312"/>
          <w:color w:val="000000" w:themeColor="text1"/>
          <w14:textFill>
            <w14:solidFill>
              <w14:schemeClr w14:val="tx1"/>
            </w14:solidFill>
          </w14:textFill>
        </w:rPr>
        <w:t>…………………………………………………</w:t>
      </w:r>
      <w:r>
        <w:rPr>
          <w:b w:val="0"/>
          <w:bCs w:val="0"/>
          <w:color w:val="000000" w:themeColor="text1"/>
          <w14:textFill>
            <w14:solidFill>
              <w14:schemeClr w14:val="tx1"/>
            </w14:solidFill>
          </w14:textFill>
        </w:rPr>
        <w:fldChar w:fldCharType="end"/>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eastAsiaTheme="minorEastAsia"/>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"_Toc6956" </w:instrText>
      </w:r>
      <w:r>
        <w:rPr>
          <w:color w:val="000000" w:themeColor="text1"/>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面临的挑战和机遇</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b w:val="0"/>
          <w:bCs w:val="0"/>
          <w:color w:val="000000" w:themeColor="text1"/>
          <w:sz w:val="32"/>
          <w:szCs w:val="32"/>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"_Toc9072"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（一）面临的挑战</w:t>
      </w:r>
      <w:r>
        <w:rPr>
          <w:rFonts w:hint="eastAsia"/>
          <w:b w:val="0"/>
          <w:bCs w:val="0"/>
          <w:color w:val="000000" w:themeColor="text1"/>
          <w:sz w:val="32"/>
          <w:szCs w:val="32"/>
          <w14:textFill>
            <w14:solidFill>
              <w14:schemeClr w14:val="tx1"/>
            </w14:solidFill>
          </w14:textFill>
        </w:rPr>
        <w:tab/>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9</w:t>
      </w:r>
      <w:r>
        <w:rPr>
          <w:b w:val="0"/>
          <w:bCs w:val="0"/>
          <w:color w:val="000000" w:themeColor="text1"/>
          <w14:textFill>
            <w14:solidFill>
              <w14:schemeClr w14:val="tx1"/>
            </w14:solidFill>
          </w14:textFill>
        </w:rPr>
        <w:fldChar w:fldCharType="end"/>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"_Toc14953"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（二）面临的机遇</w:t>
      </w:r>
      <w:r>
        <w:rPr>
          <w:b w:val="0"/>
          <w:bCs w:val="0"/>
          <w:color w:val="000000" w:themeColor="text1"/>
          <w14:textFill>
            <w14:solidFill>
              <w14:schemeClr w14:val="tx1"/>
            </w14:solidFill>
          </w14:textFill>
        </w:rPr>
        <w:fldChar w:fldCharType="end"/>
      </w:r>
      <w:r>
        <w:rPr>
          <w:rFonts w:hint="eastAsia"/>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"_Toc32288" </w:instrText>
      </w:r>
      <w:r>
        <w:rPr>
          <w:color w:val="000000" w:themeColor="text1"/>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三、</w:t>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总体思路  </w:t>
      </w:r>
      <w:r>
        <w:rPr>
          <w:rFonts w:hint="eastAsia" w:ascii="仿宋_GB2312" w:hAnsi="仿宋_GB2312" w:eastAsia="仿宋_GB2312" w:cs="仿宋_GB2312"/>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eastAsiaTheme="minorEastAsia"/>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"_Toc4424"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（一）指导思想 </w:t>
      </w:r>
      <w:r>
        <w:rPr>
          <w:rFonts w:hint="eastAsia" w:ascii="仿宋_GB2312" w:hAnsi="仿宋_GB2312" w:eastAsia="仿宋_GB2312" w:cs="仿宋_GB2312"/>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11</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rFonts w:hint="default" w:eastAsia="仿宋_GB2312"/>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"_Toc5203"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（二）总体目标 </w:t>
      </w:r>
      <w:r>
        <w:rPr>
          <w:rFonts w:hint="eastAsia" w:ascii="仿宋_GB2312" w:hAnsi="仿宋_GB2312" w:eastAsia="仿宋_GB2312" w:cs="仿宋_GB2312"/>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11</w:t>
      </w:r>
    </w:p>
    <w:p>
      <w:pPr>
        <w:pStyle w:val="6"/>
        <w:keepNext w:val="0"/>
        <w:keepLines w:val="0"/>
        <w:pageBreakBefore w:val="0"/>
        <w:tabs>
          <w:tab w:val="right" w:leader="dot" w:pos="8306"/>
        </w:tabs>
        <w:kinsoku/>
        <w:wordWrap/>
        <w:overflowPunct/>
        <w:topLinePunct w:val="0"/>
        <w:autoSpaceDE/>
        <w:autoSpaceDN/>
        <w:bidi w:val="0"/>
        <w:adjustRightInd/>
        <w:snapToGrid/>
        <w:spacing w:line="560" w:lineRule="exact"/>
        <w:ind w:left="400"/>
        <w:rPr>
          <w:rFonts w:hint="default" w:eastAsia="仿宋_GB2312"/>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"_Toc3931"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（三）基本原则 </w:t>
      </w:r>
      <w:r>
        <w:rPr>
          <w:rFonts w:hint="eastAsia" w:ascii="仿宋_GB2312" w:hAnsi="仿宋_GB2312" w:eastAsia="仿宋_GB2312" w:cs="仿宋_GB2312"/>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"_Toc22629" </w:instrText>
      </w:r>
      <w:r>
        <w:rPr>
          <w:color w:val="000000" w:themeColor="text1"/>
          <w14:textFill>
            <w14:solidFill>
              <w14:schemeClr w14:val="tx1"/>
            </w14:solidFill>
          </w14:textFill>
        </w:rPr>
        <w:fldChar w:fldCharType="separate"/>
      </w:r>
      <w:r>
        <w:rPr>
          <w:rFonts w:hint="eastAsia" w:ascii="黑体" w:hAnsi="黑体" w:eastAsia="黑体" w:cs="黑体"/>
          <w:color w:val="000000" w:themeColor="text1"/>
          <w:sz w:val="32"/>
          <w:szCs w:val="32"/>
          <w14:textFill>
            <w14:solidFill>
              <w14:schemeClr w14:val="tx1"/>
            </w14:solidFill>
          </w14:textFill>
        </w:rPr>
        <w:t>四、</w:t>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主要任务</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20" w:firstLineChars="200"/>
        <w:jc w:val="left"/>
        <w:textAlignment w:val="baseline"/>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fldChar w:fldCharType="begin"/>
      </w:r>
      <w:r>
        <w:rPr>
          <w:rFonts w:hint="eastAsia" w:ascii="仿宋_GB2312" w:hAnsi="仿宋_GB2312" w:eastAsia="仿宋_GB2312" w:cs="仿宋_GB2312"/>
          <w:b w:val="0"/>
          <w:bCs w:val="0"/>
          <w:color w:val="000000" w:themeColor="text1"/>
          <w14:textFill>
            <w14:solidFill>
              <w14:schemeClr w14:val="tx1"/>
            </w14:solidFill>
          </w14:textFill>
        </w:rPr>
        <w:instrText xml:space="preserve">HYPERLINK  \l "_Toc3198" </w:instrText>
      </w:r>
      <w:r>
        <w:rPr>
          <w:rFonts w:hint="eastAsia" w:ascii="仿宋_GB2312" w:hAnsi="仿宋_GB2312" w:eastAsia="仿宋_GB2312" w:cs="仿宋_GB2312"/>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（一）持续深化商事制度改革，进一步推进行政审批便利化，营造宽松便捷的市场准入环境</w:t>
      </w:r>
      <w:r>
        <w:rPr>
          <w:rFonts w:hint="eastAsia" w:ascii="仿宋_GB2312" w:hAnsi="仿宋_GB2312" w:eastAsia="仿宋_GB2312" w:cs="仿宋_GB2312"/>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14</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420" w:firstLineChars="200"/>
        <w:textAlignment w:val="auto"/>
        <w:rPr>
          <w:rFonts w:hint="default" w:eastAsia="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14:textFill>
            <w14:solidFill>
              <w14:schemeClr w14:val="tx1"/>
            </w14:solidFill>
          </w14:textFill>
        </w:rPr>
        <w:fldChar w:fldCharType="begin"/>
      </w:r>
      <w:r>
        <w:rPr>
          <w:rFonts w:hint="eastAsia" w:ascii="仿宋_GB2312" w:hAnsi="仿宋_GB2312" w:eastAsia="仿宋_GB2312" w:cs="仿宋_GB2312"/>
          <w:b w:val="0"/>
          <w:bCs w:val="0"/>
          <w:color w:val="000000" w:themeColor="text1"/>
          <w14:textFill>
            <w14:solidFill>
              <w14:schemeClr w14:val="tx1"/>
            </w14:solidFill>
          </w14:textFill>
        </w:rPr>
        <w:instrText xml:space="preserve">HYPERLINK  \l "_Toc17304" </w:instrText>
      </w:r>
      <w:r>
        <w:rPr>
          <w:rFonts w:hint="eastAsia" w:ascii="仿宋_GB2312" w:hAnsi="仿宋_GB2312" w:eastAsia="仿宋_GB2312" w:cs="仿宋_GB2312"/>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（二）以“四个最严”为标准，全面加强食品安全监管，保障人民群众“舌尖上的安全”</w:t>
      </w:r>
      <w:r>
        <w:rPr>
          <w:rFonts w:hint="eastAsia" w:ascii="仿宋_GB2312" w:hAnsi="仿宋_GB2312" w:eastAsia="仿宋_GB2312" w:cs="仿宋_GB2312"/>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15</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"_Toc8712"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（三）完善药品、医疗器械、化妆品流通使用环节监管，提升智慧监管水平和应急管理能力，全力保障人民群众用药安全  </w:t>
      </w:r>
      <w:r>
        <w:rPr>
          <w:rFonts w:hint="eastAsia" w:ascii="仿宋_GB2312" w:hAnsi="仿宋_GB2312" w:eastAsia="仿宋_GB2312" w:cs="仿宋_GB2312"/>
          <w:b w:val="0"/>
          <w:bCs w:val="0"/>
          <w:color w:val="000000" w:themeColor="text1"/>
          <w:sz w:val="21"/>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kern w:val="0"/>
          <w:sz w:val="21"/>
          <w:szCs w:val="21"/>
          <w:shd w:val="clear" w:fill="FFFFFF"/>
          <w:vertAlign w:val="baseli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21"/>
          <w14:textFill>
            <w14:solidFill>
              <w14:schemeClr w14:val="tx1"/>
            </w14:solidFill>
          </w14:textFill>
        </w:rPr>
        <w:t>……………………………………………………………………………………</w:t>
      </w:r>
      <w:r>
        <w:rPr>
          <w:rFonts w:hint="eastAsia" w:ascii="仿宋_GB2312" w:hAnsi="仿宋_GB2312" w:eastAsia="仿宋_GB2312" w:cs="仿宋_GB2312"/>
          <w:b w:val="0"/>
          <w:bCs w:val="0"/>
          <w:color w:val="000000" w:themeColor="text1"/>
          <w:sz w:val="21"/>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16</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420" w:firstLineChars="200"/>
        <w:textAlignment w:val="auto"/>
        <w:rPr>
          <w:rFonts w:hint="default" w:eastAsia="仿宋_GB2312"/>
          <w:b w:val="0"/>
          <w:bCs w:val="0"/>
          <w:color w:val="000000" w:themeColor="text1"/>
          <w:sz w:val="32"/>
          <w:szCs w:val="32"/>
          <w:lang w:val="en-US" w:eastAsia="zh-CN"/>
          <w14:textFill>
            <w14:solidFill>
              <w14:schemeClr w14:val="tx1"/>
            </w14:solidFill>
          </w14:textFill>
        </w:rPr>
      </w:pPr>
      <w:r>
        <w:rPr>
          <w:b w:val="0"/>
          <w:bCs w:val="0"/>
          <w:color w:val="000000" w:themeColor="text1"/>
          <w14:textFill>
            <w14:solidFill>
              <w14:schemeClr w14:val="tx1"/>
            </w14:solidFill>
          </w14:textFill>
        </w:rPr>
        <w:fldChar w:fldCharType="end"/>
      </w: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"_Toc16820"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（四）强化特种设备安全监管，健全完善特种设备安全责任体系，推进构建社会共治格局</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20" w:firstLineChars="200"/>
        <w:jc w:val="left"/>
        <w:textAlignment w:val="baseline"/>
        <w:rPr>
          <w:rFonts w:hint="default" w:eastAsiaTheme="minorEastAsia"/>
          <w:b w:val="0"/>
          <w:bCs w:val="0"/>
          <w:color w:val="000000" w:themeColor="text1"/>
          <w:sz w:val="32"/>
          <w:szCs w:val="32"/>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"_Toc7977"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（五）全面加强市场监管，完善监管机制，营造公平有序的市场竞争环境</w:t>
      </w:r>
      <w:r>
        <w:rPr>
          <w:rFonts w:hint="eastAsia"/>
          <w:b w:val="0"/>
          <w:bCs w:val="0"/>
          <w:color w:val="000000" w:themeColor="text1"/>
          <w:sz w:val="32"/>
          <w:szCs w:val="32"/>
          <w14:textFill>
            <w14:solidFill>
              <w14:schemeClr w14:val="tx1"/>
            </w14:solidFill>
          </w14:textFill>
        </w:rPr>
        <w:tab/>
      </w:r>
      <w:r>
        <w:rPr>
          <w:rFonts w:hint="eastAsia" w:ascii="仿宋_GB2312" w:hAnsi="仿宋_GB2312" w:eastAsia="仿宋_GB2312" w:cs="仿宋_GB2312"/>
          <w:b w:val="0"/>
          <w:bCs w:val="0"/>
          <w:color w:val="000000" w:themeColor="text1"/>
          <w14:textFill>
            <w14:solidFill>
              <w14:schemeClr w14:val="tx1"/>
            </w14:solidFill>
          </w14:textFill>
        </w:rPr>
        <w:t>……………………………………………………</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19</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420" w:firstLineChars="200"/>
        <w:textAlignment w:val="auto"/>
        <w:rPr>
          <w:rFonts w:hint="default" w:eastAsia="仿宋_GB2312"/>
          <w:b w:val="0"/>
          <w:bCs w:val="0"/>
          <w:color w:val="000000" w:themeColor="text1"/>
          <w:sz w:val="32"/>
          <w:szCs w:val="32"/>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"_Toc18701"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（六）提升质量高线，加强品牌建设，推动瑶海高质量发展</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23</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420" w:firstLineChars="200"/>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"_Toc23947"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（七） 加强消费维权体系建设，持续拓展“放心消费”创建，打造放心消费环境</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24</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10" w:firstLineChars="100"/>
        <w:textAlignment w:val="auto"/>
        <w:rPr>
          <w:rFonts w:hint="default"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宋体" w:eastAsia="仿宋_GB2312" w:cs="仿宋_GB2312"/>
          <w:b w:val="0"/>
          <w:bCs w:val="0"/>
          <w:color w:val="000000" w:themeColor="text1"/>
          <w:kern w:val="0"/>
          <w:sz w:val="31"/>
          <w:szCs w:val="31"/>
          <w:lang w:val="en-US" w:eastAsia="zh-CN" w:bidi="ar"/>
          <w14:textFill>
            <w14:solidFill>
              <w14:schemeClr w14:val="tx1"/>
            </w14:solidFill>
          </w14:textFill>
        </w:rPr>
        <w:t>（八）</w:t>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坚持依法行政，规范执法行为，提高法治建设水平  </w:t>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26</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left"/>
        <w:textAlignment w:val="auto"/>
        <w:rPr>
          <w:rFonts w:hint="default"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（九）完善菜市场规划布局，提高菜市场建设管理水平，提升人民群众获得感、幸福感   </w:t>
      </w:r>
      <w:r>
        <w:rPr>
          <w:rFonts w:hint="eastAsia" w:ascii="仿宋_GB2312" w:hAnsi="仿宋_GB2312" w:eastAsia="仿宋_GB2312" w:cs="仿宋_GB2312"/>
          <w:b w:val="0"/>
          <w:bCs w:val="0"/>
          <w:color w:val="000000" w:themeColor="text1"/>
          <w:sz w:val="21"/>
          <w:szCs w:val="21"/>
          <w14:textFill>
            <w14:solidFill>
              <w14:schemeClr w14:val="tx1"/>
            </w14:solidFill>
          </w14:textFill>
        </w:rPr>
        <w:t>……</w:t>
      </w:r>
      <w:r>
        <w:rPr>
          <w:rFonts w:hint="eastAsia" w:hAnsi="仿宋_GB2312" w:eastAsia="仿宋_GB2312" w:cs="仿宋_GB2312" w:asciiTheme="majorAscii"/>
          <w:b w:val="0"/>
          <w:bCs w:val="0"/>
          <w:i w:val="0"/>
          <w:caps w:val="0"/>
          <w:color w:val="000000" w:themeColor="text1"/>
          <w:spacing w:val="0"/>
          <w:kern w:val="0"/>
          <w:sz w:val="21"/>
          <w:szCs w:val="21"/>
          <w:shd w:val="clear" w:fill="FFFFFF"/>
          <w:vertAlign w:val="baseline"/>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21"/>
          <w:szCs w:val="21"/>
          <w14:textFill>
            <w14:solidFill>
              <w14:schemeClr w14:val="tx1"/>
            </w14:solidFill>
          </w14:textFill>
        </w:rPr>
        <w:t>…………………………………………</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eastAsiaTheme="minorEastAsia"/>
          <w:color w:val="000000" w:themeColor="text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"_Toc7871" </w:instrText>
      </w:r>
      <w:r>
        <w:rPr>
          <w:color w:val="000000" w:themeColor="text1"/>
          <w14:textFill>
            <w14:solidFill>
              <w14:schemeClr w14:val="tx1"/>
            </w14:solidFill>
          </w14:textFill>
        </w:rPr>
        <w:fldChar w:fldCharType="separate"/>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 xml:space="preserve">五、保障措施 </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"_Toc32650"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（一）加强组织协调</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"_Toc20129"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（二）统筹规划衔接</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firstLineChars="200"/>
        <w:jc w:val="left"/>
        <w:textAlignment w:val="baseline"/>
        <w:rPr>
          <w:rFonts w:hint="default" w:eastAsia="仿宋_GB2312"/>
          <w:b w:val="0"/>
          <w:bCs w:val="0"/>
          <w:color w:val="000000" w:themeColor="text1"/>
          <w:sz w:val="32"/>
          <w:szCs w:val="32"/>
          <w:lang w:val="en-US" w:eastAsia="zh-CN"/>
          <w14:textFill>
            <w14:solidFill>
              <w14:schemeClr w14:val="tx1"/>
            </w14:solidFill>
          </w14:textFill>
        </w:rPr>
      </w:pPr>
      <w:r>
        <w:rPr>
          <w:b w:val="0"/>
          <w:bCs w:val="0"/>
          <w:color w:val="000000" w:themeColor="text1"/>
          <w14:textFill>
            <w14:solidFill>
              <w14:schemeClr w14:val="tx1"/>
            </w14:solidFill>
          </w14:textFill>
        </w:rPr>
        <w:fldChar w:fldCharType="begin"/>
      </w:r>
      <w:r>
        <w:rPr>
          <w:b w:val="0"/>
          <w:bCs w:val="0"/>
          <w:color w:val="000000" w:themeColor="text1"/>
          <w14:textFill>
            <w14:solidFill>
              <w14:schemeClr w14:val="tx1"/>
            </w14:solidFill>
          </w14:textFill>
        </w:rPr>
        <w:instrText xml:space="preserve">HYPERLINK  \l "_Toc12516" </w:instrText>
      </w:r>
      <w:r>
        <w:rPr>
          <w:b w:val="0"/>
          <w:bCs w:val="0"/>
          <w:color w:val="000000" w:themeColor="text1"/>
          <w14:textFill>
            <w14:solidFill>
              <w14:schemeClr w14:val="tx1"/>
            </w14:solidFill>
          </w14:textFill>
        </w:rPr>
        <w:fldChar w:fldCharType="separate"/>
      </w:r>
      <w:r>
        <w:rPr>
          <w:rFonts w:hint="eastAsia" w:ascii="仿宋_GB2312" w:hAnsi="仿宋_GB2312" w:eastAsia="仿宋_GB2312" w:cs="仿宋_GB2312"/>
          <w:b w:val="0"/>
          <w:bCs w:val="0"/>
          <w:i w:val="0"/>
          <w:caps w:val="0"/>
          <w:color w:val="000000" w:themeColor="text1"/>
          <w:spacing w:val="0"/>
          <w:kern w:val="0"/>
          <w:sz w:val="32"/>
          <w:szCs w:val="32"/>
          <w:shd w:val="clear" w:fill="FFFFFF"/>
          <w:vertAlign w:val="baseline"/>
          <w:lang w:val="en-US" w:eastAsia="zh-CN" w:bidi="ar"/>
          <w14:textFill>
            <w14:solidFill>
              <w14:schemeClr w14:val="tx1"/>
            </w14:solidFill>
          </w14:textFill>
        </w:rPr>
        <w:t>（三）强化督查考核</w:t>
      </w:r>
      <w:r>
        <w:rPr>
          <w:b w:val="0"/>
          <w:bCs w:val="0"/>
          <w:color w:val="000000" w:themeColor="text1"/>
          <w14:textFill>
            <w14:solidFill>
              <w14:schemeClr w14:val="tx1"/>
            </w14:solidFill>
          </w14:textFill>
        </w:rPr>
        <w:fldChar w:fldCharType="end"/>
      </w:r>
      <w:r>
        <w:rPr>
          <w:rFonts w:hint="eastAsia" w:ascii="仿宋_GB2312" w:hAnsi="仿宋_GB2312" w:eastAsia="仿宋_GB2312" w:cs="仿宋_GB2312"/>
          <w:b w:val="0"/>
          <w:bCs w:val="0"/>
          <w:color w:val="000000" w:themeColor="text1"/>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28</w:t>
      </w:r>
    </w:p>
    <w:p>
      <w:pPr>
        <w:pStyle w:val="6"/>
        <w:tabs>
          <w:tab w:val="right" w:leader="dot" w:pos="8306"/>
        </w:tabs>
        <w:ind w:left="400"/>
        <w:rPr>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fldChar w:fldCharType="end"/>
      </w:r>
    </w:p>
    <w:p>
      <w:pPr>
        <w:pStyle w:val="2"/>
        <w:rPr>
          <w:rFonts w:hint="eastAsia"/>
          <w:color w:val="000000" w:themeColor="text1"/>
          <w:sz w:val="32"/>
          <w:szCs w:val="32"/>
          <w14:textFill>
            <w14:solidFill>
              <w14:schemeClr w14:val="tx1"/>
            </w14:solidFill>
          </w14:textFill>
        </w:rPr>
      </w:pPr>
    </w:p>
    <w:p>
      <w:pPr>
        <w:pStyle w:val="2"/>
        <w:rPr>
          <w:rFonts w:hint="eastAsia"/>
          <w:color w:val="000000" w:themeColor="text1"/>
          <w:sz w:val="32"/>
          <w:szCs w:val="32"/>
          <w14:textFill>
            <w14:solidFill>
              <w14:schemeClr w14:val="tx1"/>
            </w14:solidFill>
          </w14:textFill>
        </w:rPr>
      </w:pPr>
    </w:p>
    <w:p>
      <w:pPr>
        <w:ind w:firstLine="640" w:firstLineChars="200"/>
        <w:rPr>
          <w:rFonts w:ascii="仿宋" w:hAnsi="仿宋" w:eastAsia="仿宋" w:cs="Arial"/>
          <w:color w:val="000000" w:themeColor="text1"/>
          <w:kern w:val="0"/>
          <w:sz w:val="32"/>
          <w:szCs w:val="32"/>
          <w:shd w:val="clear" w:color="auto" w:fill="FFFFFF"/>
          <w14:textFill>
            <w14:solidFill>
              <w14:schemeClr w14:val="tx1"/>
            </w14:solidFill>
          </w14:textFill>
        </w:rPr>
      </w:pPr>
      <w:r>
        <w:rPr>
          <w:rFonts w:hint="eastAsia" w:ascii="仿宋" w:hAnsi="仿宋" w:eastAsia="仿宋" w:cs="Arial"/>
          <w:color w:val="000000" w:themeColor="text1"/>
          <w:kern w:val="0"/>
          <w:sz w:val="32"/>
          <w:szCs w:val="32"/>
          <w:shd w:val="clear" w:color="auto" w:fill="FFFFFF"/>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baseline"/>
        <w:outlineLvl w:val="0"/>
        <w:rPr>
          <w:rFonts w:hint="eastAsia" w:ascii="方正小标宋简体" w:hAnsi="方正小标宋简体" w:eastAsia="方正小标宋简体" w:cs="方正小标宋简体"/>
          <w:b w:val="0"/>
          <w:bCs/>
          <w:i w:val="0"/>
          <w:caps w:val="0"/>
          <w:color w:val="000000" w:themeColor="text1"/>
          <w:spacing w:val="0"/>
          <w:kern w:val="0"/>
          <w:sz w:val="44"/>
          <w:szCs w:val="44"/>
          <w:shd w:val="clear" w:fill="FFFFFF"/>
          <w:vertAlign w:val="baseline"/>
          <w:lang w:val="en-US" w:eastAsia="zh-CN" w:bidi="ar"/>
          <w14:textFill>
            <w14:solidFill>
              <w14:schemeClr w14:val="tx1"/>
            </w14:solidFill>
          </w14:textFill>
        </w:rPr>
      </w:pPr>
      <w:bookmarkStart w:id="0" w:name="_Toc15053"/>
      <w:r>
        <w:rPr>
          <w:rFonts w:hint="eastAsia" w:ascii="方正小标宋简体" w:hAnsi="方正小标宋简体" w:eastAsia="方正小标宋简体" w:cs="方正小标宋简体"/>
          <w:b w:val="0"/>
          <w:bCs/>
          <w:i w:val="0"/>
          <w:caps w:val="0"/>
          <w:color w:val="000000" w:themeColor="text1"/>
          <w:spacing w:val="0"/>
          <w:kern w:val="0"/>
          <w:sz w:val="44"/>
          <w:szCs w:val="44"/>
          <w:shd w:val="clear" w:fill="FFFFFF"/>
          <w:vertAlign w:val="baseline"/>
          <w:lang w:val="en-US" w:eastAsia="zh-CN" w:bidi="ar"/>
          <w14:textFill>
            <w14:solidFill>
              <w14:schemeClr w14:val="tx1"/>
            </w14:solidFill>
          </w14:textFill>
        </w:rPr>
        <w:t>合肥市瑶海区“十四五”市场监督管理规划</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outlineLvl w:val="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bookmarkStart w:id="1" w:name="_Toc20697"/>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一、“十三五”期间发展现状</w:t>
      </w:r>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十三五”期间，瑶海区市场监督管理局在瑶海区委、区政府的正确领导下，认真学习贯彻习近平新时代中国特色社会主义思想，按照国家和省、市市场监管局部署要求，稳中求进、稳中求新，全面推进职能大融合、改革大提速、监管大提效、服务大提质、能力大提升，我区市场监管事业实现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（一）机构改革稳步推进。</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在顺利完成区市场监管局正式组建、有序运行的基础上，2018年2月，按照“一街一所”的原则，设置14个市场监管所，改变过去按经济区划设所为按行政区划设所，实现从所名称到管辖区域的街所对应，为推动街所联动消除机制障碍。2019年3月，根据瑶海区新一轮机构改革方案，又将区发改委的价格检查职责、科学技术局的专利管理职责整合到区市场监管局，增设了3个内设机构，同时撤销瑶海区食品药品监督管理局牌子。2020年1月，按照市委“1+8”文件精神，以“区属、街管、街用”为原则，市场监管所整体划转街道，将市场监管所的指挥调度、考核监督、人财物管理下放给镇街开发区，各市场监管所编内及编外人员整体划入所在镇街开发区、火车站综管办管理使用，市场监管所成为街道一支重要的监管执法力量，</w:t>
      </w:r>
      <w:r>
        <w:rPr>
          <w:rFonts w:hint="eastAsia" w:ascii="仿宋_GB2312" w:hAnsi="仿宋_GB2312" w:eastAsia="仿宋_GB2312" w:cs="仿宋_GB2312"/>
          <w:b w:val="0"/>
          <w:color w:val="000000" w:themeColor="text1"/>
          <w:sz w:val="32"/>
          <w:szCs w:val="32"/>
          <w14:textFill>
            <w14:solidFill>
              <w14:schemeClr w14:val="tx1"/>
            </w14:solidFill>
          </w14:textFill>
        </w:rPr>
        <w:t>有力推动镇街开发区“一支队伍强管理”工作。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（二）营商环境不断优化。</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一是不断深化商事制度改革，推进行政审批便利化。简政放权，放宽市场主体准入，全面推行注册资本登记制度改革，落实“先照后证”改革，实施“多证合一、一照一码”改革，切实简化市场主体住所（经营场所）登记条件，实行申报承诺制，全面推行企业实名制登记，实行个体工商户简易登记，当场受理，当场发照。二是提质提速优化服务。积极推进“六个一”体系建设，将税务、社保登记、公章刻制、银行开户等纳入“一站式”服务大厅办理，实现企业开办关联事项集成服务、并联办理。完善“办照、刻章、领票”“一窗式”服务，全面落实政府出资免费为新设立企业刻制法定名称章、财务专用章、法定代表人名章等印章，实现企业开办“零费用”。压缩企业开办时间，自2019年9月6日将企业开办时间从2天压缩到1天，其中企业设立登记压缩至0.5天。三是创新服务举措。推行企业登记全程电子化，实现线上“不见面”登记注册，目前我区全程电子化设立登记占比达到98%以上，居全市首位。2019年4月22日，我局在全省率先启用了个体登记智能自动审批系统，实现“自助申报、智能秒批、现场发照”，通过该系统办照数占个体工商户设立登记量的71%以上，极大地提高了工作效率。在城区率先开通长三角地区政务服务“一网通办”综合服务窗口，实现一地认证，全网通办，足不出区，就能办理江浙沪皖的30项企业服务事项，推动长三角26城市企业共享区域一体化发展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baseline"/>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（三）竞争环境规范有序。</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建立我区公平竞争审查工作部门联席会议机制，积极开展公平竞争审查相关工作。严厉查处仿冒、虚假标识、虚假宣传等不正当竞争行为，</w:t>
      </w:r>
      <w:r>
        <w:rPr>
          <w:rFonts w:hint="eastAsia" w:ascii="仿宋_GB2312" w:hAnsi="仿宋_GB2312" w:eastAsia="仿宋_GB2312" w:cs="仿宋_GB2312"/>
          <w:b w:val="0"/>
          <w:color w:val="000000" w:themeColor="text1"/>
          <w:sz w:val="32"/>
          <w:szCs w:val="32"/>
          <w14:textFill>
            <w14:solidFill>
              <w14:schemeClr w14:val="tx1"/>
            </w14:solidFill>
          </w14:textFill>
        </w:rPr>
        <w:t>深入开展“双打”</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活动、成品油市场、</w:t>
      </w:r>
      <w:r>
        <w:rPr>
          <w:rFonts w:hint="eastAsia" w:ascii="仿宋_GB2312" w:hAnsi="仿宋_GB2312" w:eastAsia="仿宋_GB2312" w:cs="仿宋_GB2312"/>
          <w:b w:val="0"/>
          <w:color w:val="000000" w:themeColor="text1"/>
          <w:sz w:val="32"/>
          <w:szCs w:val="32"/>
          <w14:textFill>
            <w14:solidFill>
              <w14:schemeClr w14:val="tx1"/>
            </w14:solidFill>
          </w14:textFill>
        </w:rPr>
        <w:t>汽车零配件市场</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殡葬领域</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教育机构反不正当</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竞争等</w:t>
      </w:r>
      <w:r>
        <w:rPr>
          <w:rFonts w:hint="eastAsia" w:ascii="仿宋_GB2312" w:hAnsi="仿宋_GB2312" w:eastAsia="仿宋_GB2312" w:cs="仿宋_GB2312"/>
          <w:b w:val="0"/>
          <w:color w:val="000000" w:themeColor="text1"/>
          <w:sz w:val="32"/>
          <w:szCs w:val="32"/>
          <w14:textFill>
            <w14:solidFill>
              <w14:schemeClr w14:val="tx1"/>
            </w14:solidFill>
          </w14:textFill>
        </w:rPr>
        <w:t>专项整治</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强化合同格式条款监管，整治房地产业、汽车销售</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旅游</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等行业</w:t>
      </w:r>
      <w:r>
        <w:rPr>
          <w:rFonts w:hint="eastAsia" w:ascii="仿宋_GB2312" w:hAnsi="仿宋_GB2312" w:eastAsia="仿宋_GB2312" w:cs="仿宋_GB2312"/>
          <w:b w:val="0"/>
          <w:color w:val="000000" w:themeColor="text1"/>
          <w:sz w:val="32"/>
          <w:szCs w:val="32"/>
          <w14:textFill>
            <w14:solidFill>
              <w14:schemeClr w14:val="tx1"/>
            </w14:solidFill>
          </w14:textFill>
        </w:rPr>
        <w:t>合同文本</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保护消费者合法权益</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开展电商大走访，采取</w:t>
      </w:r>
      <w:r>
        <w:rPr>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线上巡查</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与</w:t>
      </w:r>
      <w:r>
        <w:rPr>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线下检查</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相结合方式，加强</w:t>
      </w:r>
      <w:r>
        <w:rPr>
          <w:rFonts w:hint="eastAsia" w:ascii="仿宋_GB2312" w:hAnsi="仿宋_GB2312" w:eastAsia="仿宋_GB2312" w:cs="仿宋_GB2312"/>
          <w:b w:val="0"/>
          <w:color w:val="000000" w:themeColor="text1"/>
          <w:sz w:val="32"/>
          <w:szCs w:val="32"/>
          <w:shd w:val="clear" w:color="auto" w:fill="FFFFFF"/>
          <w14:textFill>
            <w14:solidFill>
              <w14:schemeClr w14:val="tx1"/>
            </w14:solidFill>
          </w14:textFill>
        </w:rPr>
        <w:t>网络市场监管</w:t>
      </w:r>
      <w:r>
        <w:rPr>
          <w:rFonts w:hint="eastAsia" w:ascii="仿宋_GB2312" w:hAnsi="仿宋_GB2312" w:eastAsia="仿宋_GB2312" w:cs="仿宋_GB2312"/>
          <w:b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积极开展保护知识产权“铁拳”行动、“蓝天”行动等专项整治行动，进一步维护市场公平竞争秩序。强化知识产权管理，落实产业扶持发展奖补政策，引导企业提品质、创品牌。办理动产抵押登记，为企业融资服务，助力企业发展。</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深入开展扫黑除恶专项斗争和打击传销工作，</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加强宣传，发动群众，</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全系统共排查涉黑涉恶线索19条，</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组建专业打传队伍，开展“皖剑”“清零”等集中打传行动，大力创建“无传销社区”，传销得到有效遏制。开展涉企、教育、医疗等收费专项检查，加强新冠肺炎疫情防控期间口罩、消毒用品及商品市场价格监管，维护市场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（四）市场安全明显改善。</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坚决落实习近平总书记“四个最严”要求，切实加强市场安全监管，“十三五”期间，全区没有发生重特大安全事故和区域性、系统性事件。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在食品安全监管上，</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一是加强日常监管，对全区食品生产经营单位实行风险分级管理，逐年加大食品安全监督抽检频次，累计抽检食品5160批次。二是创新监管方式，以校园食堂“明厨亮灶”信息化建设为抓手，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推进智慧化监管。</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在全市率先完成校园食品安全智慧化监管建设，并逐步向食品生产企业、中央厨房、集体用餐配送单位、养老机构、餐饮聚集区等重点监管环节推广。目前全区500余家食品生产经营单位已安装应用智慧监管APP，其中学校（含托幼机构）食堂222家，食品生产企业4家，中央厨房1家，集体用餐配送单位2家、养老机构9家实时视频已接入区食品安全智慧监管平台。三是加强检测能力建设，</w:t>
      </w:r>
      <w:r>
        <w:rPr>
          <w:rFonts w:hint="eastAsia" w:ascii="仿宋_GB2312" w:hAnsi="仿宋_GB2312" w:eastAsia="仿宋_GB2312" w:cs="仿宋_GB2312"/>
          <w:b w:val="0"/>
          <w:color w:val="000000" w:themeColor="text1"/>
          <w:sz w:val="32"/>
          <w:szCs w:val="32"/>
          <w14:textFill>
            <w14:solidFill>
              <w14:schemeClr w14:val="tx1"/>
            </w14:solidFill>
          </w14:textFill>
        </w:rPr>
        <w:t>建</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成食品安全快检室</w:t>
      </w:r>
      <w:r>
        <w:rPr>
          <w:rFonts w:hint="eastAsia" w:ascii="仿宋_GB2312" w:hAnsi="仿宋_GB2312" w:eastAsia="仿宋_GB2312" w:cs="仿宋_GB2312"/>
          <w:b w:val="0"/>
          <w:color w:val="000000" w:themeColor="text1"/>
          <w:sz w:val="32"/>
          <w:szCs w:val="32"/>
          <w14:textFill>
            <w14:solidFill>
              <w14:schemeClr w14:val="tx1"/>
            </w14:solidFill>
          </w14:textFill>
        </w:rPr>
        <w:t>2</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color w:val="000000" w:themeColor="text1"/>
          <w:sz w:val="32"/>
          <w:szCs w:val="32"/>
          <w14:textFill>
            <w14:solidFill>
              <w14:schemeClr w14:val="tx1"/>
            </w14:solidFill>
          </w14:textFill>
        </w:rPr>
        <w:t>个</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每天完成快检</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b w:val="0"/>
          <w:color w:val="000000" w:themeColor="text1"/>
          <w:sz w:val="32"/>
          <w:szCs w:val="32"/>
          <w14:textFill>
            <w14:solidFill>
              <w14:schemeClr w14:val="tx1"/>
            </w14:solidFill>
          </w14:textFill>
        </w:rPr>
        <w:t>3</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color w:val="000000" w:themeColor="text1"/>
          <w:sz w:val="32"/>
          <w:szCs w:val="32"/>
          <w14:textFill>
            <w14:solidFill>
              <w14:schemeClr w14:val="tx1"/>
            </w14:solidFill>
          </w14:textFill>
        </w:rPr>
        <w:t>0批次</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四是积极推动各类示范创建工作，</w:t>
      </w:r>
      <w:r>
        <w:rPr>
          <w:rFonts w:hint="eastAsia" w:ascii="仿宋_GB2312" w:hAnsi="仿宋_GB2312" w:eastAsia="仿宋_GB2312" w:cs="仿宋_GB2312"/>
          <w:b w:val="0"/>
          <w:color w:val="000000" w:themeColor="text1"/>
          <w:sz w:val="32"/>
          <w:szCs w:val="32"/>
          <w14:textFill>
            <w14:solidFill>
              <w14:schemeClr w14:val="tx1"/>
            </w14:solidFill>
          </w14:textFill>
        </w:rPr>
        <w:t>开展农村食品安全及小食品店规范治理工作、餐饮业质量安全提升行动</w:t>
      </w:r>
      <w:r>
        <w:rPr>
          <w:rFonts w:hint="eastAsia" w:ascii="仿宋_GB2312" w:hAnsi="仿宋_GB2312" w:eastAsia="仿宋_GB2312" w:cs="仿宋_GB2312"/>
          <w:b w:val="0"/>
          <w:color w:val="000000" w:themeColor="text1"/>
          <w:kern w:val="0"/>
          <w:sz w:val="32"/>
          <w:szCs w:val="32"/>
          <w14:textFill>
            <w14:solidFill>
              <w14:schemeClr w14:val="tx1"/>
            </w14:solidFill>
          </w14:textFill>
        </w:rPr>
        <w:t>、小作坊规范提升行动、“五好”食品店</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放心肉菜示范超市等示范创建工作，指导建设食品安全工作站</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color w:val="000000" w:themeColor="text1"/>
          <w:sz w:val="32"/>
          <w:szCs w:val="32"/>
          <w14:textFill>
            <w14:solidFill>
              <w14:schemeClr w14:val="tx1"/>
            </w14:solidFill>
          </w14:textFill>
        </w:rPr>
        <w:t>家，创建示范小作坊</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color w:val="000000" w:themeColor="text1"/>
          <w:sz w:val="32"/>
          <w:szCs w:val="32"/>
          <w14:textFill>
            <w14:solidFill>
              <w14:schemeClr w14:val="tx1"/>
            </w14:solidFill>
          </w14:textFill>
        </w:rPr>
        <w:t>家、创建市级餐饮质量安全街区2家、</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打造</w:t>
      </w:r>
      <w:r>
        <w:rPr>
          <w:rFonts w:hint="eastAsia" w:ascii="仿宋_GB2312" w:hAnsi="仿宋_GB2312" w:eastAsia="仿宋_GB2312" w:cs="仿宋_GB2312"/>
          <w:b w:val="0"/>
          <w:color w:val="000000" w:themeColor="text1"/>
          <w:kern w:val="0"/>
          <w:sz w:val="32"/>
          <w:szCs w:val="32"/>
          <w14:textFill>
            <w14:solidFill>
              <w14:schemeClr w14:val="tx1"/>
            </w14:solidFill>
          </w14:textFill>
        </w:rPr>
        <w:t>“五好”食品店26家</w:t>
      </w:r>
      <w:r>
        <w:rPr>
          <w:rFonts w:hint="eastAsia" w:ascii="仿宋_GB2312" w:hAnsi="仿宋_GB2312" w:eastAsia="仿宋_GB2312" w:cs="仿宋_GB2312"/>
          <w:b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kern w:val="0"/>
          <w:sz w:val="32"/>
          <w:szCs w:val="32"/>
          <w:lang w:val="en-US" w:eastAsia="zh-CN"/>
          <w14:textFill>
            <w14:solidFill>
              <w14:schemeClr w14:val="tx1"/>
            </w14:solidFill>
          </w14:textFill>
        </w:rPr>
        <w:t>食品安全形势整体向好，没有发生区域性食品安全事故，2017—2019年连续3年在全市食品安全考核中被评为优秀等次。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在药品药械、保健品、化妆品安全监管上，</w:t>
      </w:r>
      <w:r>
        <w:rPr>
          <w:rFonts w:hint="eastAsia" w:ascii="仿宋_GB2312" w:hAnsi="仿宋_GB2312" w:eastAsia="仿宋_GB2312" w:cs="仿宋_GB2312"/>
          <w:b w:val="0"/>
          <w:color w:val="000000" w:themeColor="text1"/>
          <w:sz w:val="32"/>
          <w:szCs w:val="32"/>
          <w14:textFill>
            <w14:solidFill>
              <w14:schemeClr w14:val="tx1"/>
            </w14:solidFill>
          </w14:textFill>
        </w:rPr>
        <w:t>一是加强药械经营企业监督检查</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按照药品医疗器械风险分级管理，日常检查覆盖率100%</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随机飞行检查覆盖率不低于20%。二是开展药械化妆品各类专项整治。开展了执业药师“挂证”</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疫苗</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中药饮片、含特殊药品复方制剂等专项</w:t>
      </w:r>
      <w:r>
        <w:rPr>
          <w:rFonts w:hint="eastAsia" w:ascii="仿宋_GB2312" w:hAnsi="仿宋_GB2312" w:eastAsia="仿宋_GB2312" w:cs="仿宋_GB2312"/>
          <w:b w:val="0"/>
          <w:color w:val="000000" w:themeColor="text1"/>
          <w:sz w:val="32"/>
          <w:szCs w:val="32"/>
          <w:lang w:val="en-US" w:eastAsia="zh-CN"/>
          <w14:textFill>
            <w14:solidFill>
              <w14:schemeClr w14:val="tx1"/>
            </w14:solidFill>
          </w14:textFill>
        </w:rPr>
        <w:t>整治和</w:t>
      </w:r>
      <w:r>
        <w:rPr>
          <w:rFonts w:hint="eastAsia" w:ascii="仿宋_GB2312" w:hAnsi="仿宋_GB2312" w:eastAsia="仿宋_GB2312" w:cs="仿宋_GB2312"/>
          <w:b w:val="0"/>
          <w:color w:val="000000" w:themeColor="text1"/>
          <w:sz w:val="32"/>
          <w:szCs w:val="32"/>
          <w14:textFill>
            <w14:solidFill>
              <w14:schemeClr w14:val="tx1"/>
            </w14:solidFill>
          </w14:textFill>
        </w:rPr>
        <w:t>医疗器械“清网”行动</w:t>
      </w:r>
      <w:r>
        <w:rPr>
          <w:rFonts w:hint="eastAsia" w:ascii="仿宋_GB2312" w:hAnsi="仿宋_GB2312" w:eastAsia="仿宋_GB2312" w:cs="仿宋_GB2312"/>
          <w:b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14:textFill>
            <w14:solidFill>
              <w14:schemeClr w14:val="tx1"/>
            </w14:solidFill>
          </w14:textFill>
        </w:rPr>
        <w:t>化妆品“线上净网线下清源”风险排查等。三是持续推进医疗机构“规范药房（库）”创建达标，2020年底完成公立医疗机构100%达标任务。</w:t>
      </w:r>
    </w:p>
    <w:p>
      <w:pPr>
        <w:pStyle w:val="12"/>
        <w:keepNext w:val="0"/>
        <w:keepLines w:val="0"/>
        <w:pageBreakBefore w:val="0"/>
        <w:widowControl w:val="0"/>
        <w:tabs>
          <w:tab w:val="left" w:pos="1167"/>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在特种设备安全监管上，持续开展隐患大暗访、大排查、大整治攻坚行动，及时化解安全隐患。</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全面推进特种设备“铸安”行动，落实隐患排查治理“一单四制”和风险管控六项机制，常态化抓好电梯、压力容器、场（厂）特种车辆等特种设备安全监察，建立健全电梯二级应急救援机制，不断加强特种设备安全基础建设，我区特种设备安全保持稳中向好的良好态势。</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在重点工业产品质量安全监管上，重点实施儿童和学生用品安全守护行动，针对电线电缆、防爆电气、危险化学品等重点工业产品，开展产品质量安全隐患排查和获证企业（工业产品生产许可证获证企业及“3C”认证企业）专项监督检查，形成了生产、流通联合检查的工作格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（五）质量提升成效明显。</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扎实开展质量强区建设，</w:t>
      </w:r>
      <w:r>
        <w:rPr>
          <w:rFonts w:hint="eastAsia" w:ascii="仿宋_GB2312" w:hAnsi="仿宋_GB2312" w:eastAsia="仿宋_GB2312" w:cs="仿宋_GB2312"/>
          <w:color w:val="000000" w:themeColor="text1"/>
          <w:sz w:val="32"/>
          <w:szCs w:val="32"/>
          <w14:textFill>
            <w14:solidFill>
              <w14:schemeClr w14:val="tx1"/>
            </w14:solidFill>
          </w14:textFill>
        </w:rPr>
        <w:t>印发《瑶海区开展全国质量强市示范城市创建工作实施方案》的通知，成立“瑶海区质量强区工作领导小组”，坚持每年将质量工作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写入《政府工作报告》，作为重点工作统筹推进。扎实做好质量基础工作，持续开展“百城千企对标达标”活动，深入抓好“依法计量 严格监管”强检工作提升专项行动，不断加强获证检验检测机构分类监管，广泛通过“质量月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世界计量日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世界认可日”等活动开展质量工作宣传，全面推进质量体系建设。坚持以工业产品质量、食品药品质量、消费品质量等为抓手，着力抓好质量提升工程，推动产业结构优化、创新能力增强、新兴产业壮大，较好地促进了区域经济转型发展。2017年、2018年我区连续2年在合肥市质量工作考核中被评为优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（六）监管机制不断完善。</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全面实施 “双随机、一公开”监管机制，贯彻落实《安徽省人民政府关于“先照后证”改革后加强事中事后监管的实施意见》等文件精神，建立随机抽查“一单、两库、一细则”，并进行动态维护。认真落实安徽省事中事后监管平台、合肥市市场主体协同监管平台的相关工作要求，组织开展“双随机、一公开”联合检查活动，依法公示抽查结果，将有失信行为的企业列入经营异常名录并向社会公示，形成“一处失信，处处受限”的联合惩戒机制。针对信用等级划分为“守信”“警示”“失信”“严重失信”“风险类”的企业采取差异化监管措施，加大抽查力度。</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同时，抓好长期停业未经营企业清理工作，常态化开展企业注销、吊销相关工作。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（七）消费维权扎实推进。</w:t>
      </w:r>
      <w:r>
        <w:rPr>
          <w:rFonts w:hint="eastAsia" w:ascii="仿宋_GB2312" w:hAnsi="仿宋_GB2312" w:eastAsia="仿宋_GB2312" w:cs="仿宋_GB2312"/>
          <w:b w:val="0"/>
          <w:color w:val="000000" w:themeColor="text1"/>
          <w:sz w:val="32"/>
          <w:szCs w:val="32"/>
          <w:shd w:val="clear" w:color="auto" w:fill="FFFFFF"/>
          <w:lang w:val="en-US" w:eastAsia="zh-CN"/>
          <w14:textFill>
            <w14:solidFill>
              <w14:schemeClr w14:val="tx1"/>
            </w14:solidFill>
          </w14:textFill>
        </w:rPr>
        <w:t>一是实施“五线合一”，畅通消费维权渠道。将12345、12315、12365、12331、12358及群众来信来访统一整合，实行各类诉求多线合一、集中分派、并网处置、高效办理，理顺投诉举报处理工作机制。5年来共受理投诉举报6万余件，为消费者挽回经济损失400余万元。二是加强宣传，增强消费者维权意识。开展消费维权“五进”活动，利用“3.15”消费者权益日纪念活动等契机，紧扣消费维权年主题，采取制作展板、散发宣传单页、现场咨询等方式，扩大社会宣传效果。三是实施放心消费创建三年规划，2018年“抓点”，2019年“扩面”，2020年基本实现“全覆盖”。参创市场主体达到1200余家，目前，瑶海区已有省级放心消费示范单位1家，市级放心消费示范单位22家，区级放心消费示范单位534家，培育保利商业广场、宝业家纺广场、白马电子商务产业园、长江180艺术街区等18家放心消费示范街区（园区、市场、菜场、商业综合体），推动放心消费示范区创建进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（八）菜市场建设得到强化。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w:t>
      </w:r>
      <w:r>
        <w:rPr>
          <w:rFonts w:hint="eastAsia" w:ascii="仿宋_GB2312" w:hAnsi="仿宋_GB2312" w:eastAsia="仿宋_GB2312" w:cs="仿宋_GB2312"/>
          <w:color w:val="000000" w:themeColor="text1"/>
          <w:sz w:val="32"/>
          <w:szCs w:val="32"/>
          <w14:textFill>
            <w14:solidFill>
              <w14:schemeClr w14:val="tx1"/>
            </w14:solidFill>
          </w14:textFill>
        </w:rPr>
        <w:t>据《合肥市加快推进城区菜市场建设管理提档升级实施意见》（合政办秘〔2018〕57号）要求，2018年启动了菜市场建设改造提档升级工作，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当年</w:t>
      </w:r>
      <w:r>
        <w:rPr>
          <w:rFonts w:hint="eastAsia" w:ascii="仿宋_GB2312" w:hAnsi="仿宋_GB2312" w:eastAsia="仿宋_GB2312" w:cs="仿宋_GB2312"/>
          <w:color w:val="000000" w:themeColor="text1"/>
          <w:sz w:val="32"/>
          <w:szCs w:val="32"/>
          <w14:textFill>
            <w14:solidFill>
              <w14:schemeClr w14:val="tx1"/>
            </w14:solidFill>
          </w14:textFill>
        </w:rPr>
        <w:t>完成11个菜市场近5万㎡的提档升级改造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获市级考核优秀。2019年全面完成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繁昌路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8家菜市场提档升级改造任务，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按计划</w:t>
      </w:r>
      <w:r>
        <w:rPr>
          <w:rFonts w:hint="eastAsia" w:ascii="仿宋_GB2312" w:hAnsi="仿宋_GB2312" w:eastAsia="仿宋_GB2312" w:cs="仿宋_GB2312"/>
          <w:color w:val="000000" w:themeColor="text1"/>
          <w:sz w:val="32"/>
          <w:szCs w:val="32"/>
          <w14:textFill>
            <w14:solidFill>
              <w14:schemeClr w14:val="tx1"/>
            </w14:solidFill>
          </w14:textFill>
        </w:rPr>
        <w:t>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全面完成全区存量菜市场示范性改造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，菜市场硬件设施很大提升，整体面貌焕然一新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2020年新建襄河家园、龙谷华庭</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板桥菜市场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牵头组织推进菜市场及周边小区污水排放问题专项整治工作，与区直相关单位组织第三方专业机构对全区菜市场雨污管网进行彻底排查，梳理问题，配合属地按照“一场一案”原则制定整改方案，</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完成菜市场水环境市级验收销号。</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建立菜市场长效监管机制</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制定出台了</w:t>
      </w:r>
      <w:r>
        <w:rPr>
          <w:rFonts w:hint="eastAsia" w:ascii="仿宋_GB2312" w:hAnsi="仿宋_GB2312" w:eastAsia="仿宋_GB2312" w:cs="仿宋_GB2312"/>
          <w:color w:val="000000" w:themeColor="text1"/>
          <w:sz w:val="32"/>
          <w:szCs w:val="32"/>
          <w14:textFill>
            <w14:solidFill>
              <w14:schemeClr w14:val="tx1"/>
            </w14:solidFill>
          </w14:textFill>
        </w:rPr>
        <w:t>《瑶海区菜市场长效管理评比考核办法》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建立定期考核机制</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会同区文明办每月对全区17个在册菜市场进行考核打分，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建立菜市场管理和文明创建三级包保责任机制，</w:t>
      </w:r>
      <w:r>
        <w:rPr>
          <w:rFonts w:hint="eastAsia" w:ascii="仿宋_GB2312" w:hAnsi="仿宋_GB2312" w:eastAsia="仿宋_GB2312" w:cs="仿宋_GB2312"/>
          <w:color w:val="000000" w:themeColor="text1"/>
          <w:sz w:val="32"/>
          <w:szCs w:val="32"/>
          <w14:textFill>
            <w14:solidFill>
              <w14:schemeClr w14:val="tx1"/>
            </w14:solidFill>
          </w14:textFill>
        </w:rPr>
        <w:t>提高菜市场管理层次。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二、面临的挑战和机遇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（一）面临的挑战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eastAsia" w:ascii="仿宋" w:hAnsi="仿宋" w:eastAsia="仿宋" w:cs="仿宋"/>
          <w:color w:val="000000" w:themeColor="text1"/>
          <w:kern w:val="10"/>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一是</w:t>
      </w:r>
      <w:r>
        <w:rPr>
          <w:rFonts w:hint="eastAsia" w:ascii="仿宋" w:hAnsi="仿宋" w:eastAsia="仿宋" w:cs="仿宋"/>
          <w:color w:val="000000" w:themeColor="text1"/>
          <w:kern w:val="0"/>
          <w:sz w:val="32"/>
          <w:szCs w:val="32"/>
          <w14:textFill>
            <w14:solidFill>
              <w14:schemeClr w14:val="tx1"/>
            </w14:solidFill>
          </w14:textFill>
        </w:rPr>
        <w:t>我区</w:t>
      </w:r>
      <w:r>
        <w:rPr>
          <w:rFonts w:hint="eastAsia" w:ascii="仿宋" w:hAnsi="仿宋" w:eastAsia="仿宋" w:cs="仿宋"/>
          <w:color w:val="000000" w:themeColor="text1"/>
          <w:kern w:val="10"/>
          <w:sz w:val="32"/>
          <w:szCs w:val="32"/>
          <w14:textFill>
            <w14:solidFill>
              <w14:schemeClr w14:val="tx1"/>
            </w14:solidFill>
          </w14:textFill>
        </w:rPr>
        <w:t>食品</w:t>
      </w:r>
      <w:r>
        <w:rPr>
          <w:rFonts w:hint="eastAsia" w:ascii="仿宋" w:hAnsi="仿宋" w:eastAsia="仿宋" w:cs="仿宋"/>
          <w:color w:val="000000" w:themeColor="text1"/>
          <w:kern w:val="10"/>
          <w:sz w:val="32"/>
          <w:szCs w:val="32"/>
          <w:lang w:eastAsia="zh-CN"/>
          <w14:textFill>
            <w14:solidFill>
              <w14:schemeClr w14:val="tx1"/>
            </w14:solidFill>
          </w14:textFill>
        </w:rPr>
        <w:t>安全</w:t>
      </w:r>
      <w:r>
        <w:rPr>
          <w:rFonts w:hint="eastAsia" w:ascii="仿宋" w:hAnsi="仿宋" w:eastAsia="仿宋" w:cs="仿宋"/>
          <w:color w:val="000000" w:themeColor="text1"/>
          <w:kern w:val="10"/>
          <w:sz w:val="32"/>
          <w:szCs w:val="32"/>
          <w14:textFill>
            <w14:solidFill>
              <w14:schemeClr w14:val="tx1"/>
            </w14:solidFill>
          </w14:textFill>
        </w:rPr>
        <w:t>基础薄弱</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10"/>
          <w:sz w:val="32"/>
          <w:szCs w:val="32"/>
          <w14:textFill>
            <w14:solidFill>
              <w14:schemeClr w14:val="tx1"/>
            </w14:solidFill>
          </w14:textFill>
        </w:rPr>
        <w:t>生产经营单位规模小、数量多、分布散，</w:t>
      </w:r>
      <w:r>
        <w:rPr>
          <w:rFonts w:hint="eastAsia" w:ascii="仿宋" w:hAnsi="仿宋" w:eastAsia="仿宋" w:cs="仿宋"/>
          <w:color w:val="000000" w:themeColor="text1"/>
          <w:sz w:val="32"/>
          <w:szCs w:val="32"/>
          <w14:textFill>
            <w14:solidFill>
              <w14:schemeClr w14:val="tx1"/>
            </w14:solidFill>
          </w14:textFill>
        </w:rPr>
        <w:t>食品安全潜在风险仍然较高，企业主体责任</w:t>
      </w:r>
      <w:r>
        <w:rPr>
          <w:rFonts w:hint="eastAsia" w:ascii="仿宋" w:hAnsi="仿宋" w:eastAsia="仿宋" w:cs="仿宋"/>
          <w:color w:val="000000" w:themeColor="text1"/>
          <w:sz w:val="32"/>
          <w:szCs w:val="32"/>
          <w:lang w:eastAsia="zh-CN"/>
          <w14:textFill>
            <w14:solidFill>
              <w14:schemeClr w14:val="tx1"/>
            </w14:solidFill>
          </w14:textFill>
        </w:rPr>
        <w:t>没有</w:t>
      </w:r>
      <w:r>
        <w:rPr>
          <w:rFonts w:hint="eastAsia" w:ascii="仿宋" w:hAnsi="仿宋" w:eastAsia="仿宋" w:cs="仿宋"/>
          <w:color w:val="000000" w:themeColor="text1"/>
          <w:sz w:val="32"/>
          <w:szCs w:val="32"/>
          <w14:textFill>
            <w14:solidFill>
              <w14:schemeClr w14:val="tx1"/>
            </w14:solidFill>
          </w14:textFill>
        </w:rPr>
        <w:t>完全落实</w:t>
      </w:r>
      <w:r>
        <w:rPr>
          <w:rFonts w:hint="eastAsia" w:ascii="仿宋" w:hAnsi="仿宋" w:eastAsia="仿宋" w:cs="仿宋"/>
          <w:color w:val="000000" w:themeColor="text1"/>
          <w:kern w:val="10"/>
          <w:sz w:val="32"/>
          <w:szCs w:val="32"/>
          <w14:textFill>
            <w14:solidFill>
              <w14:schemeClr w14:val="tx1"/>
            </w14:solidFill>
          </w14:textFill>
        </w:rPr>
        <w:t>。我区是全省各类型市场高度集中的区域，现有周谷推批发市场</w:t>
      </w:r>
      <w:r>
        <w:rPr>
          <w:rFonts w:hint="eastAsia" w:ascii="仿宋" w:hAnsi="仿宋" w:eastAsia="仿宋" w:cs="仿宋"/>
          <w:color w:val="000000" w:themeColor="text1"/>
          <w:kern w:val="10"/>
          <w:sz w:val="32"/>
          <w:szCs w:val="32"/>
          <w:lang w:eastAsia="zh-CN"/>
          <w14:textFill>
            <w14:solidFill>
              <w14:schemeClr w14:val="tx1"/>
            </w14:solidFill>
          </w14:textFill>
        </w:rPr>
        <w:t>、</w:t>
      </w:r>
      <w:r>
        <w:rPr>
          <w:rFonts w:hint="eastAsia" w:ascii="仿宋" w:hAnsi="仿宋" w:eastAsia="仿宋" w:cs="仿宋"/>
          <w:color w:val="000000" w:themeColor="text1"/>
          <w:kern w:val="10"/>
          <w:sz w:val="32"/>
          <w:szCs w:val="32"/>
          <w14:textFill>
            <w14:solidFill>
              <w14:schemeClr w14:val="tx1"/>
            </w14:solidFill>
          </w14:textFill>
        </w:rPr>
        <w:t>长江批发市场</w:t>
      </w:r>
      <w:r>
        <w:rPr>
          <w:rFonts w:hint="eastAsia" w:ascii="仿宋" w:hAnsi="仿宋" w:eastAsia="仿宋" w:cs="仿宋"/>
          <w:color w:val="000000" w:themeColor="text1"/>
          <w:kern w:val="10"/>
          <w:sz w:val="32"/>
          <w:szCs w:val="32"/>
          <w:lang w:eastAsia="zh-CN"/>
          <w14:textFill>
            <w14:solidFill>
              <w14:schemeClr w14:val="tx1"/>
            </w14:solidFill>
          </w14:textFill>
        </w:rPr>
        <w:t>、</w:t>
      </w:r>
      <w:r>
        <w:rPr>
          <w:rFonts w:hint="eastAsia" w:ascii="仿宋" w:hAnsi="仿宋" w:eastAsia="仿宋" w:cs="仿宋"/>
          <w:color w:val="000000" w:themeColor="text1"/>
          <w:kern w:val="10"/>
          <w:sz w:val="32"/>
          <w:szCs w:val="32"/>
          <w14:textFill>
            <w14:solidFill>
              <w14:schemeClr w14:val="tx1"/>
            </w14:solidFill>
          </w14:textFill>
        </w:rPr>
        <w:t>漕冲酒类批发市场等</w:t>
      </w:r>
      <w:r>
        <w:rPr>
          <w:rFonts w:hint="eastAsia" w:ascii="仿宋" w:hAnsi="仿宋" w:eastAsia="仿宋" w:cs="仿宋"/>
          <w:color w:val="000000" w:themeColor="text1"/>
          <w:kern w:val="10"/>
          <w:sz w:val="32"/>
          <w:szCs w:val="32"/>
          <w:lang w:eastAsia="zh-CN"/>
          <w14:textFill>
            <w14:solidFill>
              <w14:schemeClr w14:val="tx1"/>
            </w14:solidFill>
          </w14:textFill>
        </w:rPr>
        <w:t>各类大型</w:t>
      </w:r>
      <w:r>
        <w:rPr>
          <w:rFonts w:hint="eastAsia" w:ascii="仿宋" w:hAnsi="仿宋" w:eastAsia="仿宋" w:cs="仿宋"/>
          <w:color w:val="000000" w:themeColor="text1"/>
          <w:kern w:val="10"/>
          <w:sz w:val="32"/>
          <w:szCs w:val="32"/>
          <w14:textFill>
            <w14:solidFill>
              <w14:schemeClr w14:val="tx1"/>
            </w14:solidFill>
          </w14:textFill>
        </w:rPr>
        <w:t>食品市场，商品交易辐射全省及周边省份，加上辖区内有火车站、各类汽车站等交通枢纽，是</w:t>
      </w:r>
      <w:r>
        <w:rPr>
          <w:rFonts w:hint="eastAsia" w:ascii="仿宋" w:hAnsi="仿宋" w:eastAsia="仿宋" w:cs="仿宋"/>
          <w:color w:val="000000" w:themeColor="text1"/>
          <w:kern w:val="10"/>
          <w:sz w:val="32"/>
          <w:szCs w:val="32"/>
          <w:lang w:eastAsia="zh-CN"/>
          <w14:textFill>
            <w14:solidFill>
              <w14:schemeClr w14:val="tx1"/>
            </w14:solidFill>
          </w14:textFill>
        </w:rPr>
        <w:t>全</w:t>
      </w:r>
      <w:r>
        <w:rPr>
          <w:rFonts w:hint="eastAsia" w:ascii="仿宋" w:hAnsi="仿宋" w:eastAsia="仿宋" w:cs="仿宋"/>
          <w:color w:val="000000" w:themeColor="text1"/>
          <w:kern w:val="10"/>
          <w:sz w:val="32"/>
          <w:szCs w:val="32"/>
          <w14:textFill>
            <w14:solidFill>
              <w14:schemeClr w14:val="tx1"/>
            </w14:solidFill>
          </w14:textFill>
        </w:rPr>
        <w:t>省重要的商品和人流集散地，市场监管</w:t>
      </w:r>
      <w:r>
        <w:rPr>
          <w:rFonts w:hint="eastAsia" w:ascii="仿宋" w:hAnsi="仿宋" w:eastAsia="仿宋" w:cs="仿宋"/>
          <w:color w:val="000000" w:themeColor="text1"/>
          <w:kern w:val="10"/>
          <w:sz w:val="32"/>
          <w:szCs w:val="32"/>
          <w:lang w:eastAsia="zh-CN"/>
          <w14:textFill>
            <w14:solidFill>
              <w14:schemeClr w14:val="tx1"/>
            </w14:solidFill>
          </w14:textFill>
        </w:rPr>
        <w:t>特别是食品安全监管任务较重、</w:t>
      </w:r>
      <w:r>
        <w:rPr>
          <w:rFonts w:hint="eastAsia" w:ascii="仿宋" w:hAnsi="仿宋" w:eastAsia="仿宋" w:cs="仿宋"/>
          <w:color w:val="000000" w:themeColor="text1"/>
          <w:kern w:val="10"/>
          <w:sz w:val="32"/>
          <w:szCs w:val="32"/>
          <w14:textFill>
            <w14:solidFill>
              <w14:schemeClr w14:val="tx1"/>
            </w14:solidFill>
          </w14:textFill>
        </w:rPr>
        <w:t>难度</w:t>
      </w:r>
      <w:r>
        <w:rPr>
          <w:rFonts w:hint="eastAsia" w:ascii="仿宋" w:hAnsi="仿宋" w:eastAsia="仿宋" w:cs="仿宋"/>
          <w:color w:val="000000" w:themeColor="text1"/>
          <w:kern w:val="10"/>
          <w:sz w:val="32"/>
          <w:szCs w:val="32"/>
          <w:lang w:eastAsia="zh-CN"/>
          <w14:textFill>
            <w14:solidFill>
              <w14:schemeClr w14:val="tx1"/>
            </w14:solidFill>
          </w14:textFill>
        </w:rPr>
        <w:t>较</w:t>
      </w:r>
      <w:r>
        <w:rPr>
          <w:rFonts w:hint="eastAsia" w:ascii="仿宋" w:hAnsi="仿宋" w:eastAsia="仿宋" w:cs="仿宋"/>
          <w:color w:val="000000" w:themeColor="text1"/>
          <w:kern w:val="10"/>
          <w:sz w:val="32"/>
          <w:szCs w:val="32"/>
          <w14:textFill>
            <w14:solidFill>
              <w14:schemeClr w14:val="tx1"/>
            </w14:solidFill>
          </w14:textFill>
        </w:rPr>
        <w:t>大。</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二</w:t>
      </w:r>
      <w:r>
        <w:rPr>
          <w:rFonts w:hint="eastAsia" w:ascii="仿宋" w:hAnsi="仿宋" w:eastAsia="仿宋" w:cs="仿宋"/>
          <w:b/>
          <w:bCs w:val="0"/>
          <w:color w:val="000000" w:themeColor="text1"/>
          <w:sz w:val="32"/>
          <w:szCs w:val="32"/>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全区特种设备安全形势依然严峻，随着城市化进程加快特别是旧城拆迁改造，电梯数量迅速增加，</w:t>
      </w:r>
      <w:r>
        <w:rPr>
          <w:rFonts w:hint="eastAsia" w:ascii="仿宋" w:hAnsi="仿宋" w:eastAsia="仿宋" w:cs="仿宋"/>
          <w:color w:val="000000" w:themeColor="text1"/>
          <w:sz w:val="32"/>
          <w:szCs w:val="32"/>
          <w:lang w:eastAsia="zh-CN"/>
          <w14:textFill>
            <w14:solidFill>
              <w14:schemeClr w14:val="tx1"/>
            </w14:solidFill>
          </w14:textFill>
        </w:rPr>
        <w:t>老旧小区和</w:t>
      </w:r>
      <w:r>
        <w:rPr>
          <w:rFonts w:hint="eastAsia" w:ascii="仿宋" w:hAnsi="仿宋" w:eastAsia="仿宋" w:cs="仿宋"/>
          <w:color w:val="000000" w:themeColor="text1"/>
          <w:sz w:val="32"/>
          <w:szCs w:val="32"/>
          <w14:textFill>
            <w14:solidFill>
              <w14:schemeClr w14:val="tx1"/>
            </w14:solidFill>
          </w14:textFill>
        </w:rPr>
        <w:t>回迁小区电梯</w:t>
      </w:r>
      <w:r>
        <w:rPr>
          <w:rFonts w:hint="eastAsia" w:ascii="仿宋" w:hAnsi="仿宋" w:eastAsia="仿宋" w:cs="仿宋"/>
          <w:color w:val="000000" w:themeColor="text1"/>
          <w:sz w:val="32"/>
          <w:szCs w:val="32"/>
          <w:lang w:eastAsia="zh-CN"/>
          <w14:textFill>
            <w14:solidFill>
              <w14:schemeClr w14:val="tx1"/>
            </w14:solidFill>
          </w14:textFill>
        </w:rPr>
        <w:t>日常维保和管理存在不到位情况，</w:t>
      </w:r>
      <w:r>
        <w:rPr>
          <w:rFonts w:hint="eastAsia" w:ascii="仿宋" w:hAnsi="仿宋" w:eastAsia="仿宋" w:cs="仿宋"/>
          <w:color w:val="000000" w:themeColor="text1"/>
          <w:sz w:val="32"/>
          <w:szCs w:val="32"/>
          <w14:textFill>
            <w14:solidFill>
              <w14:schemeClr w14:val="tx1"/>
            </w14:solidFill>
          </w14:textFill>
        </w:rPr>
        <w:t>安全隐患较多。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14:textFill>
            <w14:solidFill>
              <w14:schemeClr w14:val="tx1"/>
            </w14:solidFill>
          </w14:textFill>
        </w:rPr>
        <w:t>基层监管基础</w:t>
      </w:r>
      <w:r>
        <w:rPr>
          <w:rFonts w:hint="eastAsia" w:ascii="仿宋" w:hAnsi="仿宋" w:eastAsia="仿宋" w:cs="仿宋"/>
          <w:color w:val="000000" w:themeColor="text1"/>
          <w:sz w:val="32"/>
          <w:szCs w:val="32"/>
          <w:lang w:eastAsia="zh-CN"/>
          <w14:textFill>
            <w14:solidFill>
              <w14:schemeClr w14:val="tx1"/>
            </w14:solidFill>
          </w14:textFill>
        </w:rPr>
        <w:t>还不牢固</w:t>
      </w:r>
      <w:r>
        <w:rPr>
          <w:rFonts w:hint="eastAsia" w:ascii="仿宋" w:hAnsi="仿宋" w:eastAsia="仿宋" w:cs="仿宋"/>
          <w:color w:val="000000" w:themeColor="text1"/>
          <w:sz w:val="32"/>
          <w:szCs w:val="32"/>
          <w14:textFill>
            <w14:solidFill>
              <w14:schemeClr w14:val="tx1"/>
            </w14:solidFill>
          </w14:textFill>
        </w:rPr>
        <w:t>。目前</w:t>
      </w:r>
      <w:r>
        <w:rPr>
          <w:rFonts w:hint="eastAsia" w:ascii="仿宋" w:hAnsi="仿宋" w:eastAsia="仿宋" w:cs="仿宋"/>
          <w:color w:val="000000" w:themeColor="text1"/>
          <w:sz w:val="32"/>
          <w:szCs w:val="32"/>
          <w:lang w:eastAsia="zh-CN"/>
          <w14:textFill>
            <w14:solidFill>
              <w14:schemeClr w14:val="tx1"/>
            </w14:solidFill>
          </w14:textFill>
        </w:rPr>
        <w:t>监管人员</w:t>
      </w:r>
      <w:r>
        <w:rPr>
          <w:rFonts w:hint="eastAsia" w:ascii="仿宋" w:hAnsi="仿宋" w:eastAsia="仿宋" w:cs="仿宋"/>
          <w:color w:val="000000" w:themeColor="text1"/>
          <w:sz w:val="32"/>
          <w:szCs w:val="32"/>
          <w14:textFill>
            <w14:solidFill>
              <w14:schemeClr w14:val="tx1"/>
            </w14:solidFill>
          </w14:textFill>
        </w:rPr>
        <w:t>以原工商</w:t>
      </w:r>
      <w:r>
        <w:rPr>
          <w:rFonts w:hint="eastAsia" w:ascii="仿宋" w:hAnsi="仿宋" w:eastAsia="仿宋" w:cs="仿宋"/>
          <w:color w:val="000000" w:themeColor="text1"/>
          <w:sz w:val="32"/>
          <w:szCs w:val="32"/>
          <w:lang w:eastAsia="zh-CN"/>
          <w14:textFill>
            <w14:solidFill>
              <w14:schemeClr w14:val="tx1"/>
            </w14:solidFill>
          </w14:textFill>
        </w:rPr>
        <w:t>队伍</w:t>
      </w:r>
      <w:r>
        <w:rPr>
          <w:rFonts w:hint="eastAsia" w:ascii="仿宋" w:hAnsi="仿宋" w:eastAsia="仿宋" w:cs="仿宋"/>
          <w:color w:val="000000" w:themeColor="text1"/>
          <w:sz w:val="32"/>
          <w:szCs w:val="32"/>
          <w14:textFill>
            <w14:solidFill>
              <w14:schemeClr w14:val="tx1"/>
            </w14:solidFill>
          </w14:textFill>
        </w:rPr>
        <w:t>为班底，</w:t>
      </w:r>
      <w:r>
        <w:rPr>
          <w:rFonts w:hint="eastAsia" w:ascii="仿宋" w:hAnsi="仿宋" w:eastAsia="仿宋" w:cs="仿宋"/>
          <w:color w:val="000000" w:themeColor="text1"/>
          <w:sz w:val="32"/>
          <w:szCs w:val="32"/>
          <w:lang w:val="en-US" w:eastAsia="zh-CN"/>
          <w14:textFill>
            <w14:solidFill>
              <w14:schemeClr w14:val="tx1"/>
            </w14:solidFill>
          </w14:textFill>
        </w:rPr>
        <w:t>公务员平均年龄超过50岁，</w:t>
      </w:r>
      <w:r>
        <w:rPr>
          <w:rFonts w:hint="eastAsia" w:ascii="仿宋" w:hAnsi="仿宋" w:eastAsia="仿宋" w:cs="仿宋"/>
          <w:color w:val="000000" w:themeColor="text1"/>
          <w:sz w:val="32"/>
          <w:szCs w:val="32"/>
          <w:lang w:eastAsia="zh-CN"/>
          <w14:textFill>
            <w14:solidFill>
              <w14:schemeClr w14:val="tx1"/>
            </w14:solidFill>
          </w14:textFill>
        </w:rPr>
        <w:t>缺乏专业的</w:t>
      </w:r>
      <w:r>
        <w:rPr>
          <w:rFonts w:hint="eastAsia" w:ascii="仿宋" w:hAnsi="仿宋" w:eastAsia="仿宋" w:cs="仿宋"/>
          <w:color w:val="000000" w:themeColor="text1"/>
          <w:sz w:val="32"/>
          <w:szCs w:val="32"/>
          <w14:textFill>
            <w14:solidFill>
              <w14:schemeClr w14:val="tx1"/>
            </w14:solidFill>
          </w14:textFill>
        </w:rPr>
        <w:t>食品药品</w:t>
      </w:r>
      <w:r>
        <w:rPr>
          <w:rFonts w:hint="eastAsia" w:ascii="仿宋" w:hAnsi="仿宋" w:eastAsia="仿宋" w:cs="仿宋"/>
          <w:color w:val="000000" w:themeColor="text1"/>
          <w:sz w:val="32"/>
          <w:szCs w:val="32"/>
          <w:lang w:eastAsia="zh-CN"/>
          <w14:textFill>
            <w14:solidFill>
              <w14:schemeClr w14:val="tx1"/>
            </w14:solidFill>
          </w14:textFill>
        </w:rPr>
        <w:t>特种设备安全</w:t>
      </w:r>
      <w:r>
        <w:rPr>
          <w:rFonts w:hint="eastAsia" w:ascii="仿宋" w:hAnsi="仿宋" w:eastAsia="仿宋" w:cs="仿宋"/>
          <w:color w:val="000000" w:themeColor="text1"/>
          <w:sz w:val="32"/>
          <w:szCs w:val="32"/>
          <w14:textFill>
            <w14:solidFill>
              <w14:schemeClr w14:val="tx1"/>
            </w14:solidFill>
          </w14:textFill>
        </w:rPr>
        <w:t>管理人才。市场监管队伍年龄老化、</w:t>
      </w:r>
      <w:r>
        <w:rPr>
          <w:rFonts w:hint="eastAsia" w:ascii="仿宋" w:hAnsi="仿宋" w:eastAsia="仿宋" w:cs="仿宋"/>
          <w:color w:val="000000" w:themeColor="text1"/>
          <w:sz w:val="32"/>
          <w:szCs w:val="32"/>
          <w:lang w:eastAsia="zh-CN"/>
          <w14:textFill>
            <w14:solidFill>
              <w14:schemeClr w14:val="tx1"/>
            </w14:solidFill>
          </w14:textFill>
        </w:rPr>
        <w:t>能力</w:t>
      </w:r>
      <w:r>
        <w:rPr>
          <w:rFonts w:hint="eastAsia" w:ascii="仿宋" w:hAnsi="仿宋" w:eastAsia="仿宋" w:cs="仿宋"/>
          <w:color w:val="000000" w:themeColor="text1"/>
          <w:sz w:val="32"/>
          <w:szCs w:val="32"/>
          <w14:textFill>
            <w14:solidFill>
              <w14:schemeClr w14:val="tx1"/>
            </w14:solidFill>
          </w14:textFill>
        </w:rPr>
        <w:t>不足、</w:t>
      </w:r>
      <w:r>
        <w:rPr>
          <w:rFonts w:hint="eastAsia" w:ascii="仿宋" w:hAnsi="仿宋" w:eastAsia="仿宋" w:cs="仿宋"/>
          <w:color w:val="000000" w:themeColor="text1"/>
          <w:sz w:val="32"/>
          <w:szCs w:val="32"/>
          <w:lang w:eastAsia="zh-CN"/>
          <w14:textFill>
            <w14:solidFill>
              <w14:schemeClr w14:val="tx1"/>
            </w14:solidFill>
          </w14:textFill>
        </w:rPr>
        <w:t>作风</w:t>
      </w:r>
      <w:r>
        <w:rPr>
          <w:rFonts w:hint="eastAsia" w:ascii="仿宋" w:hAnsi="仿宋" w:eastAsia="仿宋" w:cs="仿宋"/>
          <w:color w:val="000000" w:themeColor="text1"/>
          <w:sz w:val="32"/>
          <w:szCs w:val="32"/>
          <w14:textFill>
            <w14:solidFill>
              <w14:schemeClr w14:val="tx1"/>
            </w14:solidFill>
          </w14:textFill>
        </w:rPr>
        <w:t>不优</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问题仍然</w:t>
      </w:r>
      <w:r>
        <w:rPr>
          <w:rFonts w:hint="eastAsia" w:ascii="仿宋" w:hAnsi="仿宋" w:eastAsia="仿宋" w:cs="仿宋"/>
          <w:color w:val="000000" w:themeColor="text1"/>
          <w:sz w:val="32"/>
          <w:szCs w:val="32"/>
          <w:lang w:eastAsia="zh-CN"/>
          <w14:textFill>
            <w14:solidFill>
              <w14:schemeClr w14:val="tx1"/>
            </w14:solidFill>
          </w14:textFill>
        </w:rPr>
        <w:t>存在</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四是</w:t>
      </w:r>
      <w:r>
        <w:rPr>
          <w:rFonts w:hint="eastAsia" w:ascii="仿宋" w:hAnsi="仿宋" w:eastAsia="仿宋" w:cs="仿宋"/>
          <w:color w:val="000000" w:themeColor="text1"/>
          <w:sz w:val="32"/>
          <w:szCs w:val="32"/>
          <w:lang w:val="en-US" w:eastAsia="zh-CN"/>
          <w14:textFill>
            <w14:solidFill>
              <w14:schemeClr w14:val="tx1"/>
            </w14:solidFill>
          </w14:textFill>
        </w:rPr>
        <w:t>对市场经济规律、市场监管规律、科技发展的认知不够。在互联网、全球化和科技迅猛发展的时代，新产业、新业态不断涌现，电子商务、线上线下互动蓬勃发展，如何适应经济规律，如何监管好社会主义大市场，缺乏研究和思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baseline"/>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（二）面临的机遇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 一是党中央国务院重大部署对市场监管提出新要求、带来新机遇。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党的十九大提出，全面实施市场准入负面清单制度，清理废除妨碍统一市场和公平竞争的各种规定和做法；深化商事制度改革，打破行政垄断，防止市场垄断；完善市场监管体制，深化简政放权，创新监管方式。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 二是宏观经济发展对市场监管提出新要求、带来新机遇。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当前国际经济形势和市场环境更加复杂，经济下行压力加大。实体经济困难，企业信心不足。市场监管部门要继续深化“放管服”改革，简政放权，优化服务；要创造良好市场环境，培育市场的力量，激发经济活力；要强化执法，打击各种侵犯消费者权益的行为，为扩大消费创造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三是实现高质量发展对市场监管提出新要求、带来新机遇。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我国是世界最大的市场主体国，世界最大的商标申请国和注册国。如何保持市场主体的质和量高速发展，保持品牌经济的快速发展，是市场监管部门的重要任务。推动高质量发展，核心要推动创新，形成创新意识鼓励创新创造。当前要强化“三个创新”：企业创新、科技创新、品牌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四是政府职能转型对市场监管提出新要求、带来新机遇。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机构改革的基本取向是构建与社会主义市场经济发展方向相适应的体制机制。政府要从发展型政府，转为促进发展的政府；要从直接干预经济、配置资源转到为经济发展创造良好环境上来。这充分表明市场监管在政府架构中的作用和意义越来越重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五是我国社会主要矛盾转化对市场监管提出新要求、带来新机遇。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我国居民消费进入消费升级的新阶段，居民消费已经从量的满足转向质的提升，从商品消费转向服务消费，从模仿型、大众化消费转向个性化、多样性消费，从线下实体店消费转向网上消费，从国内消费拓展到境外消费。假冒伪劣、虚假宣传、价格欺诈、信息泄露、共享单车押金退款难、保健用品消费欺诈、一些新的传销模式通过网络与非法集资、金融诈骗相融合，造成更大的影响和危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六是深化商事制度改革对市场监管提出新要求、带来新机遇。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深化商事制度改革，已从过去单纯的“放”向有效的“管”转变，从准入制度改革向全面放宽对微观主体管制的制度变革转变，从企业的市场准入改革，向行业的市场准入、不同所有制的市场准入、产品的市场准入改革扩展。“放”的措施和效应不断释放，市场主体数量不断增长。“管”的新机制正在探索，目前还未建立。“服”的效果还没有充分显现，商事制度改革任务仍十分艰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outlineLvl w:val="0"/>
        <w:rPr>
          <w:rFonts w:hint="default" w:ascii="仿宋_GB2312" w:hAnsi="仿宋_GB2312" w:eastAsia="仿宋_GB2312" w:cs="仿宋_GB2312"/>
          <w:i w:val="0"/>
          <w:caps w:val="0"/>
          <w:color w:val="000000" w:themeColor="text1"/>
          <w:spacing w:val="0"/>
          <w:sz w:val="32"/>
          <w:szCs w:val="32"/>
          <w:lang w:val="en-US"/>
          <w14:textFill>
            <w14:solidFill>
              <w14:schemeClr w14:val="tx1"/>
            </w14:solidFill>
          </w14:textFill>
        </w:rPr>
      </w:pPr>
      <w:bookmarkStart w:id="2" w:name="_Toc29544"/>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三、</w:t>
      </w:r>
      <w:bookmarkEnd w:id="2"/>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总体思路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（一）指导思想。</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以习近平新时代中国特色社会主义思想为指导，全面贯彻党的十九大和十九届二中、三中、四中、五中、六中全会精神，坚持和加强党的全面领导，坚持以人民为中心的发展思想，坚持稳中求进工作总基调，坚持新发展理念，以深化“放管服”改革为着力点，重点优化市场准入、竞争和消费环境，实施质量强区、知识产权、标准化和食品安全战略，提升食品、药品、特种设备和重点工业产品安全保障水平，改革监管体制机制，创新监管方法手段，加快推进市场监管治理体系和治理能力现代化建设，以市场监管高质量推动全区经济社会高质量发展，不断增强人民群众获得感、幸福感和安全感，为新时代瑶海振兴发展作出新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（二）总体目标。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到2025年，基本建成统一开放、竞争有序、诚信守法、监管有力的现代市场体系，形成创新创业、公平竞争、安全放心的市场营商环境，形成市场导向、标准引领、质量为本的质量强区体系，形成法治保障、科技支撑、多元共治的市场治理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激发投资活力，宽松便捷的市场准入环境进一步优化。</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市场准入制度进一步完善，公平统一、开放透明的市场准入规则基本形成。各种行政审批大幅减少，商事登记前置、后置审批事项大幅减少。市场活力持续激发，大众创业、万众创新的市场环境不断改善。百姓投资办企业时间缩减，新增市场主体快速增长、活跃发展，新设企业生命周期延长，企业数量增长显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优化营商环境，公平有序的市场竞争秩序进一步规范。</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放活与管好相结合，做到放而不乱、活而有序。公平竞争审查制度全面实施，反垄断和反不正当竞争执法成效显著，侵权假冒、地方保护、行业壁垒、企业垄断得到有效治理，公平竞争、优胜劣汰机制基本建立。统一大市场进一步完善，市场秩序明显改善，商标品牌作用充分发挥，市场主体质量显著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保护合法权益，安全放心的市场消费环境进一步形成。</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推进消费供给侧结构性改革，不断满足人民群众消费升级的美好向往。消费维权的法律体系进一步完善，消费维权机制进一步健全。放心消费创建工作深入持续开展，消费维权社会化水平明显提高。商品和服务消费的质量安全水平全面提升，消费者满意度持续提高。到2025年，初步建立与我区经济社会发展水平相适应的市场监管安全治理体系，确保不发生区域性、行业性、系统性、源发性事件和食品、药品、特种设备、重点工业产品重特大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强化质量服务，品牌建设能力和技术创新水平进一步提升。</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质量强区战略深入人心，企业主体作用充分激发，质量诚信体系和质量基础保障体系初步建立，培育一批品牌形象突出、质量水平一流、具有瑶海特色的现代企业和产业集群。知识产权意识明显增强，质量大幅提升，知识产权运用水平进一步提升，形成一批知识产权优势产业和优势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提升监管效能，权威高效的市场监管体制机制进一步完善。</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市场监管综合执法体制改革全面完成，“谁审批、谁监管，谁主管、谁监管”的监管责任全面落实，协调、配合、齐抓共管的市场监管格局进一步完善，形成统一规范、权责明确、公正高效、法治保障的市场监管和反垄断执法体系。信用监管、大数据监管以及多元共治等新型监管机制进一步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（三）基本原则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坚持服务大局。</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强化全区一盘棋观念，自觉把市场监管工作放到全区经济社会发展全局中去谋划和把握。围绕高质量发展，着力实施质量强区战略，进一步提升产品和服务质量；围绕创新驱动发展，着力推进知识产权工作，进一步增强产业核心竞争力；围绕优化营商环境，着力深化“放管服”改革，进一步创造公平竞争的制度环境。围绕形成强大国内市场，着力改善消费环境，进一步释放消费潜力；围绕实施食品安全战略，着力推进食品安全市建设，进一步保障“舌尖上的安全”，不断增强围绕中心、服务大局的能力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坚持心系人民。</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坚持以人民为中心的发展思想，把维护最广大人民群众根本利益作为一切工作的出发点和落脚点，通过严格市场监管、质量监管、安全监管，让广大人民群众有更多、更直接、更实在的获得感、幸福感、安全感。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坚持依法监管。</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强化法治思维，严格依据法定程序、权限、职责办事，切实做到法定职责必须为、法无授权不可为；强化法治约束，按照建设法治政府的要求，切实做到严格规范公正文明执法，推动市场监管工作全面纳入法治轨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坚持改革创新。</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坚持用改革的观念为监管开路，用创新的思维为发展破题，用改革创新的方法破解市场监管工作中的痛点堵点，扬优势、补短板、强弱项。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坚持严守底线。</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严守安全底线，认真落实习近平总书记提出的“四个最严”要求，源头严防、过程严管、风险严控，确保人民群众买得放心、用得放心、吃得放心；严守职责底线，坚决扛起改革责任，忠实履行监管使命，切实维护群众利益，积极推动高质量发展，始终做到守土有责、守土负责、守土尽责；严守廉政底线，时刻保持自重、自省、自警、自律，做到心有所畏、言有所戒、行有所止，坚决在廉洁自律上守住底线、筑牢防线、不越红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outlineLvl w:val="0"/>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bookmarkStart w:id="3" w:name="_Toc10517"/>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四、主要任务</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（一）持续深化商事制度改革，进一步推进行政审批便利化，营造宽松便捷的市场准入环境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1.加强数据共享。大力促进市场监管审批系统接入国家法人库、空间地理库，实现许可材料在受理和现场审评各环节的无纸化传递和审批。试行“电子证照一码通”改革。加快电子营业执照应用，配合做好电子档案系统建设，将查询功能向社会公众开放。推进市场主体统计标准化，形成趋势化的市场主体数据结构模型，为区域经济发展和政府决策提供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2.加强网上办理。继续推进企业开办全程网上办理，持续优化企业“智能”审批系统，积极扩大智能审批的使用范围和使用区域，推进“智能”审批向“智慧”审批转化，实现“7*24”小时</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zh-CN" w:eastAsia="zh-CN" w:bidi="ar"/>
          <w14:textFill>
            <w14:solidFill>
              <w14:schemeClr w14:val="tx1"/>
            </w14:solidFill>
          </w14:textFill>
        </w:rPr>
        <w:t>企业登记智能审批，</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打造“不打烊”智慧型服务政府。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3.优化审批流程。持续优化审批流程，搭建科学规范的现场审评平台，建立高效的审评机制。持续推进“证照分离”改革，推进企业经营范围的标准化建设。优化提升企业注销“一网”服务平台，实现企业注销“一网通办、全程网办”，压缩普通注销登记时间，扩大简易注销范围。继续扩大长三角“一网通办”覆盖面，建立长效运维保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4.服务市场主体。创优营商环境，支持数字化赋能市场主体，方便市场准入，服务民营经济高质量发展，支持市场主体培小扶强做专。加强与人社、税务等部门的信息共享，提升小微企业名录质量。加强对小微企业名录、“四送一服”等平台的宣传，加大名录库知晓度，助力小微企业享受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default"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（二）以“四个最严”为标准，全面加强食品安全监管，保障人民群众“舌尖上的安全”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1.严格食品生产经营监管。按照食品安全风险分级管理要求对全区食品生产经营单位做到年度检查全覆盖，</w:t>
      </w:r>
      <w:r>
        <w:rPr>
          <w:rFonts w:hint="eastAsia" w:ascii="仿宋_GB2312" w:hAnsi="仿宋_GB2312" w:eastAsia="仿宋_GB2312" w:cs="仿宋_GB2312"/>
          <w:color w:val="000000" w:themeColor="text1"/>
          <w:kern w:val="0"/>
          <w:sz w:val="32"/>
          <w:szCs w:val="32"/>
          <w14:textFill>
            <w14:solidFill>
              <w14:schemeClr w14:val="tx1"/>
            </w14:solidFill>
          </w14:textFill>
        </w:rPr>
        <w:t>学校幼儿园食堂、集体用餐配送单位和中央厨房A级单位比例不少于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食品生产经营企业</w:t>
      </w:r>
      <w:r>
        <w:rPr>
          <w:rFonts w:hint="eastAsia" w:ascii="仿宋_GB2312" w:hAnsi="仿宋_GB2312" w:eastAsia="仿宋_GB2312" w:cs="仿宋_GB2312"/>
          <w:color w:val="000000" w:themeColor="text1"/>
          <w:kern w:val="0"/>
          <w:sz w:val="32"/>
          <w:szCs w:val="32"/>
          <w14:textFill>
            <w14:solidFill>
              <w14:schemeClr w14:val="tx1"/>
            </w14:solidFill>
          </w14:textFill>
        </w:rPr>
        <w:t>食品质量安全管理岗位人员的法规知识抽查考核合格率要达到90%以上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食品生产企业自查报告率要达到90%以上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2.不断强化监督抽检。逐年增加食品安全监督抽检批次和频次，制定实施覆盖所有食品类别、品种，突出对蔬菜、水果、畜禽肉、鲜蛋和水产品等食用农产品中农药兽药残留的抽检方案，食品检验量不少于每年6份</w:t>
      </w:r>
      <w:r>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千人，</w:t>
      </w:r>
      <w:r>
        <w:rPr>
          <w:rFonts w:hint="eastAsia" w:ascii="仿宋_GB2312" w:hAnsi="仿宋_GB2312" w:eastAsia="仿宋_GB2312" w:cs="仿宋_GB2312"/>
          <w:color w:val="000000" w:themeColor="text1"/>
          <w:kern w:val="0"/>
          <w:sz w:val="32"/>
          <w:szCs w:val="32"/>
          <w14:textFill>
            <w14:solidFill>
              <w14:schemeClr w14:val="tx1"/>
            </w14:solidFill>
          </w14:textFill>
        </w:rPr>
        <w:t>食品抽检合格率稳定在98%以上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抽样检验结果及时向社会公开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，每年抽检信息公示不少于54期。积极支持配合区有关部门引进2家检测技术公司入驻瑶海区</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继续推进“互联网+食品”监管。扩大纳入智慧监管平台食品生产经营单位数量，将辖区210家校园食堂、9家养老机构、42家食品生产企业、47家大型及以上餐饮服务单位，全部接入监管平台，并对新开办的校园食堂全部纳入智慧监管系统，同时进一步优化大数据统计分析及预警功能，优化“互联网+食品”监管模式，提升监管工作信息化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4.持续推进社会共治。广泛开展食品安全宣传活动，食品安全“五进”宣传每年不少于20场、“你送我检”免费开放日活动不少每周1次。</w:t>
      </w:r>
      <w:r>
        <w:rPr>
          <w:rFonts w:hint="eastAsia" w:ascii="仿宋_GB2312" w:hAnsi="仿宋_GB2312" w:cs="仿宋_GB2312"/>
          <w:color w:val="000000" w:themeColor="text1"/>
          <w:sz w:val="32"/>
          <w:szCs w:val="32"/>
          <w:lang w:val="en-US" w:eastAsia="zh-CN"/>
          <w14:textFill>
            <w14:solidFill>
              <w14:schemeClr w14:val="tx1"/>
            </w14:solidFill>
          </w14:textFill>
        </w:rPr>
        <w:t>充分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利用报纸、电视、广播、微信公众号等媒体开展宣传教育，加强食品安全法律法规及科普知识和公益广告宣传力度，营造更加浓厚的食品安全宣传氛围。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（三）完善药品、医疗器械、化妆品流通使用环节监管，提升智慧监管水平和应急管理能力，全力保障人民群众用药安全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不断健全监管机制，坚决守住安全底线。一是严格实施新《药品管理法》《疫苗管理法》等法律法规，按照“四个最严”要求，保持高压震慑态势，加强药品流通环节的督查指导，保证药品监管链条终端安全；二是探索研究应对重大突发公共卫生事件药品监管具体机制措施，提高舆情监测处置和应急能力；三是开展对疫苗、血液制品、注射剂、中药饮片、植入性医疗器械、婴幼儿化妆品、特殊用途化妆品等重点品种、重点领域专项整治，持续做到保障安全、防控风险；四是坚持问题导向，加强飞行检查和跟踪检查，加大对违法违规行为的打击力度，坚决守住不发生系统性、区域性药品安全事件的底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深化“放管服”改革，加快推进智慧监管。一是提高数据化监管平台使用率，充分利用药品综合监管执法平台和“互联网+监管”系统等，以信息化手段控制风险、及时公开监管信息，推进诚信体系建设；二是做好线上线下齐抓共管，针对网络销售药品、医疗器械等监管面临的新形势，争取形成上下联动、部门配合的监管合力，维护好药械网络销售秩序；三是持续优化药品经营许可审批流程，强化事中事后监管，推动药品经营许可提速提效，实现药品经营许可全程网络化、电子化；四是贯彻落实促进药品零售行业健康发展具体举措，鼓励并推进药品零售连锁化，鼓励企业通过设置24小时自动售药机等新方式经营，推动企业建立慢性病管理档案，为购药人提供深入的药学服务，鼓励企业积极探索医疗机构“电子处方”在药品零售环节的应用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建立专业监管队伍，完善监管协调机制。一是适应新的药品监管体制，充实监管队伍，加强业务培训，建立与职责相匹配的监管力量，最大程度发挥监管队伍作用；二是充分发挥药品行业协会及药学技术人员作用，大力开展执业药师药学服务工作，指导患者合理安全用药，鼓励协会对药品监管献计献策、引导行业自律；三是加大药品安全科普宣传，利用政务平台、微信公众号等发布药品科普知识，开展药品宣传活动，增强群众安全用药意识，提升群众依法维权能力；四是加强部门协同配合，与卫生健康、医保等部门联合开展工作，与公安等部门建立重大案件联合执法机制，形成药品安全治理合力，推动建立药品社会共治的新格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（四）强化特种设备安全监管，健全完善特种设备安全责任体系，推进构建社会共治格局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b w:val="0"/>
          <w:bCs/>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b w:val="0"/>
          <w:bCs/>
          <w:color w:val="000000" w:themeColor="text1"/>
          <w:sz w:val="32"/>
          <w:szCs w:val="32"/>
          <w:shd w:val="clear" w:color="auto" w:fill="FFFFFF"/>
          <w14:textFill>
            <w14:solidFill>
              <w14:schemeClr w14:val="tx1"/>
            </w14:solidFill>
          </w14:textFill>
        </w:rPr>
        <w:t>健全完善特种设备安全责任体系。</w:t>
      </w:r>
      <w:r>
        <w:rPr>
          <w:rFonts w:hint="eastAsia" w:ascii="仿宋_GB2312" w:hAnsi="仿宋_GB2312" w:eastAsia="仿宋_GB2312"/>
          <w:color w:val="000000" w:themeColor="text1"/>
          <w:sz w:val="32"/>
          <w:szCs w:val="32"/>
          <w:shd w:val="clear" w:color="auto" w:fill="FFFFFF"/>
          <w14:textFill>
            <w14:solidFill>
              <w14:schemeClr w14:val="tx1"/>
            </w14:solidFill>
          </w14:textFill>
        </w:rPr>
        <w:t>强化运用特种设备安全目标考核，推动</w:t>
      </w:r>
      <w:r>
        <w:rPr>
          <w:rFonts w:hint="eastAsia" w:ascii="仿宋_GB2312" w:eastAsia="仿宋_GB2312" w:cs="仿宋_GB2312"/>
          <w:bCs/>
          <w:color w:val="000000" w:themeColor="text1"/>
          <w:sz w:val="32"/>
          <w:szCs w:val="32"/>
          <w14:textFill>
            <w14:solidFill>
              <w14:schemeClr w14:val="tx1"/>
            </w14:solidFill>
          </w14:textFill>
        </w:rPr>
        <w:t>属地党委政府及监管部门特种设备安全责任落实；健全完善特种设备生产、经营、使用单位信用监管档案，通过构建运行特种设备领域失信联合惩戒制度，</w:t>
      </w:r>
      <w:r>
        <w:rPr>
          <w:rFonts w:hint="eastAsia" w:ascii="仿宋_GB2312" w:eastAsia="仿宋_GB2312" w:cs="仿宋_GB2312"/>
          <w:color w:val="000000" w:themeColor="text1"/>
          <w:sz w:val="32"/>
          <w:szCs w:val="32"/>
          <w14:textFill>
            <w14:solidFill>
              <w14:schemeClr w14:val="tx1"/>
            </w14:solidFill>
          </w14:textFill>
        </w:rPr>
        <w:t>强化企业特种设备安全主体责任落实。</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eastAsia="仿宋_GB2312" w:cs="楷体_GB2312"/>
          <w:b w:val="0"/>
          <w:bCs w:val="0"/>
          <w:color w:val="000000" w:themeColor="text1"/>
          <w:sz w:val="32"/>
          <w:szCs w:val="32"/>
          <w14:textFill>
            <w14:solidFill>
              <w14:schemeClr w14:val="tx1"/>
            </w14:solidFill>
          </w14:textFill>
        </w:rPr>
        <w:t>全面推进特种设备“铸安”行动。</w:t>
      </w:r>
      <w:r>
        <w:rPr>
          <w:rFonts w:hint="eastAsia" w:ascii="仿宋_GB2312" w:eastAsia="仿宋_GB2312" w:cs="仿宋_GB2312"/>
          <w:color w:val="000000" w:themeColor="text1"/>
          <w:sz w:val="32"/>
          <w:szCs w:val="32"/>
          <w14:textFill>
            <w14:solidFill>
              <w14:schemeClr w14:val="tx1"/>
            </w14:solidFill>
          </w14:textFill>
        </w:rPr>
        <w:t>加强特种设备监督检查工作并建立长效机制</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规范现场安全监督检查行为</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按照突出重点、全面覆盖的原则</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建立以“双随机、一公开”为基本手段、以重点监管为补充、以信用监管为基础的新型监管机制</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加强特种设备分级分类监管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实现特种设备安全监管全覆盖。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eastAsia="仿宋_GB2312" w:cs="仿宋_GB2312"/>
          <w:b w:val="0"/>
          <w:bCs w:val="0"/>
          <w:color w:val="000000" w:themeColor="text1"/>
          <w:sz w:val="32"/>
          <w:szCs w:val="32"/>
          <w14:textFill>
            <w14:solidFill>
              <w14:schemeClr w14:val="tx1"/>
            </w14:solidFill>
          </w14:textFill>
        </w:rPr>
        <w:t>突出加强电梯安全监管。</w:t>
      </w:r>
      <w:r>
        <w:rPr>
          <w:rFonts w:hint="eastAsia" w:ascii="仿宋_GB2312" w:eastAsia="仿宋_GB2312" w:cs="仿宋_GB2312"/>
          <w:bCs/>
          <w:color w:val="000000" w:themeColor="text1"/>
          <w:sz w:val="32"/>
          <w:szCs w:val="32"/>
          <w14:textFill>
            <w14:solidFill>
              <w14:schemeClr w14:val="tx1"/>
            </w14:solidFill>
          </w14:textFill>
        </w:rPr>
        <w:t>突出人员密集场所及高层建筑电梯安全监管，确保年度电梯使用登记率、定期检验率达100%。抓好老旧住宅电梯安全改造维修，结合《合肥市老旧住宅电梯更新改造重大修理市级补贴管理暂行办法》，对</w:t>
      </w:r>
      <w:r>
        <w:rPr>
          <w:rFonts w:hint="eastAsia" w:ascii="仿宋_GB2312" w:eastAsia="仿宋_GB2312" w:cs="仿宋_GB2312"/>
          <w:bCs/>
          <w:color w:val="000000" w:themeColor="text1"/>
          <w:sz w:val="32"/>
          <w:szCs w:val="32"/>
          <w:lang w:eastAsia="zh-CN"/>
          <w14:textFill>
            <w14:solidFill>
              <w14:schemeClr w14:val="tx1"/>
            </w14:solidFill>
          </w14:textFill>
        </w:rPr>
        <w:t>截止</w:t>
      </w:r>
      <w:r>
        <w:rPr>
          <w:rFonts w:hint="eastAsia" w:ascii="仿宋_GB2312" w:eastAsia="仿宋_GB2312" w:cs="仿宋_GB2312"/>
          <w:bCs/>
          <w:color w:val="000000" w:themeColor="text1"/>
          <w:sz w:val="32"/>
          <w:szCs w:val="32"/>
          <w14:textFill>
            <w14:solidFill>
              <w14:schemeClr w14:val="tx1"/>
            </w14:solidFill>
          </w14:textFill>
        </w:rPr>
        <w:t>2025年底的462部使用超15年以上的电梯改造维修率达50%以上，76部使用超20年以上电梯改造维修率达100%。积极探索开展电梯按需维保，推进实施“物联网+维保”“定期检验+企业自检”新模式；鼓励引导电梯使用单位投保安全责任保险，截止2025年底，确保在用电梯投保率达30%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eastAsia="仿宋_GB2312" w:cs="仿宋_GB2312"/>
          <w:b w:val="0"/>
          <w:bCs/>
          <w:color w:val="000000" w:themeColor="text1"/>
          <w:sz w:val="32"/>
          <w:szCs w:val="32"/>
          <w14:textFill>
            <w14:solidFill>
              <w14:schemeClr w14:val="tx1"/>
            </w14:solidFill>
          </w14:textFill>
        </w:rPr>
        <w:t>强化特种设备人员能力提升。</w:t>
      </w:r>
      <w:r>
        <w:rPr>
          <w:rFonts w:hint="eastAsia" w:ascii="仿宋_GB2312" w:eastAsia="仿宋_GB2312" w:cs="仿宋_GB2312"/>
          <w:color w:val="000000" w:themeColor="text1"/>
          <w:sz w:val="32"/>
          <w:szCs w:val="32"/>
          <w14:textFill>
            <w14:solidFill>
              <w14:schemeClr w14:val="tx1"/>
            </w14:solidFill>
          </w14:textFill>
        </w:rPr>
        <w:t>加强特种设备监察人员培训和管理</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提升监察人员素质能力，</w:t>
      </w:r>
      <w:r>
        <w:rPr>
          <w:rFonts w:hint="eastAsia" w:ascii="仿宋_GB2312" w:eastAsia="仿宋_GB2312" w:cs="仿宋_GB2312"/>
          <w:b/>
          <w:bCs/>
          <w:color w:val="000000" w:themeColor="text1"/>
          <w:sz w:val="32"/>
          <w:szCs w:val="32"/>
          <w14:textFill>
            <w14:solidFill>
              <w14:schemeClr w14:val="tx1"/>
            </w14:solidFill>
          </w14:textFill>
        </w:rPr>
        <w:t>至</w:t>
      </w:r>
      <w:r>
        <w:rPr>
          <w:rFonts w:ascii="仿宋_GB2312" w:eastAsia="仿宋_GB2312" w:cs="仿宋_GB2312"/>
          <w:bCs/>
          <w:color w:val="000000" w:themeColor="text1"/>
          <w:sz w:val="32"/>
          <w:szCs w:val="32"/>
          <w14:textFill>
            <w14:solidFill>
              <w14:schemeClr w14:val="tx1"/>
            </w14:solidFill>
          </w14:textFill>
        </w:rPr>
        <w:t>202</w:t>
      </w:r>
      <w:r>
        <w:rPr>
          <w:rFonts w:hint="eastAsia" w:ascii="仿宋_GB2312" w:eastAsia="仿宋_GB2312" w:cs="仿宋_GB2312"/>
          <w:bCs/>
          <w:color w:val="000000" w:themeColor="text1"/>
          <w:sz w:val="32"/>
          <w:szCs w:val="32"/>
          <w14:textFill>
            <w14:solidFill>
              <w14:schemeClr w14:val="tx1"/>
            </w14:solidFill>
          </w14:textFill>
        </w:rPr>
        <w:t>5年底，确保市场监管工作一线执法人员特种设备安全监察员证持证率达</w:t>
      </w:r>
      <w:r>
        <w:rPr>
          <w:rFonts w:ascii="仿宋_GB2312" w:eastAsia="仿宋_GB2312" w:cs="仿宋_GB2312"/>
          <w:bCs/>
          <w:color w:val="000000" w:themeColor="text1"/>
          <w:sz w:val="32"/>
          <w:szCs w:val="32"/>
          <w14:textFill>
            <w14:solidFill>
              <w14:schemeClr w14:val="tx1"/>
            </w14:solidFill>
          </w14:textFill>
        </w:rPr>
        <w:t>90%</w:t>
      </w:r>
      <w:r>
        <w:rPr>
          <w:rFonts w:hint="eastAsia" w:ascii="仿宋_GB2312" w:eastAsia="仿宋_GB2312" w:cs="仿宋_GB2312"/>
          <w:bCs/>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构建以企业为主体、社会培训机构积极参与、职工踊跃参加、监管部门激励推动的安全技能培训格局，</w:t>
      </w:r>
      <w:r>
        <w:rPr>
          <w:rFonts w:hint="eastAsia" w:ascii="仿宋_GB2312" w:eastAsia="仿宋_GB2312" w:cs="仿宋_GB2312"/>
          <w:bCs/>
          <w:color w:val="000000" w:themeColor="text1"/>
          <w:sz w:val="32"/>
          <w:szCs w:val="32"/>
          <w14:textFill>
            <w14:solidFill>
              <w14:schemeClr w14:val="tx1"/>
            </w14:solidFill>
          </w14:textFill>
        </w:rPr>
        <w:t>至</w:t>
      </w:r>
      <w:r>
        <w:rPr>
          <w:rFonts w:ascii="仿宋_GB2312" w:eastAsia="仿宋_GB2312" w:cs="仿宋_GB2312"/>
          <w:bCs/>
          <w:color w:val="000000" w:themeColor="text1"/>
          <w:sz w:val="32"/>
          <w:szCs w:val="32"/>
          <w14:textFill>
            <w14:solidFill>
              <w14:schemeClr w14:val="tx1"/>
            </w14:solidFill>
          </w14:textFill>
        </w:rPr>
        <w:t>202</w:t>
      </w:r>
      <w:r>
        <w:rPr>
          <w:rFonts w:hint="eastAsia" w:ascii="仿宋_GB2312" w:eastAsia="仿宋_GB2312" w:cs="仿宋_GB2312"/>
          <w:bCs/>
          <w:color w:val="000000" w:themeColor="text1"/>
          <w:sz w:val="32"/>
          <w:szCs w:val="32"/>
          <w14:textFill>
            <w14:solidFill>
              <w14:schemeClr w14:val="tx1"/>
            </w14:solidFill>
          </w14:textFill>
        </w:rPr>
        <w:t>5年底</w:t>
      </w:r>
      <w:r>
        <w:rPr>
          <w:rFonts w:hint="eastAsia" w:ascii="仿宋_GB2312" w:eastAsia="仿宋_GB2312" w:cs="仿宋_GB2312"/>
          <w:bCs/>
          <w:color w:val="000000" w:themeColor="text1"/>
          <w:sz w:val="32"/>
          <w:szCs w:val="32"/>
          <w:lang w:eastAsia="zh-CN"/>
          <w14:textFill>
            <w14:solidFill>
              <w14:schemeClr w14:val="tx1"/>
            </w14:solidFill>
          </w14:textFill>
        </w:rPr>
        <w:t>，</w:t>
      </w:r>
      <w:r>
        <w:rPr>
          <w:rFonts w:hint="eastAsia" w:ascii="仿宋_GB2312" w:eastAsia="仿宋_GB2312" w:cs="仿宋_GB2312"/>
          <w:bCs/>
          <w:color w:val="000000" w:themeColor="text1"/>
          <w:sz w:val="32"/>
          <w:szCs w:val="32"/>
          <w14:textFill>
            <w14:solidFill>
              <w14:schemeClr w14:val="tx1"/>
            </w14:solidFill>
          </w14:textFill>
        </w:rPr>
        <w:t>确保企业安全生产一线的特种设备作业人员</w:t>
      </w:r>
      <w:r>
        <w:rPr>
          <w:rFonts w:ascii="仿宋_GB2312" w:eastAsia="仿宋_GB2312" w:cs="仿宋_GB2312"/>
          <w:bCs/>
          <w:color w:val="000000" w:themeColor="text1"/>
          <w:sz w:val="32"/>
          <w:szCs w:val="32"/>
          <w14:textFill>
            <w14:solidFill>
              <w14:schemeClr w14:val="tx1"/>
            </w14:solidFill>
          </w14:textFill>
        </w:rPr>
        <w:t>100%</w:t>
      </w:r>
      <w:r>
        <w:rPr>
          <w:rFonts w:hint="eastAsia" w:ascii="仿宋_GB2312" w:eastAsia="仿宋_GB2312" w:cs="仿宋_GB2312"/>
          <w:bCs/>
          <w:color w:val="000000" w:themeColor="text1"/>
          <w:sz w:val="32"/>
          <w:szCs w:val="32"/>
          <w14:textFill>
            <w14:solidFill>
              <w14:schemeClr w14:val="tx1"/>
            </w14:solidFill>
          </w14:textFill>
        </w:rPr>
        <w:t>培训考核合格后持证上岗。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 w:val="0"/>
          <w:bCs/>
          <w:color w:val="000000" w:themeColor="text1"/>
          <w:sz w:val="32"/>
          <w:szCs w:val="32"/>
          <w:lang w:val="en-US" w:eastAsia="zh-CN"/>
          <w14:textFill>
            <w14:solidFill>
              <w14:schemeClr w14:val="tx1"/>
            </w14:solidFill>
          </w14:textFill>
        </w:rPr>
        <w:t>5.</w:t>
      </w:r>
      <w:r>
        <w:rPr>
          <w:rFonts w:hint="eastAsia" w:ascii="仿宋_GB2312" w:eastAsia="仿宋_GB2312" w:cs="仿宋_GB2312"/>
          <w:b w:val="0"/>
          <w:bCs/>
          <w:color w:val="000000" w:themeColor="text1"/>
          <w:sz w:val="32"/>
          <w:szCs w:val="32"/>
          <w14:textFill>
            <w14:solidFill>
              <w14:schemeClr w14:val="tx1"/>
            </w14:solidFill>
          </w14:textFill>
        </w:rPr>
        <w:t>推进特种设备安全监管信息化。</w:t>
      </w:r>
      <w:r>
        <w:rPr>
          <w:rFonts w:hint="eastAsia" w:ascii="仿宋_GB2312" w:eastAsia="仿宋_GB2312" w:cs="仿宋_GB2312"/>
          <w:bCs/>
          <w:color w:val="000000" w:themeColor="text1"/>
          <w:sz w:val="32"/>
          <w:szCs w:val="32"/>
          <w14:textFill>
            <w14:solidFill>
              <w14:schemeClr w14:val="tx1"/>
            </w14:solidFill>
          </w14:textFill>
        </w:rPr>
        <w:t>全面应用“特种设备安全监管大数据信息化系统”，积极构建横向到边、纵向到底的特种设备信息化监管网格，至</w:t>
      </w:r>
      <w:r>
        <w:rPr>
          <w:rFonts w:ascii="仿宋_GB2312" w:eastAsia="仿宋_GB2312" w:cs="仿宋_GB2312"/>
          <w:bCs/>
          <w:color w:val="000000" w:themeColor="text1"/>
          <w:sz w:val="32"/>
          <w:szCs w:val="32"/>
          <w14:textFill>
            <w14:solidFill>
              <w14:schemeClr w14:val="tx1"/>
            </w14:solidFill>
          </w14:textFill>
        </w:rPr>
        <w:t>202</w:t>
      </w:r>
      <w:r>
        <w:rPr>
          <w:rFonts w:hint="eastAsia" w:asci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eastAsia="仿宋_GB2312" w:cs="仿宋_GB2312"/>
          <w:bCs/>
          <w:color w:val="000000" w:themeColor="text1"/>
          <w:sz w:val="32"/>
          <w:szCs w:val="32"/>
          <w14:textFill>
            <w14:solidFill>
              <w14:schemeClr w14:val="tx1"/>
            </w14:solidFill>
          </w14:textFill>
        </w:rPr>
        <w:t>年实现特种设备信息化执法率达</w:t>
      </w:r>
      <w:r>
        <w:rPr>
          <w:rFonts w:ascii="仿宋_GB2312" w:eastAsia="仿宋_GB2312" w:cs="仿宋_GB2312"/>
          <w:bCs/>
          <w:color w:val="000000" w:themeColor="text1"/>
          <w:sz w:val="32"/>
          <w:szCs w:val="32"/>
          <w14:textFill>
            <w14:solidFill>
              <w14:schemeClr w14:val="tx1"/>
            </w14:solidFill>
          </w14:textFill>
        </w:rPr>
        <w:t>90%以上</w:t>
      </w:r>
      <w:r>
        <w:rPr>
          <w:rFonts w:hint="eastAsia" w:ascii="仿宋_GB2312" w:eastAsia="仿宋_GB2312" w:cs="仿宋_GB2312"/>
          <w:bCs/>
          <w:color w:val="000000" w:themeColor="text1"/>
          <w:sz w:val="32"/>
          <w:szCs w:val="32"/>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s="仿宋_GB2312"/>
          <w:bCs/>
          <w:color w:val="000000" w:themeColor="text1"/>
          <w:sz w:val="32"/>
          <w:szCs w:val="32"/>
          <w14:textFill>
            <w14:solidFill>
              <w14:schemeClr w14:val="tx1"/>
            </w14:solidFill>
          </w14:textFill>
        </w:rPr>
      </w:pPr>
      <w:r>
        <w:rPr>
          <w:rFonts w:hint="eastAsia" w:asci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eastAsia="仿宋_GB2312" w:cs="仿宋_GB2312"/>
          <w:b w:val="0"/>
          <w:bCs/>
          <w:color w:val="000000" w:themeColor="text1"/>
          <w:sz w:val="32"/>
          <w:szCs w:val="32"/>
          <w14:textFill>
            <w14:solidFill>
              <w14:schemeClr w14:val="tx1"/>
            </w14:solidFill>
          </w14:textFill>
        </w:rPr>
        <w:t>广泛开展安全宣传教育。</w:t>
      </w:r>
      <w:r>
        <w:rPr>
          <w:rFonts w:hint="eastAsia" w:ascii="仿宋_GB2312" w:eastAsia="仿宋_GB2312" w:cs="仿宋_GB2312"/>
          <w:bCs/>
          <w:color w:val="000000" w:themeColor="text1"/>
          <w:sz w:val="32"/>
          <w:szCs w:val="32"/>
          <w14:textFill>
            <w14:solidFill>
              <w14:schemeClr w14:val="tx1"/>
            </w14:solidFill>
          </w14:textFill>
        </w:rPr>
        <w:t>持续通过“安全生产月”“质量月”“电梯安全宣传周”等多种形式，</w:t>
      </w:r>
      <w:r>
        <w:rPr>
          <w:rFonts w:hint="eastAsia" w:ascii="仿宋_GB2312" w:hAnsi="仿宋_GB2312" w:eastAsia="仿宋_GB2312" w:cs="仿宋_GB2312"/>
          <w:bCs/>
          <w:color w:val="000000" w:themeColor="text1"/>
          <w:kern w:val="2"/>
          <w:sz w:val="32"/>
          <w:szCs w:val="32"/>
          <w14:textFill>
            <w14:solidFill>
              <w14:schemeClr w14:val="tx1"/>
            </w14:solidFill>
          </w14:textFill>
        </w:rPr>
        <w:t>深入开展特种设备安全宣传“进社区、进企业、进学校、进机关、进家庭”活动，着力营造特种设备安全人人参与、齐抓共管的浓厚氛围。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（五）全面加强市场监管，完善监管机制，营造公平有序的市场竞争环境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加强网络市场监管。把握网络市场发展规律，健全网络市场监管措施，有针对性地解决网络市场发展中出现的突出问题，促进网络市场持续健康发展。坚持依法依规监管，推进依法管网，引导、督促网络交易平台落实相关责任，规范网络商品和服务经营者行为，防范网络交易风险，提高网络市场监管的制度化、规范化、法治化水平。加强对网络售假、虚假宣传、虚假促销、刷单炒信、恶意诋毁等违法行为的治理，净化网络市场环境。依托互联网、大数据技术降低监管成本，提高监管效能，提高网络市场监管的智慧化、精准化水平。创新网络市场监管机制，推进跨地域、跨部门和市场监管各业务条线之间的监管协同，加强信息共享，发挥各种监管资源的综合效益。加强社会公众、中介机构、新闻媒体等对网络市场秩序的监督，发挥消费者对网络经营活动的直接监督作用，努力构建“企业自治、行业自律、社会监督、政府监管”的社会共治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2.加强合同行政监管。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适应新形势下合同行政监管的要求，厘清职责，依法监管，以信用监管为主要手段，全面实施线上线下一体化监管，维护国家利益和社会公共利益。以动产抵押登记为切入口，强化服务能力，促进经济社会发展。宣传推广全国市场监管动产抵押登记业务系统，线上办理率达到95%以上，实行零见面、一次办、一次清。针对商务活动逐步向线上发展的特点，将监管的重点从传统的线下转为线上。对线上重点领域利用合同格式条款侵害消费者权益的违法行为进行专项整治，加大社会参与度、影响面。对已经开展过专项整治的重点行业和领域的合同格式条款，适时采取回头看的方式，检查督促整改到位。加强合同行政指导，创新合同示范文本推广工作，鼓励基层因地制宜、研究制定符合本地实际的合同范本，指导帮助依法规范订立合同、履行合同，促进社会诚信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cstheme="minorEastAsia"/>
          <w:b w:val="0"/>
          <w:bCs w:val="0"/>
          <w:color w:val="000000" w:themeColor="text1"/>
          <w:spacing w:val="1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3.加强广告监管。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认真贯彻落实习近平总书记“广告宣传也要讲导向”的重要指示精神，坚持正确的政治方向、舆论导向和价值取向，不断强化广告导向监管。加大执法办案力度，将药品、医药器械、食品保健品、美容化妆品、金融理财、汽车房地产、旅游服务、教育培训等关系人民群众健康安全和财产安全的广告作为重点领域，将互联网、广播电视、报刊、大型电子显示屏等作为重点媒介，大力开展虚假违法广告专项整治，持续保持高压态势。按照“四个最严”要求，做好“三品一械”广告审查工作。创新监管方式，按照源头防控、常态监测、分级负责、标本兼治、综合治理、突出重点、常态长效的总体要求，坚持依法监管、从严监管、智慧监管、信用监管、协同监管，构建政府领导、部门监管、企业自治、行业自律、社会监督的治理体系，形成齐抓共管、综合施策、协同共治新格局，有效遏制违法行为，有力维护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加强知识产权保护行政执法和维权援助。实行严格的知识产权保护，加大知识产权侵权、假冒等违法行为的查处力度。进一步简化程序，建立和完善纠纷案件快速调处机制。进一步强化行政执法与司法衔接，探索建立专利、商标、版权侵权案件行政调处前置制度，继续开展专利纠纷行政调解协议的司法确认工作。建立知识产权纠纷多元化解平台、构建便捷高效低成本的维权渠道。切实加强维权援助，推进知识产权保护协作，探索开展知识产权侵权案件诉中委托调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5.加强价格监管执法。</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落实降费减负政策，持续开展涉企收费检查，突出行政事业性收费、红顶中介、行业协会商会价费行为规范、自然垄断行业价费政策落实等重点领域违规收费行为治理，为实体经济发展营造良好的价费环境。围绕保障和改善民生，持续加强水电气、教育、医疗、电商、物业、停车等民生重点领域价格行为监管，严肃查处价格违法违规行为，维护百姓合法权益。聚焦社会热点、重要节点，突出抓好节假日市场价格监管，及时处理价格投诉举报，疏解价费矛盾，规范市场价格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6.完善公平竞争审查制度。把规范和约束政府行为作为实施竞争政策的重要任务，完善并实施公平竞争审查制度，指导政策制定机关开展公平竞争审查和相关政策措施清理工作，保障公平竞争审查制度有序实施。推动产业政策从选择性向功能性转型，建立产业政策与竞争政策的协调机制。开展公平竞争审查制度效应分析，对政策制定机关开展的公平竞争审查成效进行跟踪评估，及时总结经验并发现问题，推动制度不断完善。建立公平竞争审查第三方评估制度，对已经出台的政策措施进行第三方评估，对不合理的政策安排进行相应调整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7.加强反不正当竞争执法。贯彻执行《反垄断法》，严厉查处达成实施垄断协议、滥用市场支配地位行为。依法查处滥用知识产权排除、限制竞争行为，依法制止滥用行政权力排除、限制竞争行为，保障市场公平竞争、维护经营者、消费者合法权益。针对经济发展中的突出问题，把公用企业、依法实行专营专卖的行业作为监管重点，加强对供水、供电、供气、烟草、邮政等行业的监管，严厉打击滥收费用、强迫交易、搭售商品、附加不合理交易条件等限制竞争和垄断行为。促进医疗、养老、教育、文化等民生领域公平竞争、健康发展。针对经济发展的新趋势，加强网络市场、分享经济以及高技术领域市场监管，制止滥用知识产权排除和限制竞争、阻碍创新行为。加强对与百姓生活密切相关的商品和服务价格垄断行为的监管。围绕优化环境，强化反不正当竞争执法。集中优势力量，保持并不断强化联合整治工作的压倒性态势。从保护产权、优化营商环境出发，重点解决市场混淆、虚假宣传、侵犯商业秘密等突出问题，查办公布一批典型案件，形成有力震慑和强大声势，切实维护公平竞争市场秩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 8.健全“双随机、</w:t>
      </w:r>
      <w:bookmarkStart w:id="5" w:name="_GoBack"/>
      <w:bookmarkEnd w:id="5"/>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一公开”市场监管机制。健全以“双随机、一公开”监管为基本手段、以重点监管为补充、以信用监管为基础的新型监管机制，综合监管、智慧监管水平进一步提升。完善企业信息公示制度。优化公示系统软硬件和网络环境，提升公示系统运行管理水平。推进企业信用风险分类管理，积极探索构建企业信用风险评价体系，充分运用大数据手段实现监管资源合理配置和有效利用，提高风险预判能力和监管效能。建立完善市场监管部门内涉企信息归集公示机制，确保涉企信息归集公示率100%。健全信用约束和失信联合惩戒机制，抓好“黑名单”管理。进一步推动部门联合惩戒，对违法企业加大行政处罚和信用约束力度，发挥社会共治力量，让失信主体“一处违法、处处受限”。出台信用修复机制，鼓励企业自我纠错、重塑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default" w:ascii="仿宋_GB2312" w:hAnsi="仿宋_GB2312" w:eastAsia="仿宋_GB2312" w:cs="仿宋_GB2312"/>
          <w:i w:val="0"/>
          <w:caps w:val="0"/>
          <w:color w:val="000000" w:themeColor="text1"/>
          <w:spacing w:val="0"/>
          <w:sz w:val="32"/>
          <w:szCs w:val="32"/>
          <w:lang w:val="en-US"/>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（六）提升质量高线，加强品牌建设，推动瑶海高质量发展</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b w:val="0"/>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1.持续推进质量强区建设。</w:t>
      </w:r>
      <w:r>
        <w:rPr>
          <w:rFonts w:hint="eastAsia" w:ascii="仿宋_GB2312" w:eastAsia="仿宋_GB2312"/>
          <w:b w:val="0"/>
          <w:bCs/>
          <w:color w:val="000000" w:themeColor="text1"/>
          <w:sz w:val="32"/>
          <w:szCs w:val="32"/>
          <w:shd w:val="clear" w:color="auto" w:fill="FFFFFF"/>
          <w14:textFill>
            <w14:solidFill>
              <w14:schemeClr w14:val="tx1"/>
            </w14:solidFill>
          </w14:textFill>
        </w:rPr>
        <w:t>强化质量工作组织领导。完善质量工作部门联席会议制度，加强质量强区战略研究、质量工作形势分析、质量政策研究制定，构建形成“党委领导、政府主导、部门联合、企业主责、社会参与”强有力的质量工作格局。大力弘扬质量文化。通过广泛开展“质量月</w:t>
      </w:r>
      <w:r>
        <w:rPr>
          <w:rFonts w:hint="eastAsia" w:ascii="仿宋_GB2312" w:eastAsia="仿宋_GB2312"/>
          <w:b w:val="0"/>
          <w:bCs/>
          <w:color w:val="000000" w:themeColor="text1"/>
          <w:sz w:val="32"/>
          <w:szCs w:val="32"/>
          <w:shd w:val="clear" w:color="auto" w:fill="FFFFFF"/>
          <w:lang w:eastAsia="zh-CN"/>
          <w14:textFill>
            <w14:solidFill>
              <w14:schemeClr w14:val="tx1"/>
            </w14:solidFill>
          </w14:textFill>
        </w:rPr>
        <w:t>”“</w:t>
      </w:r>
      <w:r>
        <w:rPr>
          <w:rFonts w:hint="eastAsia" w:ascii="仿宋_GB2312" w:eastAsia="仿宋_GB2312"/>
          <w:b w:val="0"/>
          <w:bCs/>
          <w:color w:val="000000" w:themeColor="text1"/>
          <w:sz w:val="32"/>
          <w:szCs w:val="32"/>
          <w:shd w:val="clear" w:color="auto" w:fill="FFFFFF"/>
          <w14:textFill>
            <w14:solidFill>
              <w14:schemeClr w14:val="tx1"/>
            </w14:solidFill>
          </w14:textFill>
        </w:rPr>
        <w:t>质量开放日”等宣传活动，努力营造政府重视质量、企业追求质量、人人关注质量的浓厚质量氛围，增强社会质量意识，不断提高经济运行的质量和效益。守护质量安全。以产品服务质量监管为抓手，针对重要工业产品、重点消费品，加强产品质量风险监测，加大产品质量抽检力度，确保抽检合格率达94%以上；大力推进质量监管综合执法，从生产、流通到消费领域全过程监管，建立健全质量追溯体系，严厉查处质量低劣、违反强制性标准、存在质量和安全风险的产品，维护群众“身边质量”安全。通过扎实有力的质量工作，积极推进我区</w:t>
      </w:r>
      <w:r>
        <w:rPr>
          <w:rFonts w:hint="eastAsia" w:ascii="仿宋_GB2312" w:eastAsia="仿宋_GB2312"/>
          <w:b w:val="0"/>
          <w:bCs/>
          <w:color w:val="000000" w:themeColor="text1"/>
          <w:sz w:val="32"/>
          <w:szCs w:val="32"/>
          <w14:textFill>
            <w14:solidFill>
              <w14:schemeClr w14:val="tx1"/>
            </w14:solidFill>
          </w14:textFill>
        </w:rPr>
        <w:t>创建安徽省“质量强区示范区”。</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shd w:val="clear" w:color="auto" w:fill="FFFFFF"/>
          <w:lang w:val="en-US" w:eastAsia="zh-CN"/>
          <w14:textFill>
            <w14:solidFill>
              <w14:schemeClr w14:val="tx1"/>
            </w14:solidFill>
          </w14:textFill>
        </w:rPr>
        <w:t>2.</w:t>
      </w:r>
      <w:r>
        <w:rPr>
          <w:rFonts w:hint="eastAsia" w:ascii="仿宋_GB2312" w:eastAsia="仿宋_GB2312"/>
          <w:b w:val="0"/>
          <w:bCs/>
          <w:color w:val="000000" w:themeColor="text1"/>
          <w:sz w:val="32"/>
          <w:szCs w:val="32"/>
          <w:shd w:val="clear" w:color="auto" w:fill="FFFFFF"/>
          <w14:textFill>
            <w14:solidFill>
              <w14:schemeClr w14:val="tx1"/>
            </w14:solidFill>
          </w14:textFill>
        </w:rPr>
        <w:t>夯实质量工作基础。</w:t>
      </w:r>
      <w:r>
        <w:rPr>
          <w:rFonts w:hint="eastAsia" w:ascii="仿宋_GB2312" w:eastAsia="仿宋_GB2312"/>
          <w:b w:val="0"/>
          <w:bCs/>
          <w:color w:val="000000" w:themeColor="text1"/>
          <w:sz w:val="32"/>
          <w:szCs w:val="32"/>
          <w14:textFill>
            <w14:solidFill>
              <w14:schemeClr w14:val="tx1"/>
            </w14:solidFill>
          </w14:textFill>
        </w:rPr>
        <w:t>夯实标准引领产业升级。结合我区转型发展实际，</w:t>
      </w:r>
      <w:r>
        <w:rPr>
          <w:rFonts w:hint="eastAsia" w:ascii="仿宋_GB2312" w:eastAsia="仿宋_GB2312"/>
          <w:b w:val="0"/>
          <w:bCs/>
          <w:color w:val="000000" w:themeColor="text1"/>
          <w:sz w:val="32"/>
          <w:szCs w:val="32"/>
          <w:shd w:val="clear" w:color="auto" w:fill="FFFFFF"/>
          <w14:textFill>
            <w14:solidFill>
              <w14:schemeClr w14:val="tx1"/>
            </w14:solidFill>
          </w14:textFill>
        </w:rPr>
        <w:t>围绕新一代信息技术产业、商贸金融服务业、建筑产业、文化创意产业、健康产业等为重点，</w:t>
      </w:r>
      <w:r>
        <w:rPr>
          <w:rFonts w:hint="eastAsia" w:ascii="仿宋_GB2312" w:eastAsia="仿宋_GB2312"/>
          <w:b w:val="0"/>
          <w:bCs/>
          <w:color w:val="000000" w:themeColor="text1"/>
          <w:sz w:val="32"/>
          <w:szCs w:val="32"/>
          <w14:textFill>
            <w14:solidFill>
              <w14:schemeClr w14:val="tx1"/>
            </w14:solidFill>
          </w14:textFill>
        </w:rPr>
        <w:t>选择一批具有自主核心技术和较大潜力的优势企业和重点产品列入高新技术标准化工作重点，在2025年底前指导帮助不少于10家企业申报推荐市级以上标准化试点，带动我区新型工业核心技术标准的形成和发展。强化计量监督和产业计量服务。</w:t>
      </w:r>
      <w:r>
        <w:rPr>
          <w:rFonts w:hint="eastAsia" w:ascii="仿宋_GB2312" w:hAnsi="仿宋" w:eastAsia="仿宋_GB2312" w:cs="仿宋_GB2312"/>
          <w:b w:val="0"/>
          <w:bCs/>
          <w:color w:val="000000" w:themeColor="text1"/>
          <w:sz w:val="32"/>
          <w:szCs w:val="32"/>
          <w14:textFill>
            <w14:solidFill>
              <w14:schemeClr w14:val="tx1"/>
            </w14:solidFill>
          </w14:textFill>
        </w:rPr>
        <w:t>严厉打击计量欺诈等违法行为，深入开展农贸市场、医疗机构、验光配镜等场所计量监督检查，年度计量器具抽查合格率达98%以上；优化计量服务水平，</w:t>
      </w:r>
      <w:r>
        <w:rPr>
          <w:rFonts w:hint="eastAsia" w:ascii="仿宋_GB2312" w:eastAsia="仿宋_GB2312"/>
          <w:b w:val="0"/>
          <w:bCs/>
          <w:color w:val="000000" w:themeColor="text1"/>
          <w:sz w:val="32"/>
          <w:szCs w:val="32"/>
          <w14:textFill>
            <w14:solidFill>
              <w14:schemeClr w14:val="tx1"/>
            </w14:solidFill>
          </w14:textFill>
        </w:rPr>
        <w:t>围绕我区转型发展新兴产业需求，</w:t>
      </w:r>
      <w:r>
        <w:rPr>
          <w:rFonts w:hint="eastAsia" w:ascii="仿宋_GB2312" w:hAnsi="仿宋" w:eastAsia="仿宋_GB2312" w:cs="仿宋_GB2312"/>
          <w:b w:val="0"/>
          <w:bCs/>
          <w:color w:val="000000" w:themeColor="text1"/>
          <w:sz w:val="32"/>
          <w:szCs w:val="32"/>
          <w14:textFill>
            <w14:solidFill>
              <w14:schemeClr w14:val="tx1"/>
            </w14:solidFill>
          </w14:textFill>
        </w:rPr>
        <w:t>广泛宣传运用“计量强检平台”，</w:t>
      </w:r>
      <w:r>
        <w:rPr>
          <w:rFonts w:hint="eastAsia" w:ascii="仿宋_GB2312" w:eastAsia="仿宋_GB2312" w:cs="仿宋_GB2312"/>
          <w:b w:val="0"/>
          <w:bCs/>
          <w:color w:val="000000" w:themeColor="text1"/>
          <w:sz w:val="32"/>
          <w:szCs w:val="32"/>
          <w14:textFill>
            <w14:solidFill>
              <w14:schemeClr w14:val="tx1"/>
            </w14:solidFill>
          </w14:textFill>
        </w:rPr>
        <w:t>提升计量工作信息化水平，确保年度强检器具受检率达100%，全面推动我区计量工作上台阶。</w:t>
      </w:r>
      <w:r>
        <w:rPr>
          <w:rFonts w:hint="eastAsia" w:ascii="仿宋_GB2312" w:eastAsia="仿宋_GB2312"/>
          <w:b w:val="0"/>
          <w:bCs/>
          <w:color w:val="000000" w:themeColor="text1"/>
          <w:sz w:val="32"/>
          <w:szCs w:val="32"/>
          <w14:textFill>
            <w14:solidFill>
              <w14:schemeClr w14:val="tx1"/>
            </w14:solidFill>
          </w14:textFill>
        </w:rPr>
        <w:t>发挥认证认可、检验检测服务地方经济的作用。加强强制性产品认证监管，落实重点领域、重点环节监管任务，严厉查处认证目录产品无证生产销售行为；扎实推进检验检测机构分类监管，结合“双随机、一公开”，对我区检验检测机构监督检查全覆盖；结合我区转型发展实际，</w:t>
      </w:r>
      <w:r>
        <w:rPr>
          <w:rFonts w:hint="eastAsia" w:ascii="仿宋_GB2312" w:hAnsi="仿宋_GB2312" w:eastAsia="仿宋_GB2312" w:cs="仿宋_GB2312"/>
          <w:b w:val="0"/>
          <w:bCs/>
          <w:color w:val="000000" w:themeColor="text1"/>
          <w:sz w:val="32"/>
          <w:szCs w:val="32"/>
          <w14:textFill>
            <w14:solidFill>
              <w14:schemeClr w14:val="tx1"/>
            </w14:solidFill>
          </w14:textFill>
        </w:rPr>
        <w:t>2025年底前指导帮扶不少于3家</w:t>
      </w:r>
      <w:r>
        <w:rPr>
          <w:rFonts w:hint="eastAsia" w:ascii="仿宋_GB2312" w:hAnsi="仿宋_GB2312" w:eastAsia="仿宋_GB2312"/>
          <w:b w:val="0"/>
          <w:bCs/>
          <w:color w:val="000000" w:themeColor="text1"/>
          <w:sz w:val="32"/>
          <w:szCs w:val="32"/>
          <w:shd w:val="clear" w:color="auto" w:fill="FFFFFF"/>
          <w14:textFill>
            <w14:solidFill>
              <w14:schemeClr w14:val="tx1"/>
            </w14:solidFill>
          </w14:textFill>
        </w:rPr>
        <w:t>企业开展绿色、环保、低碳、节能、节约资源等产品认证与认可，提升我区产品竞争力</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hAnsi="黑体" w:eastAsia="仿宋_GB2312"/>
          <w:b w:val="0"/>
          <w:bCs/>
          <w:color w:val="000000" w:themeColor="text1"/>
          <w:sz w:val="32"/>
          <w:szCs w:val="32"/>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olor w:val="000000" w:themeColor="text1"/>
          <w:sz w:val="32"/>
          <w:szCs w:val="32"/>
          <w:shd w:val="clear" w:color="auto" w:fill="FFFFFF"/>
          <w:lang w:val="en-US" w:eastAsia="zh-CN"/>
          <w14:textFill>
            <w14:solidFill>
              <w14:schemeClr w14:val="tx1"/>
            </w14:solidFill>
          </w14:textFill>
        </w:rPr>
        <w:t>3.加强知识产权创造运用能力。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推动高质量发展，核心要推动创新，形成创新意识，鼓励创新创造。当前要强化“三个创新”：企业创新、科技创新、品牌创新。</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深入开展企事业单位知识产权培育工作，打造企事业单位核心专利，提高企业竞争力。全面推进知识产权强区建设，努力培育更多高价值核心专利、知名品牌 ，努力实现知识产权创造由多向优 、由大到强转变。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“十三五”末，瑶海区每万人口有效发明专利拥有量4.25件、有效注册商标量22410件，“十四五”期间力争年增长分别达8%、10%，至2025年每万人口有效发明专利拥有量达到6.2446 件、有效注册商标量达到36091件。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（七） 加强消费维权体系建设，持续拓展“放心消费”创建，打造放心消费环境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1.建立统一、权威、高效的12315消费维权体系，实现“一号对外、集中管理、便民利企、高效执法”工作机制。</w:t>
      </w:r>
      <w:r>
        <w:rPr>
          <w:rFonts w:hint="eastAsia" w:ascii="仿宋_GB2312" w:hAnsi="仿宋_GB2312" w:eastAsia="仿宋_GB2312" w:cs="仿宋_GB2312"/>
          <w:b w:val="0"/>
          <w:bCs w:val="0"/>
          <w:color w:val="000000" w:themeColor="text1"/>
          <w:sz w:val="32"/>
          <w:szCs w:val="32"/>
          <w:lang w:val="en-US" w:eastAsia="zh-CN" w:bidi="ar"/>
          <w14:textFill>
            <w14:solidFill>
              <w14:schemeClr w14:val="tx1"/>
            </w14:solidFill>
          </w14:textFill>
        </w:rPr>
        <w:t>规范消费维权站点（联络点）建设标准，扩大社会消费维权覆盖面，引导和督促经营者履行消费维权社会责任，推进在线消费纠纷和解，发展壮大ODR企业，提高消费维权效能。</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到2025年底，力争发展在线消费纠纷解决（</w:t>
      </w:r>
      <w:r>
        <w:rPr>
          <w:rFonts w:hint="eastAsia" w:ascii="仿宋_GB2312" w:hAnsi="仿宋_GB2312" w:eastAsia="仿宋_GB2312" w:cs="仿宋_GB2312"/>
          <w:b w:val="0"/>
          <w:bCs w:val="0"/>
          <w:color w:val="000000" w:themeColor="text1"/>
          <w:sz w:val="32"/>
          <w:szCs w:val="32"/>
          <w:lang w:val="en-US" w:eastAsia="zh-CN" w:bidi="ar"/>
          <w14:textFill>
            <w14:solidFill>
              <w14:schemeClr w14:val="tx1"/>
            </w14:solidFill>
          </w14:textFill>
        </w:rPr>
        <w:t>ODR</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5个以上。新增建设规范化的12315消费维权服务站点（联络点）10个以上，</w:t>
      </w:r>
      <w:r>
        <w:rPr>
          <w:rFonts w:hint="eastAsia" w:ascii="仿宋_GB2312" w:hAnsi="仿宋_GB2312" w:eastAsia="仿宋_GB2312" w:cs="仿宋_GB2312"/>
          <w:b w:val="0"/>
          <w:bCs w:val="0"/>
          <w:color w:val="000000" w:themeColor="text1"/>
          <w:sz w:val="32"/>
          <w:szCs w:val="32"/>
          <w:lang w:val="en-US" w:eastAsia="zh-CN" w:bidi="ar"/>
          <w14:textFill>
            <w14:solidFill>
              <w14:schemeClr w14:val="tx1"/>
            </w14:solidFill>
          </w14:textFill>
        </w:rPr>
        <w:t>努力打通消费维权“最后一公里”。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bidi="ar"/>
          <w14:textFill>
            <w14:solidFill>
              <w14:schemeClr w14:val="tx1"/>
            </w14:solidFill>
          </w14:textFill>
        </w:rPr>
        <w:t>2.拓展“放心消费”创建活动。 自2021年起，利用三年时间全面实施“放心消费在瑶海”创建提升行动，力争到 2023 年底，全区新增区级放心消费示范单位500家以上，市级放心消费示范单位50家以上。一是</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聚焦立点串线，围绕消费相对集聚的商业区、餐饮区等块状区域，培育创建放心商圈 、放心街区、放心市场。鼓励线下实体店做出优于7天无理由退货期限，进一步拉升创建高线，在条件成熟的商业集中区、重点街区、品牌消费集群区等块状区域，实现放心消费创建全覆盖。到2023年底，力争培育创建放心商圈、放心街区、放心市场达6家以上。二是聚焦延链补链，从消费端倒逼生产端提升产品质量，通过推进“放心工厂”创建，打通生产和流通环节衔接，以家用电器、日用品等消费类产品为重点，不断强化企业主体意识，加强全面质量管理，提升产品质量标准，确保消费品质量安全，到2023年底，力争培育放心工厂3家以上。三是着力</w:t>
      </w:r>
      <w:r>
        <w:rPr>
          <w:rFonts w:hint="eastAsia" w:ascii="仿宋_GB2312" w:hAnsi="仿宋_GB2312" w:eastAsia="仿宋_GB2312" w:cs="仿宋_GB2312"/>
          <w:color w:val="000000" w:themeColor="text1"/>
          <w:sz w:val="32"/>
          <w:szCs w:val="32"/>
          <w14:textFill>
            <w14:solidFill>
              <w14:schemeClr w14:val="tx1"/>
            </w14:solidFill>
          </w14:textFill>
        </w:rPr>
        <w:t>推进“菜篮子”工程，加强食用农产品检验检测体系，打造一批放心消费示范菜市场，全面推进民生领域消费放心工程。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到2023年底，力争培育放心消费菜市场3家以上。四是培育一批具有广泛社会影响力和代表性的放心电商平台和放心网店。认真落实电商经营者的主体责任，指导督促电子商务平台建立网上消费纠纷在线解决机制，营造“网络购物、放心无忧”的线上消费环境，促进线上经济健康发展。到2023年底，力争培育创建放心平台、放心网店6个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left"/>
        <w:textAlignment w:val="baseline"/>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（八）</w:t>
      </w: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 坚持依法行政，规范执法行为，提高法治建设水平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1.推进市场监管法治建设。主动适应改革和经济社会发展需要，推进执法规范公正，规范执法程序，推行执法文书电子化、执法案卷标准化、记录方式科学化、监督管理便利化。规范行使自由裁量权，严格依照法定权限和程序行使权力、履行职责，树立公正公平的执法权威。健全执法监督机制，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推行执法公示制度，坚持公开为常态、不公开为例外的原则，提高执法公开化、信息化水平。完善法治政府建设，依法全面履行市场监管职能，完善行政组织和行政程序制度、权力清单制度，推进事权规范化、法治化。完善行政决策机制，严格执行行政决策法定程序，积极推进法律顾问制度，健全行政执法和刑事司法衔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2.规范执法行为。</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全面推行行政执法公示制度、执法全过程记录制度、重大执法决定法制审核制度，公开执法职责、执法依据、执法标准、执法程序、监督途径、执法结果，提高市场监管执法规范化水平。强化对综合行政执法的执法监督，实行执法监督制度、督办制度、责任追究制度和错案纠错制度，发现市场监管部门有案不查、查案不力、越权管辖、违法办案的，会同同级纪检监察部门建议有关部门追究党纪、政纪责任，触犯刑律的，移交司法部门处理，建立行刑衔接机制，切实解决有案不移、有案难移、以罚代刑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left"/>
        <w:textAlignment w:val="baseline"/>
        <w:rPr>
          <w:rFonts w:hint="default" w:ascii="仿宋_GB2312" w:hAnsi="宋体" w:eastAsia="仿宋_GB2312" w:cs="仿宋_GB2312"/>
          <w:b/>
          <w:bCs/>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（九）完善菜市场规划布局，提高菜市场建设管理水平，提升人民群众获得感、幸福感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菜市场建设是民生工程，是方便群众生产的必要配套设施，展示城市文明形象的重要窗口。</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菜市场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建设管理要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体现“公益性、民生性、社会性”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《合肥市城区菜市场布局专项规划（2018</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2025年）》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按照单个菜市场800～1200米的服务半径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2～3万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的服务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的标准进行配置，随着新区开发和人口规模的增长</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结合居住区、社区中心</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一体化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合理规划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布局菜市场。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十三五”末，</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瑶海区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现有依法合规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菜市场17</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家。按照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《合肥市城区菜市场布局专项规划（2018</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2025年）》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至2022年，瑶海区共规划布局菜市场34个，总建筑面积达到11.5万平方米。新建17处菜市场主要集中在龙岗开发区、大兴镇区域</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至2025年，瑶海区共规划布局菜市场42个，总建筑面积约13.3万平方米。单个菜市场服务人口约2.0万人，千人指标达到156.9平方米/千人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全力构建覆盖“15分钟服务圈”的公益性菜市场网络，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通过持续提升菜市场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和长效管理水平，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形成“规划布局合理、服务功能完善、长效管理规范、</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商品质量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安全放心”的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市场格局。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outlineLvl w:val="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bookmarkStart w:id="4" w:name="_Toc16818"/>
      <w:r>
        <w:rPr>
          <w:rFonts w:hint="eastAsia" w:ascii="黑体" w:hAnsi="黑体" w:eastAsia="黑体" w:cs="黑体"/>
          <w:b w:val="0"/>
          <w:bCs/>
          <w:i w:val="0"/>
          <w:caps w:val="0"/>
          <w:color w:val="000000" w:themeColor="text1"/>
          <w:spacing w:val="0"/>
          <w:kern w:val="0"/>
          <w:sz w:val="32"/>
          <w:szCs w:val="32"/>
          <w:shd w:val="clear" w:fill="FFFFFF"/>
          <w:vertAlign w:val="baseline"/>
          <w:lang w:val="en-US" w:eastAsia="zh-CN" w:bidi="ar"/>
          <w14:textFill>
            <w14:solidFill>
              <w14:schemeClr w14:val="tx1"/>
            </w14:solidFill>
          </w14:textFill>
        </w:rPr>
        <w:t>五、保障措施</w:t>
      </w:r>
      <w:bookmarkEnd w:id="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（一）加强组织协调。</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坚持“旗帜鲜明讲政治”，加强党对市场监管事业的领导，把发展规划作为一项“管长远、打基础”的大事来抓，充分发挥各级党组织的领导核心作用，为实现“十四五”规划提供坚强保证。要转变观念、提高认识，切实加强领导、加强统筹、加强协调、加强落实，成立相应的工作机构，建立规划落实责任制，明确职责分工，按年度分解和落实工作目标，将规划实施管理所需的经费纳入预算予以保障。组织开展规划的宣传和解读工作，为规划实施营造良好的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（二）统筹规划衔接。</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要注重工作协调，积极争取各个方面的支持，把相关任务目标纳入本地区发展规划和重大专项行动，积极探索、大胆创新、勇于改革，运用创新性思维、改革性举措，创造性地落实好规划任务。要强化责任意识，树立大局观念，按照职责分工，各司其职，密切配合，明确时间表、路线图，扎实推进规划的实施。要按照规划要求，积极参与，主动作为，发挥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b/>
          <w:i w:val="0"/>
          <w:caps w:val="0"/>
          <w:color w:val="000000" w:themeColor="text1"/>
          <w:spacing w:val="0"/>
          <w:kern w:val="0"/>
          <w:sz w:val="32"/>
          <w:szCs w:val="32"/>
          <w:shd w:val="clear" w:fill="FFFFFF"/>
          <w:vertAlign w:val="baseline"/>
          <w:lang w:val="en-US" w:eastAsia="zh-CN" w:bidi="ar"/>
          <w14:textFill>
            <w14:solidFill>
              <w14:schemeClr w14:val="tx1"/>
            </w14:solidFill>
          </w14:textFill>
        </w:rPr>
        <w:t>（三）强化督查考核。</w:t>
      </w:r>
      <w:r>
        <w:rPr>
          <w:rFonts w:hint="eastAsia" w:ascii="仿宋_GB2312" w:hAnsi="仿宋_GB2312" w:eastAsia="仿宋_GB2312" w:cs="仿宋_GB2312"/>
          <w:i w:val="0"/>
          <w:caps w:val="0"/>
          <w:color w:val="000000" w:themeColor="text1"/>
          <w:spacing w:val="0"/>
          <w:kern w:val="0"/>
          <w:sz w:val="32"/>
          <w:szCs w:val="32"/>
          <w:shd w:val="clear" w:fill="FFFFFF"/>
          <w:vertAlign w:val="baseline"/>
          <w:lang w:val="en-US" w:eastAsia="zh-CN" w:bidi="ar"/>
          <w14:textFill>
            <w14:solidFill>
              <w14:schemeClr w14:val="tx1"/>
            </w14:solidFill>
          </w14:textFill>
        </w:rPr>
        <w:t>结合年度工作部署和绩效考核要求，将规划目标任务的核心内容和关键指标纳入绩效考核体系。加强对规划实施情况的跟踪问效，建立中期评估、总结评估制度，对实施情况及时进行督查考核，及时协调解决存在的问题，推进各项规划任务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2B2B2B"/>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2B2B2B"/>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i w:val="0"/>
          <w:caps w:val="0"/>
          <w:color w:val="2B2B2B"/>
          <w:spacing w:val="0"/>
          <w:sz w:val="32"/>
          <w:szCs w:val="32"/>
        </w:rPr>
      </w:pPr>
    </w:p>
    <w:sectPr>
      <w:footerReference r:id="rId3" w:type="default"/>
      <w:pgSz w:w="11906" w:h="16838"/>
      <w:pgMar w:top="1417" w:right="1474" w:bottom="1134" w:left="1587" w:header="851"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2QyOWU1MGI0NDZmYTFkYzBjOTg4Yjg1NTMxNTMifQ=="/>
  </w:docVars>
  <w:rsids>
    <w:rsidRoot w:val="366D750D"/>
    <w:rsid w:val="08F26B56"/>
    <w:rsid w:val="0C8569D6"/>
    <w:rsid w:val="111A7E9C"/>
    <w:rsid w:val="12066EC8"/>
    <w:rsid w:val="17F572FC"/>
    <w:rsid w:val="1C645923"/>
    <w:rsid w:val="21C409A6"/>
    <w:rsid w:val="268D7809"/>
    <w:rsid w:val="2AF76E93"/>
    <w:rsid w:val="2B0F6EE1"/>
    <w:rsid w:val="2C873E70"/>
    <w:rsid w:val="336E1923"/>
    <w:rsid w:val="366D750D"/>
    <w:rsid w:val="37D30AE3"/>
    <w:rsid w:val="3B316A8D"/>
    <w:rsid w:val="3DB416A9"/>
    <w:rsid w:val="40F1732B"/>
    <w:rsid w:val="4201455D"/>
    <w:rsid w:val="43C41392"/>
    <w:rsid w:val="4455000A"/>
    <w:rsid w:val="47B158AD"/>
    <w:rsid w:val="535B5A5C"/>
    <w:rsid w:val="57FA7889"/>
    <w:rsid w:val="58BB6211"/>
    <w:rsid w:val="5CD41D75"/>
    <w:rsid w:val="7C071C73"/>
    <w:rsid w:val="7ED25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firstLineChars="200"/>
    </w:pPr>
    <w:rPr>
      <w:rFonts w:ascii="Times New Roman" w:hAnsi="Times New Roman" w:eastAsia="方正仿宋简体"/>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0"/>
    <w:pPr>
      <w:spacing w:before="240" w:after="60"/>
      <w:jc w:val="center"/>
      <w:outlineLvl w:val="0"/>
    </w:pPr>
    <w:rPr>
      <w:rFonts w:ascii="Cambria" w:hAnsi="Cambria"/>
      <w:b/>
      <w:bCs/>
      <w:kern w:val="28"/>
      <w:sz w:val="32"/>
      <w:szCs w:val="32"/>
    </w:rPr>
  </w:style>
  <w:style w:type="character" w:styleId="11">
    <w:name w:val="Strong"/>
    <w:basedOn w:val="10"/>
    <w:qFormat/>
    <w:uiPriority w:val="0"/>
    <w:rPr>
      <w:b/>
    </w:rPr>
  </w:style>
  <w:style w:type="paragraph" w:customStyle="1" w:styleId="12">
    <w:name w:val="Body text|1"/>
    <w:basedOn w:val="1"/>
    <w:qFormat/>
    <w:uiPriority w:val="0"/>
    <w:pPr>
      <w:spacing w:line="425" w:lineRule="auto"/>
      <w:ind w:firstLine="400"/>
      <w:jc w:val="left"/>
    </w:pPr>
    <w:rPr>
      <w:rFonts w:ascii="宋体" w:hAnsi="宋体" w:eastAsia="Times New Roman"/>
      <w:kern w:val="0"/>
      <w:sz w:val="28"/>
      <w:szCs w:val="28"/>
      <w:lang w:val="zh-TW" w:eastAsia="zh-TW"/>
    </w:rPr>
  </w:style>
  <w:style w:type="paragraph" w:customStyle="1" w:styleId="13">
    <w:name w:val="_Style 2"/>
    <w:basedOn w:val="1"/>
    <w:qFormat/>
    <w:uiPriority w:val="99"/>
    <w:pPr>
      <w:spacing w:line="351" w:lineRule="atLeast"/>
      <w:ind w:firstLine="623"/>
      <w:textAlignment w:val="baseline"/>
    </w:pPr>
    <w:rPr>
      <w:rFonts w:ascii="Times New Roman" w:hAnsi="Times New Roman" w:eastAsia="仿宋_GB2312"/>
      <w:color w:val="000000"/>
      <w:sz w:val="31"/>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17828</Words>
  <Characters>18181</Characters>
  <Lines>0</Lines>
  <Paragraphs>0</Paragraphs>
  <TotalTime>33</TotalTime>
  <ScaleCrop>false</ScaleCrop>
  <LinksUpToDate>false</LinksUpToDate>
  <CharactersWithSpaces>18269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2020-09-30T00:53:00Z</dcterms:created>
  <dc:creator>熊猫眼</dc:creator>
  <cp:lastModifiedBy>沈洋</cp:lastModifiedBy>
  <cp:lastPrinted>2022-12-27T01:19:00Z</cp:lastPrinted>
  <dcterms:modified xsi:type="dcterms:W3CDTF">2024-02-08T08:39:43Z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4BDACE6D379B48109851EEF292F52A91</vt:lpwstr>
  </property>
</Properties>
</file>