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880"/>
        <w:jc w:val="center"/>
      </w:pPr>
      <w:r>
        <w:rPr>
          <w:rFonts w:hint="eastAsia" w:ascii="方正小标宋简体" w:eastAsia="方正小标宋简体"/>
          <w:sz w:val="44"/>
          <w:szCs w:val="44"/>
        </w:rPr>
        <w:t>关于修订《合肥市基本医疗保险办法》（市政府令第213号）的说明</w:t>
      </w:r>
    </w:p>
    <w:p>
      <w:pPr>
        <w:widowControl w:val="0"/>
        <w:ind w:firstLine="640" w:firstLineChars="200"/>
        <w:rPr>
          <w:rFonts w:ascii="黑体" w:hAnsi="黑体" w:eastAsia="黑体"/>
        </w:rPr>
      </w:pPr>
    </w:p>
    <w:p>
      <w:pPr>
        <w:pStyle w:val="4"/>
        <w:widowControl w:val="0"/>
        <w:numPr>
          <w:ilvl w:val="0"/>
          <w:numId w:val="1"/>
        </w:numPr>
        <w:ind w:firstLineChars="0"/>
        <w:rPr>
          <w:rFonts w:ascii="黑体" w:hAnsi="黑体" w:eastAsia="黑体"/>
        </w:rPr>
      </w:pPr>
      <w:r>
        <w:rPr>
          <w:rFonts w:hint="eastAsia" w:ascii="黑体" w:hAnsi="黑体" w:eastAsia="黑体"/>
        </w:rPr>
        <w:t>可行性和必要性</w:t>
      </w:r>
    </w:p>
    <w:p>
      <w:pPr>
        <w:widowControl w:val="0"/>
        <w:ind w:firstLine="640" w:firstLineChars="200"/>
        <w:rPr>
          <w:rFonts w:cs="Times New Roman"/>
          <w:szCs w:val="32"/>
        </w:rPr>
      </w:pPr>
      <w:r>
        <w:rPr>
          <w:rFonts w:hint="eastAsia" w:ascii="楷体_GB2312" w:eastAsia="楷体_GB2312" w:cs="Times New Roman"/>
          <w:szCs w:val="32"/>
        </w:rPr>
        <w:t>（一）适应国家、省政策调整。</w:t>
      </w:r>
      <w:r>
        <w:rPr>
          <w:rFonts w:hint="eastAsia" w:cs="Times New Roman"/>
          <w:szCs w:val="32"/>
        </w:rPr>
        <w:t>《合肥市基本医疗保险办法》</w:t>
      </w:r>
      <w:r>
        <w:rPr>
          <w:rFonts w:hint="eastAsia"/>
        </w:rPr>
        <w:t>（以下简称“《办法》”）</w:t>
      </w:r>
      <w:r>
        <w:rPr>
          <w:rFonts w:hint="eastAsia" w:cs="Times New Roman"/>
          <w:szCs w:val="32"/>
        </w:rPr>
        <w:t>出台后，安徽省</w:t>
      </w:r>
      <w:r>
        <w:rPr>
          <w:rFonts w:hint="eastAsia"/>
        </w:rPr>
        <w:t>颁布实施了《</w:t>
      </w:r>
      <w:r>
        <w:rPr>
          <w:rFonts w:hint="eastAsia"/>
          <w:szCs w:val="32"/>
        </w:rPr>
        <w:t>安徽省计划生育条例</w:t>
      </w:r>
      <w:r>
        <w:rPr>
          <w:rFonts w:hint="eastAsia"/>
        </w:rPr>
        <w:t>》以及基本医疗保障相关政策。</w:t>
      </w:r>
      <w:r>
        <w:rPr>
          <w:rFonts w:hint="eastAsia" w:cs="Times New Roman"/>
          <w:szCs w:val="32"/>
        </w:rPr>
        <w:t>为落实国家鼓励生育和基本医保相关待遇政策，需要进一步优化调整生育保险和基本医保待遇政策，增强参保人员的获得感和满意度。</w:t>
      </w:r>
    </w:p>
    <w:p>
      <w:pPr>
        <w:widowControl w:val="0"/>
        <w:ind w:firstLine="640" w:firstLineChars="200"/>
        <w:rPr>
          <w:rFonts w:cs="Times New Roman"/>
          <w:szCs w:val="32"/>
        </w:rPr>
      </w:pPr>
      <w:r>
        <w:rPr>
          <w:rFonts w:hint="eastAsia" w:ascii="楷体_GB2312" w:eastAsia="楷体_GB2312" w:cs="Times New Roman"/>
          <w:szCs w:val="32"/>
        </w:rPr>
        <w:t>（二）促进医保基金可持续发展。</w:t>
      </w:r>
      <w:r>
        <w:rPr>
          <w:rFonts w:hint="eastAsia" w:cs="Times New Roman"/>
          <w:szCs w:val="32"/>
        </w:rPr>
        <w:t>通过优化调整大病保险年度支付限额，鼓励参保人员持续参保，同时鼓励参保人员规范使用医保基金，确保医保基金安全持续发展。</w:t>
      </w:r>
    </w:p>
    <w:p>
      <w:pPr>
        <w:widowControl w:val="0"/>
        <w:ind w:firstLine="640" w:firstLineChars="200"/>
        <w:rPr>
          <w:rFonts w:ascii="黑体" w:hAnsi="黑体" w:eastAsia="黑体"/>
        </w:rPr>
      </w:pPr>
      <w:r>
        <w:rPr>
          <w:rFonts w:hint="eastAsia" w:ascii="黑体" w:hAnsi="黑体" w:eastAsia="黑体"/>
        </w:rPr>
        <w:t>二、拟解决的问题</w:t>
      </w:r>
    </w:p>
    <w:p>
      <w:pPr>
        <w:widowControl w:val="0"/>
        <w:ind w:firstLine="640" w:firstLineChars="200"/>
      </w:pPr>
      <w:r>
        <w:rPr>
          <w:rFonts w:hint="eastAsia"/>
        </w:rPr>
        <w:t>通过修订《合肥市基本医疗保险办法》主要解决以下问题：</w:t>
      </w:r>
    </w:p>
    <w:p>
      <w:pPr>
        <w:widowControl w:val="0"/>
        <w:ind w:firstLine="640" w:firstLineChars="200"/>
      </w:pPr>
      <w:r>
        <w:rPr>
          <w:rFonts w:hint="eastAsia"/>
        </w:rPr>
        <w:t>（一）明确医保、税务等部门相关职责。随着基本医疗保险费征缴职能的调整，医保、税务部门相关职能做相应调整。</w:t>
      </w:r>
    </w:p>
    <w:p>
      <w:pPr>
        <w:widowControl w:val="0"/>
        <w:ind w:firstLine="640" w:firstLineChars="200"/>
      </w:pPr>
      <w:r>
        <w:rPr>
          <w:rFonts w:hint="eastAsia"/>
        </w:rPr>
        <w:t>（二）解决职工医保个人账户提取、清退等有关问题。现行办法未对职工个人账户提取情形作出规定，需要进一步明确。</w:t>
      </w:r>
    </w:p>
    <w:p>
      <w:pPr>
        <w:pStyle w:val="5"/>
        <w:spacing w:line="592" w:lineRule="exact"/>
        <w:ind w:firstLine="640" w:firstLineChars="200"/>
        <w:rPr>
          <w:rFonts w:eastAsia="仿宋_GB2312" w:cs="黑体"/>
          <w:sz w:val="32"/>
          <w:szCs w:val="32"/>
        </w:rPr>
      </w:pPr>
      <w:r>
        <w:rPr>
          <w:rFonts w:hint="eastAsia" w:eastAsia="仿宋_GB2312" w:cs="黑体"/>
          <w:sz w:val="32"/>
          <w:szCs w:val="32"/>
        </w:rPr>
        <w:t>（三）明确灵活就业人员生育待遇问题。在《办法》中增加灵活就业人员生育保障相关内容，与省局拟出台支持生育政策做好衔接。</w:t>
      </w:r>
    </w:p>
    <w:p>
      <w:pPr>
        <w:pStyle w:val="5"/>
        <w:spacing w:line="592" w:lineRule="exact"/>
        <w:ind w:firstLine="640" w:firstLineChars="200"/>
        <w:rPr>
          <w:rFonts w:eastAsia="仿宋_GB2312" w:cs="黑体"/>
          <w:sz w:val="32"/>
          <w:szCs w:val="32"/>
        </w:rPr>
      </w:pPr>
      <w:r>
        <w:rPr>
          <w:rFonts w:hint="eastAsia" w:eastAsia="仿宋_GB2312" w:cs="黑体"/>
          <w:sz w:val="32"/>
          <w:szCs w:val="32"/>
        </w:rPr>
        <w:t>（四）解决特殊情形下生育津贴发放问题。明确生育前单位变动，少数用人单位上年度职工月平均工资高于缴费基数上限的等特殊情形下生育津贴计发标准问题。</w:t>
      </w:r>
    </w:p>
    <w:p>
      <w:pPr>
        <w:widowControl w:val="0"/>
        <w:ind w:firstLine="640" w:firstLineChars="200"/>
      </w:pPr>
      <w:r>
        <w:rPr>
          <w:rFonts w:hint="eastAsia"/>
        </w:rPr>
        <w:t>（五）解决大学生普通门诊保障待遇不到位和本地参保率不高问题。一是大学生普通门诊政策由学校包干使用，部分学校大学生普通门诊保障不到</w:t>
      </w:r>
      <w:r>
        <w:rPr>
          <w:rFonts w:hint="eastAsia"/>
          <w:szCs w:val="32"/>
        </w:rPr>
        <w:t>位，需要纳入普通门诊统一保障并予以倾斜。二是压实高校组织学生参</w:t>
      </w:r>
      <w:r>
        <w:rPr>
          <w:rFonts w:hint="eastAsia"/>
        </w:rPr>
        <w:t>保的责任，推动大学生在学籍地参保。目前我市在校大学生在我市参保率不到60%。</w:t>
      </w:r>
    </w:p>
    <w:p>
      <w:pPr>
        <w:widowControl w:val="0"/>
        <w:ind w:firstLine="640" w:firstLineChars="200"/>
      </w:pPr>
      <w:r>
        <w:rPr>
          <w:rFonts w:hint="eastAsia"/>
        </w:rPr>
        <w:t>（六）明确非集中参保期部分参保人员待遇享受时间及中断期间待遇可按规定追溯，与省文件保持一致。</w:t>
      </w:r>
    </w:p>
    <w:p>
      <w:pPr>
        <w:widowControl w:val="0"/>
        <w:ind w:firstLine="640" w:firstLineChars="200"/>
      </w:pPr>
      <w:r>
        <w:rPr>
          <w:rFonts w:hint="eastAsia"/>
        </w:rPr>
        <w:t>（七）激励居民连续参保和规范使用医保基金。通过调整设置大病保险年度支付限额，激励居民连续参保；同时增加违法使用医保基金成本，提高医保基金使用绩效，确保基金安全。</w:t>
      </w:r>
    </w:p>
    <w:p>
      <w:pPr>
        <w:widowControl w:val="0"/>
        <w:ind w:firstLine="640" w:firstLineChars="200"/>
      </w:pPr>
      <w:r>
        <w:rPr>
          <w:rFonts w:hint="eastAsia"/>
        </w:rPr>
        <w:t>（八）明确退役军人医疗保障待遇与地方医保待遇衔接问题。2012年7月《中华人民共和国军人保险法》实施，明确规定</w:t>
      </w:r>
      <w:r>
        <w:t>军人服现役年限视同职工基本医疗保险缴费年限。</w:t>
      </w:r>
    </w:p>
    <w:p>
      <w:pPr>
        <w:widowControl w:val="0"/>
        <w:ind w:firstLine="640" w:firstLineChars="200"/>
      </w:pPr>
      <w:r>
        <w:rPr>
          <w:rFonts w:hint="eastAsia"/>
        </w:rPr>
        <w:t>（九）增加医保信用管理内容。强化参保人的诚信意识和规范行为，明确参保人的信用记录与医保待遇挂钩。通过信用积分奖励和惩戒措施的实施，激励参保人自觉遵守医保规定，减少违规行为的发生。</w:t>
      </w:r>
    </w:p>
    <w:p>
      <w:pPr>
        <w:widowControl w:val="0"/>
        <w:ind w:firstLine="640" w:firstLineChars="200"/>
        <w:rPr>
          <w:rFonts w:ascii="黑体" w:hAnsi="黑体" w:eastAsia="黑体"/>
        </w:rPr>
      </w:pPr>
      <w:r>
        <w:rPr>
          <w:rFonts w:hint="eastAsia" w:ascii="黑体" w:hAnsi="黑体" w:eastAsia="黑体"/>
        </w:rPr>
        <w:t>三、具体修改内容</w:t>
      </w:r>
    </w:p>
    <w:p>
      <w:pPr>
        <w:widowControl w:val="0"/>
        <w:ind w:firstLine="640" w:firstLineChars="200"/>
        <w:rPr>
          <w:szCs w:val="32"/>
        </w:rPr>
      </w:pPr>
      <w:r>
        <w:rPr>
          <w:rFonts w:hint="eastAsia"/>
          <w:szCs w:val="32"/>
        </w:rPr>
        <w:t>（一）第五条第三款删除乡镇人民政府、街道办事处、社区（村）居民委员会职能中“以及缴费”的表述。</w:t>
      </w:r>
    </w:p>
    <w:p>
      <w:pPr>
        <w:widowControl w:val="0"/>
        <w:ind w:firstLine="640" w:firstLineChars="200"/>
        <w:rPr>
          <w:szCs w:val="32"/>
        </w:rPr>
      </w:pPr>
      <w:r>
        <w:rPr>
          <w:rFonts w:hint="eastAsia"/>
          <w:szCs w:val="32"/>
        </w:rPr>
        <w:t>（二）第六条第一款税务部门职能增加“基本医疗保险核定”表述；第二款删除“乡村振兴”单位名称。</w:t>
      </w:r>
    </w:p>
    <w:p>
      <w:pPr>
        <w:widowControl w:val="0"/>
        <w:ind w:firstLine="640" w:firstLineChars="200"/>
        <w:rPr>
          <w:szCs w:val="32"/>
        </w:rPr>
      </w:pPr>
      <w:r>
        <w:rPr>
          <w:rFonts w:hint="eastAsia" w:ascii="黑体" w:hAnsi="黑体" w:eastAsia="黑体"/>
        </w:rPr>
        <w:t>（</w:t>
      </w:r>
      <w:r>
        <w:rPr>
          <w:rFonts w:hint="eastAsia"/>
          <w:szCs w:val="32"/>
        </w:rPr>
        <w:t>三）第十一条第一款删除“（含在部队参加医疗保险的实际缴费”）中“的实际缴费”表述。</w:t>
      </w:r>
    </w:p>
    <w:p>
      <w:pPr>
        <w:widowControl w:val="0"/>
        <w:ind w:firstLine="640" w:firstLineChars="200"/>
        <w:rPr>
          <w:szCs w:val="32"/>
        </w:rPr>
      </w:pPr>
      <w:r>
        <w:rPr>
          <w:rFonts w:hint="eastAsia"/>
          <w:szCs w:val="32"/>
        </w:rPr>
        <w:t>（四）在第十七条“ 参保人员个人账户本金和利息归个人所有</w:t>
      </w:r>
      <w:r>
        <w:rPr>
          <w:rFonts w:hint="eastAsia"/>
        </w:rPr>
        <w:t>”后增加</w:t>
      </w:r>
      <w:r>
        <w:rPr>
          <w:rFonts w:hint="eastAsia"/>
          <w:szCs w:val="32"/>
        </w:rPr>
        <w:t>“可按规定转移、清退”内容。</w:t>
      </w:r>
    </w:p>
    <w:p>
      <w:pPr>
        <w:ind w:firstLine="640" w:firstLineChars="200"/>
        <w:rPr>
          <w:szCs w:val="32"/>
        </w:rPr>
      </w:pPr>
      <w:r>
        <w:rPr>
          <w:rFonts w:hint="eastAsia"/>
          <w:szCs w:val="32"/>
        </w:rPr>
        <w:t>（五）在第二十二条“以灵活就业人员身份参加职工医保的，享受生育、计划生育的医疗费用待遇”后增加“以及其他生育待遇”内容。</w:t>
      </w:r>
    </w:p>
    <w:p>
      <w:pPr>
        <w:pStyle w:val="5"/>
        <w:spacing w:line="592" w:lineRule="exact"/>
        <w:ind w:firstLine="640" w:firstLineChars="200"/>
        <w:rPr>
          <w:rFonts w:eastAsia="仿宋_GB2312" w:cs="黑体"/>
          <w:sz w:val="32"/>
          <w:szCs w:val="32"/>
        </w:rPr>
      </w:pPr>
      <w:r>
        <w:rPr>
          <w:rFonts w:hint="eastAsia" w:eastAsia="仿宋_GB2312" w:cs="黑体"/>
          <w:sz w:val="32"/>
          <w:szCs w:val="32"/>
        </w:rPr>
        <w:t>（六）在第二十四条第二款后增加“参保职工生育前六个月内用人单位发生变更的，以变更前后用人单位上年度月平均工资平均数为标准计发。增加一款“</w:t>
      </w:r>
      <w:bookmarkStart w:id="0" w:name="_Hlk162862489"/>
      <w:r>
        <w:rPr>
          <w:rFonts w:hint="eastAsia" w:eastAsia="仿宋_GB2312" w:cs="黑体"/>
          <w:sz w:val="32"/>
          <w:szCs w:val="32"/>
        </w:rPr>
        <w:t>用人单位上年度职工月平均工资高于缴费基数上限的，高出部分由用人单位补偿。</w:t>
      </w:r>
      <w:bookmarkEnd w:id="0"/>
      <w:r>
        <w:rPr>
          <w:rFonts w:hint="eastAsia" w:eastAsia="仿宋_GB2312" w:cs="黑体"/>
          <w:sz w:val="32"/>
          <w:szCs w:val="32"/>
        </w:rPr>
        <w:t>”</w:t>
      </w:r>
    </w:p>
    <w:p>
      <w:pPr>
        <w:pStyle w:val="5"/>
        <w:spacing w:line="592" w:lineRule="exact"/>
        <w:ind w:firstLine="640" w:firstLineChars="200"/>
        <w:rPr>
          <w:rFonts w:eastAsia="仿宋_GB2312" w:cs="黑体"/>
          <w:sz w:val="32"/>
          <w:szCs w:val="32"/>
        </w:rPr>
      </w:pPr>
      <w:r>
        <w:rPr>
          <w:rFonts w:hint="eastAsia" w:eastAsia="仿宋_GB2312" w:cs="黑体"/>
          <w:sz w:val="32"/>
          <w:szCs w:val="32"/>
        </w:rPr>
        <w:t>（七）将第二十九条第二款修改为“</w:t>
      </w:r>
      <w:r>
        <w:rPr>
          <w:rFonts w:hint="eastAsia" w:eastAsia="仿宋_GB2312"/>
          <w:sz w:val="32"/>
          <w:szCs w:val="32"/>
        </w:rPr>
        <w:t>教育部门及学校应当做好在校学生参加居民医保的宣传动员等工作；</w:t>
      </w:r>
      <w:bookmarkStart w:id="1" w:name="_Hlk162862694"/>
      <w:r>
        <w:rPr>
          <w:rFonts w:hint="eastAsia" w:eastAsia="仿宋_GB2312" w:cs="黑体"/>
          <w:sz w:val="32"/>
          <w:szCs w:val="32"/>
        </w:rPr>
        <w:t>大学生参加居民医保个人缴费部分由学校代收代缴</w:t>
      </w:r>
      <w:bookmarkEnd w:id="1"/>
      <w:r>
        <w:rPr>
          <w:rFonts w:hint="eastAsia" w:eastAsia="仿宋_GB2312" w:cs="黑体"/>
          <w:sz w:val="32"/>
          <w:szCs w:val="32"/>
        </w:rPr>
        <w:t>”。</w:t>
      </w:r>
    </w:p>
    <w:p>
      <w:pPr>
        <w:pStyle w:val="5"/>
        <w:spacing w:line="592" w:lineRule="exact"/>
        <w:ind w:firstLine="640" w:firstLineChars="200"/>
        <w:rPr>
          <w:rFonts w:eastAsia="仿宋_GB2312"/>
          <w:sz w:val="32"/>
          <w:szCs w:val="32"/>
        </w:rPr>
      </w:pPr>
      <w:r>
        <w:rPr>
          <w:rFonts w:hint="eastAsia" w:eastAsia="仿宋_GB2312" w:cs="黑体"/>
          <w:sz w:val="32"/>
          <w:szCs w:val="32"/>
        </w:rPr>
        <w:t>（八）将第三十条第一款</w:t>
      </w:r>
      <w:r>
        <w:rPr>
          <w:rFonts w:hint="eastAsia" w:eastAsia="仿宋_GB2312"/>
          <w:sz w:val="32"/>
          <w:szCs w:val="32"/>
        </w:rPr>
        <w:t>（四）、（五）项合并，并将“缴费次日”修改为“缴费当月”，增加“中断期间的待遇可按规定追溯”表述；第六项改为第五项。</w:t>
      </w:r>
    </w:p>
    <w:p>
      <w:pPr>
        <w:pStyle w:val="5"/>
        <w:spacing w:line="592" w:lineRule="exact"/>
        <w:ind w:firstLine="640" w:firstLineChars="200"/>
        <w:rPr>
          <w:rFonts w:eastAsia="仿宋_GB2312" w:cs="黑体"/>
          <w:sz w:val="32"/>
          <w:szCs w:val="32"/>
        </w:rPr>
      </w:pPr>
      <w:r>
        <w:rPr>
          <w:rFonts w:hint="eastAsia" w:eastAsia="仿宋_GB2312" w:cs="黑体"/>
          <w:sz w:val="32"/>
          <w:szCs w:val="32"/>
        </w:rPr>
        <w:t>（九）第三十一条删除“在校大学生普通门诊统筹资金可以由学校包干使用，普通门诊待遇由学校统筹保障，不再享受基层普通门诊和大额普通门诊待遇”的表述。</w:t>
      </w:r>
    </w:p>
    <w:p>
      <w:pPr>
        <w:pStyle w:val="5"/>
        <w:spacing w:line="592" w:lineRule="exact"/>
        <w:ind w:firstLine="640" w:firstLineChars="200"/>
        <w:rPr>
          <w:rFonts w:eastAsia="仿宋_GB2312" w:cs="黑体"/>
          <w:sz w:val="32"/>
          <w:szCs w:val="32"/>
        </w:rPr>
      </w:pPr>
      <w:r>
        <w:rPr>
          <w:rFonts w:hint="eastAsia" w:eastAsia="仿宋_GB2312" w:cs="黑体"/>
          <w:sz w:val="32"/>
          <w:szCs w:val="32"/>
        </w:rPr>
        <w:t>（十）第三十七条第二款删除“国家和省规定的”内容；第三款修改为“在本市连续参保满五年（含大学生及出生后连续参保的儿童）参保人员且未违法使用医保基金的，不设置年度支付限额；其他参保人员年度支付限额为三十万元”。</w:t>
      </w:r>
    </w:p>
    <w:p>
      <w:pPr>
        <w:pStyle w:val="5"/>
        <w:spacing w:line="592" w:lineRule="exact"/>
        <w:ind w:firstLine="640" w:firstLineChars="200"/>
        <w:rPr>
          <w:rFonts w:eastAsia="仿宋_GB2312"/>
          <w:sz w:val="32"/>
          <w:szCs w:val="32"/>
        </w:rPr>
      </w:pPr>
      <w:r>
        <w:rPr>
          <w:rFonts w:hint="eastAsia" w:eastAsia="仿宋_GB2312" w:cs="黑体"/>
          <w:sz w:val="32"/>
          <w:szCs w:val="32"/>
        </w:rPr>
        <w:t>（十一）增加“建立医保信用管理制度”一条，作为第五十六条。内容为“</w:t>
      </w:r>
      <w:r>
        <w:rPr>
          <w:rFonts w:hint="eastAsia" w:eastAsia="仿宋_GB2312"/>
          <w:sz w:val="32"/>
          <w:szCs w:val="32"/>
        </w:rPr>
        <w:t>建立医保信用管理制度，加强对定点医药机构和参保人员的医保信用记录和应用，促进医药机构和参保人员规范使用医保基金。对诚实守信、规范使用医保基金的医药机构和参保人员在基金支付、医保待遇上给予倾斜。</w:t>
      </w:r>
      <w:r>
        <w:rPr>
          <w:rFonts w:hint="eastAsia" w:eastAsia="仿宋_GB2312" w:cs="黑体"/>
          <w:sz w:val="32"/>
          <w:szCs w:val="32"/>
        </w:rPr>
        <w:t>”</w:t>
      </w:r>
      <w:r>
        <w:rPr>
          <w:rFonts w:eastAsia="仿宋_GB2312"/>
          <w:sz w:val="32"/>
          <w:szCs w:val="32"/>
        </w:rPr>
        <w:t xml:space="preserve"> </w:t>
      </w:r>
    </w:p>
    <w:p>
      <w:pPr>
        <w:pStyle w:val="5"/>
        <w:spacing w:line="592" w:lineRule="exact"/>
        <w:ind w:firstLine="640" w:firstLineChars="200"/>
        <w:rPr>
          <w:rFonts w:eastAsia="仿宋_GB2312" w:cs="黑体"/>
          <w:sz w:val="32"/>
          <w:szCs w:val="32"/>
        </w:rPr>
      </w:pPr>
    </w:p>
    <w:p>
      <w:pPr>
        <w:widowControl w:val="0"/>
        <w:ind w:firstLine="640" w:firstLineChars="200"/>
        <w:jc w:val="left"/>
        <w:rPr>
          <w:szCs w:val="32"/>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pPr>
        <w:pStyle w:val="5"/>
        <w:spacing w:line="592" w:lineRule="exact"/>
        <w:jc w:val="center"/>
        <w:rPr>
          <w:rFonts w:eastAsia="方正小标宋简体"/>
          <w:sz w:val="44"/>
          <w:szCs w:val="44"/>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73B7A"/>
    <w:multiLevelType w:val="multilevel"/>
    <w:tmpl w:val="0F573B7A"/>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MzRhN2YzMjEwMWMyZDczZmJjOThlMjdkYzk3ZDYifQ=="/>
  </w:docVars>
  <w:rsids>
    <w:rsidRoot w:val="00000000"/>
    <w:rsid w:val="2397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2" w:lineRule="exact"/>
      <w:jc w:val="both"/>
    </w:pPr>
    <w:rPr>
      <w:rFonts w:ascii="Times New Roman" w:hAnsi="Times New Roman" w:eastAsia="仿宋_GB2312" w:cs="黑体"/>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 w:type="paragraph" w:customStyle="1" w:styleId="5">
    <w:name w:val="正文_0"/>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2024-04-07T06:38:59Z</dcterms:created>
  <dc:creator>wmx</dc:creator>
  <cp:lastModifiedBy>wmx</cp:lastModifiedBy>
  <dcterms:modified xsi:type="dcterms:W3CDTF">2024-04-07T06:39:06Z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650AC479065B4A5AACC6771DCFB8B824_12</vt:lpwstr>
  </property>
</Properties>
</file>