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20" w:beforeAutospacing="0" w:after="150" w:afterAutospacing="0" w:line="540" w:lineRule="atLeast"/>
        <w:jc w:val="center"/>
        <w:rPr>
          <w:rFonts w:hint="eastAsia" w:eastAsia="宋体"/>
          <w:b/>
          <w:color w:val="auto"/>
          <w:sz w:val="36"/>
          <w:szCs w:val="36"/>
          <w:shd w:val="clear" w:fill="FFFFFF"/>
          <w:lang w:eastAsia="zh-CN"/>
        </w:rPr>
      </w:pPr>
      <w:r>
        <w:rPr>
          <w:b/>
          <w:color w:val="auto"/>
          <w:sz w:val="36"/>
          <w:szCs w:val="36"/>
          <w:shd w:val="clear" w:fill="FFFFFF"/>
        </w:rPr>
        <w:t>瑶海区</w:t>
      </w:r>
      <w:r>
        <w:rPr>
          <w:rFonts w:hint="eastAsia"/>
          <w:b/>
          <w:color w:val="auto"/>
          <w:sz w:val="36"/>
          <w:szCs w:val="36"/>
          <w:shd w:val="clear" w:fill="FFFFFF"/>
          <w:lang w:eastAsia="zh-CN"/>
        </w:rPr>
        <w:t>民政局婚姻家庭</w:t>
      </w:r>
      <w:bookmarkStart w:id="3" w:name="_GoBack"/>
      <w:bookmarkEnd w:id="3"/>
      <w:r>
        <w:rPr>
          <w:rFonts w:hint="eastAsia"/>
          <w:b/>
          <w:color w:val="auto"/>
          <w:sz w:val="36"/>
          <w:szCs w:val="36"/>
          <w:shd w:val="clear" w:fill="FFFFFF"/>
          <w:lang w:eastAsia="zh-CN"/>
        </w:rPr>
        <w:t>辅导服务项目招标文件</w:t>
      </w:r>
    </w:p>
    <w:p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大力推进婚姻领域移风易俗，加强新时代公民道德建设，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zh-CN"/>
        </w:rPr>
        <w:t>深入提升婚姻家庭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辅导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zh-CN"/>
        </w:rPr>
        <w:t>服务品质，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瑶海区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幸福婚姻家庭的建设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本次项目以询价方式进行采购，请有意参与本次询价的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承接主体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参照本公告说明将相关信息反馈至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瑶海区民政局，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最终采购单位由本单位组织人员进行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确定。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一、项目简介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（一）项目名称：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婚姻家庭辅导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（二）项目地点：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瑶海区政务服务中心二楼婚姻登记处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（三）项目单位：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合肥市瑶海区民政局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（四）项目预算：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万元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（五）服务期限：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1年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内容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每天安排两名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专业婚姻家庭咨询师，为当事人围绕婚姻危机干预、夫妻沟通障碍、离婚与再婚心理调适等需求，提供婚姻家庭健康咨询、婚姻指导和心里疏导服务，帮助当事人构建友善、平等、和谐的婚姻关系。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承接主体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资格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1.符合《政府采购法》第22条规定。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2.依法设立并经民政部门登记注册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社会组织，有完善的社会组织机构、健全的财务制度和独立的银行账号（已完成三证合一换证，提供新的证书）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年检合格且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无重大违法和不良信用记录。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3.具有相应的专业人员和管理力量。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安排两名婚姻家庭咨询师每天驻点咨询。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.本项目不接收联合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，采购单位一律不予退还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报价资料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四、联系方式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64490232  联系人：冯宏伟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地址：瑶海区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政务服务中心二楼婚姻登记处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五、报价要求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本项目总报价不超过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万元，包含完成本项目产生的一切费用。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承接主体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后期不得以任何理由向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单位追加费用，报价时应综合考虑报价风险。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六、评标办法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本次询价采购采取综合评分法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进行评审，在符合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单位服务指标和质量要求的前提下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得分最高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方中标，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出现分值相同的情况由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报价最低一方中标。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七、其他事项说明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承接主体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须在202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15点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前将相关材料纸质版提交至本单位。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2.如有疑问，可于工作日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:00-1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0联系本项目联系人。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承接主体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报价资料清单</w:t>
      </w:r>
    </w:p>
    <w:p>
      <w:pPr>
        <w:spacing w:line="480" w:lineRule="exact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10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458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资料名称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80" w:lineRule="exac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Cs w:val="32"/>
                <w:lang w:val="zh-CN"/>
              </w:rPr>
              <w:t>目录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经年检有效的社会组织登记证书、专业人员资格证书（附件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）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项目实施方案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报价书（附件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）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其他资料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spacing w:line="48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sectPr>
          <w:headerReference r:id="rId3" w:type="default"/>
          <w:footerReference r:id="rId4" w:type="default"/>
          <w:pgSz w:w="11907" w:h="16840"/>
          <w:pgMar w:top="1402" w:right="1030" w:bottom="1402" w:left="1531" w:header="851" w:footer="992" w:gutter="0"/>
          <w:cols w:space="720" w:num="1"/>
          <w:docGrid w:type="linesAndChars" w:linePitch="312" w:charSpace="-4301"/>
        </w:sect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ascii="仿宋_GB2312" w:eastAsia="仿宋_GB2312"/>
          <w:color w:val="FF0000"/>
          <w:szCs w:val="32"/>
        </w:rPr>
      </w:pPr>
      <w:bookmarkStart w:id="0" w:name="_Toc289957929"/>
      <w:bookmarkStart w:id="1" w:name="_Toc415496265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eastAsia="仿宋_GB2312"/>
          <w:color w:val="FF0000"/>
          <w:szCs w:val="32"/>
        </w:rPr>
        <w:t xml:space="preserve"> </w:t>
      </w:r>
    </w:p>
    <w:p>
      <w:pPr>
        <w:pStyle w:val="4"/>
        <w:spacing w:line="360" w:lineRule="auto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社会组织登记证书、专业人员资格证书</w:t>
      </w:r>
    </w:p>
    <w:p>
      <w:pPr>
        <w:spacing w:line="360" w:lineRule="auto"/>
        <w:ind w:left="-108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（扫描件加盖公章）</w:t>
      </w: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ind w:left="-108" w:firstLine="600" w:firstLineChars="200"/>
        <w:rPr>
          <w:rFonts w:ascii="仿宋_GB2312" w:eastAsia="仿宋_GB2312"/>
          <w:color w:val="FF0000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bookmarkEnd w:id="0"/>
    <w:bookmarkEnd w:id="1"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ascii="仿宋_GB2312" w:eastAsia="仿宋_GB2312"/>
          <w:color w:val="FF0000"/>
          <w:szCs w:val="32"/>
        </w:rPr>
      </w:pPr>
      <w:bookmarkStart w:id="2" w:name="_Toc415496268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eastAsia="仿宋_GB2312"/>
          <w:color w:val="FF0000"/>
          <w:szCs w:val="32"/>
        </w:rPr>
        <w:t xml:space="preserve"> </w:t>
      </w:r>
    </w:p>
    <w:p>
      <w:pPr>
        <w:pStyle w:val="4"/>
        <w:spacing w:line="360" w:lineRule="auto"/>
        <w:jc w:val="center"/>
        <w:rPr>
          <w:rFonts w:ascii="仿宋_GB2312" w:eastAsia="仿宋_GB2312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报</w:t>
      </w:r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sz w:val="44"/>
          <w:szCs w:val="44"/>
        </w:rPr>
        <w:t>价</w:t>
      </w:r>
      <w:bookmarkEnd w:id="2"/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sz w:val="44"/>
          <w:szCs w:val="44"/>
        </w:rPr>
        <w:t>书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瑶海区民政局婚姻辅导服务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eastAsia="zh-CN"/>
              </w:rPr>
              <w:t>承接主体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范围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报价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  <w:t>（详见备注说明）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大写：</w:t>
            </w:r>
            <w:r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元</w:t>
            </w:r>
          </w:p>
          <w:p>
            <w:pPr>
              <w:widowControl/>
              <w:spacing w:line="36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小写：</w:t>
            </w:r>
            <w:r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元</w:t>
            </w:r>
          </w:p>
          <w:p>
            <w:pPr>
              <w:pStyle w:val="43"/>
              <w:rPr>
                <w:rFonts w:ascii="宋体" w:hAnsi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247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备注</w:t>
            </w:r>
          </w:p>
        </w:tc>
        <w:tc>
          <w:tcPr>
            <w:tcW w:w="666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一、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二、</w:t>
            </w:r>
          </w:p>
          <w:p>
            <w:pPr>
              <w:widowControl/>
              <w:spacing w:line="36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承接主体</w:t>
      </w:r>
      <w:r>
        <w:rPr>
          <w:rFonts w:hint="eastAsia" w:ascii="仿宋_GB2312" w:hAnsi="微软雅黑" w:eastAsia="仿宋_GB2312"/>
          <w:sz w:val="32"/>
          <w:szCs w:val="32"/>
        </w:rPr>
        <w:t>（公章）</w:t>
      </w:r>
      <w:r>
        <w:rPr>
          <w:rFonts w:hint="eastAsia" w:ascii="宋体" w:hAnsi="宋体"/>
          <w:sz w:val="30"/>
          <w:szCs w:val="30"/>
        </w:rPr>
        <w:t xml:space="preserve">：                       </w:t>
      </w:r>
    </w:p>
    <w:p>
      <w:pPr>
        <w:snapToGrid w:val="0"/>
        <w:spacing w:line="360" w:lineRule="auto"/>
        <w:ind w:left="5550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left="5550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年       月      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ascii="仿宋_GB2312" w:eastAsia="仿宋_GB2312"/>
          <w:color w:val="FF0000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eastAsia="仿宋_GB2312"/>
          <w:color w:val="FF0000"/>
          <w:szCs w:val="32"/>
        </w:rPr>
        <w:t xml:space="preserve"> </w:t>
      </w:r>
    </w:p>
    <w:p>
      <w:pPr>
        <w:pStyle w:val="4"/>
        <w:spacing w:line="360" w:lineRule="auto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其他资料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采购单位要求的和</w:t>
      </w:r>
      <w:r>
        <w:rPr>
          <w:rFonts w:hint="eastAsia" w:ascii="仿宋" w:hAnsi="仿宋" w:eastAsia="仿宋"/>
          <w:sz w:val="30"/>
          <w:szCs w:val="30"/>
          <w:lang w:eastAsia="zh-CN"/>
        </w:rPr>
        <w:t>承接主体</w:t>
      </w:r>
      <w:r>
        <w:rPr>
          <w:rFonts w:hint="eastAsia" w:ascii="仿宋" w:hAnsi="仿宋" w:eastAsia="仿宋"/>
          <w:sz w:val="30"/>
          <w:szCs w:val="30"/>
        </w:rPr>
        <w:t>认为需要提供的其它有效资料 ，如本地化服务证明资料、承接项目业绩资料等。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widowControl/>
        <w:spacing w:line="480" w:lineRule="exact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4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综合评分办法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采用百分制评分法，其中服务项目实施方案得分占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%，服务机构业绩得分占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%，服务机构资信得分占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%，服务机构人员配备得分占1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%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最终投标报价得分占10%。参与议标评委根据评分细则对投标人进行打分，填入表格，投标人的最终得分以全部评委打分的算术平均值为准，按最终得分由高至低排出投标人的名次，出现最终得分并列时，按投标报价由低至高排列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</w:rPr>
        <w:t>，得分且投标报价相同的，按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</w:rPr>
        <w:t>得分由高至低排列。计分过程精确到小数点后三位，综合得分精确到小数点后两位，两位以后四舍五入。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议标评分细则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63"/>
        <w:gridCol w:w="611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66" w:type="pc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476" w:type="pc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</w:t>
            </w:r>
          </w:p>
        </w:tc>
        <w:tc>
          <w:tcPr>
            <w:tcW w:w="3372" w:type="pc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指标描述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分值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  <w:jc w:val="center"/>
        </w:trPr>
        <w:tc>
          <w:tcPr>
            <w:tcW w:w="566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总体得分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（90分）</w:t>
            </w:r>
          </w:p>
        </w:tc>
        <w:tc>
          <w:tcPr>
            <w:tcW w:w="47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项目实施方案</w:t>
            </w:r>
          </w:p>
        </w:tc>
        <w:tc>
          <w:tcPr>
            <w:tcW w:w="3372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总体服务方案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：投标人依据项目需求中的相关要求，制订总体服务方案，根据方案内容是否符合婚姻登记相关法律法规、健全和易于执行进行综合评分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婚姻指导方案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：根据招标文件采购需求针对婚前辅导及离婚劝导、婚姻家庭咨询，制定标准化的服务规范、服务流程、质量监督管理和回访制度等，根据上述内容进行综合评分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宣传培训方案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：根据招标文件采购需求针对培训及讲座、宣传活动、网络辅导等制定实施方案，根据方案内容进行综合评分，优秀得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分,良好得1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分，一般得0-1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566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业绩</w:t>
            </w:r>
          </w:p>
        </w:tc>
        <w:tc>
          <w:tcPr>
            <w:tcW w:w="3372" w:type="pct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1月1日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以来，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具有社会工作服务项目业绩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服务内容含婚姻家庭咨询、指导等内容，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每提供1 例合同得5分，最高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注：响应文件中须提供业绩合同扫描件或影印件。如合同不能反映相关内容的，须提供业主单位出具的书面材料扫描件或影印件。 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566" w:type="pct"/>
            <w:vMerge w:val="continue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资信</w:t>
            </w:r>
          </w:p>
        </w:tc>
        <w:tc>
          <w:tcPr>
            <w:tcW w:w="3372" w:type="pct"/>
            <w:vAlign w:val="center"/>
          </w:tcPr>
          <w:p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机构法定代表人具有全日制社会工作专业本科及以上学历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得10分，获得过省级及以上社会工作荣誉的，另得10分，本项最高20分。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注：以响应文件中提供的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法定代表人学历证书、荣誉证书（或文件）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复印件或影印件为评审依据。</w:t>
            </w:r>
          </w:p>
        </w:tc>
        <w:tc>
          <w:tcPr>
            <w:tcW w:w="584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566" w:type="pct"/>
            <w:vMerge w:val="continue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人员配备</w:t>
            </w:r>
          </w:p>
        </w:tc>
        <w:tc>
          <w:tcPr>
            <w:tcW w:w="337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员中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律师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社工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证书的，得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分，没有的，不得分。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注：以响应文件中提供的证书复印件或影印件为评审依据， 所提供的资料应能反映相关信息，投标人须对材料的真实性负责。</w:t>
            </w:r>
          </w:p>
          <w:p>
            <w:pPr>
              <w:spacing w:line="28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注：以响应文件中提供的证书复印件或影印件为评审依据。所提供的资料应能反映相关信息，投标人须对材料的真实性负责。 </w:t>
            </w:r>
          </w:p>
        </w:tc>
        <w:tc>
          <w:tcPr>
            <w:tcW w:w="584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566" w:type="pct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价格得分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6" w:type="pct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 终 投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 报 价</w:t>
            </w:r>
          </w:p>
        </w:tc>
        <w:tc>
          <w:tcPr>
            <w:tcW w:w="3372" w:type="pct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价格分统一采用低价优先法，即满足招标要求且投标价格最低的投标报价为评标基准价，其价格分为满分 10分。其他投标供应商的价格分统一按照下列公式计算：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投标报价得分＝（评标基准价/投标报价）×10％×100</w:t>
            </w:r>
          </w:p>
        </w:tc>
        <w:tc>
          <w:tcPr>
            <w:tcW w:w="584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0-10分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  <w:rPr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DB2D6"/>
    <w:multiLevelType w:val="singleLevel"/>
    <w:tmpl w:val="16FDB2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WQ0YTgwYThlYTJmYWUwZjA3MTdkNzkyNzkzYjkifQ=="/>
  </w:docVars>
  <w:rsids>
    <w:rsidRoot w:val="63BB4672"/>
    <w:rsid w:val="07742384"/>
    <w:rsid w:val="0B586753"/>
    <w:rsid w:val="10CF32FA"/>
    <w:rsid w:val="1D4E27F2"/>
    <w:rsid w:val="21F65DDD"/>
    <w:rsid w:val="2DC310D2"/>
    <w:rsid w:val="3363301C"/>
    <w:rsid w:val="36035924"/>
    <w:rsid w:val="362004B7"/>
    <w:rsid w:val="366F00EF"/>
    <w:rsid w:val="38EF45E1"/>
    <w:rsid w:val="3D661456"/>
    <w:rsid w:val="3D921E5C"/>
    <w:rsid w:val="3DC62380"/>
    <w:rsid w:val="3FC61D93"/>
    <w:rsid w:val="40B767DA"/>
    <w:rsid w:val="40BE08D8"/>
    <w:rsid w:val="4EFB3C62"/>
    <w:rsid w:val="50870DA9"/>
    <w:rsid w:val="517174DB"/>
    <w:rsid w:val="5F4B3D82"/>
    <w:rsid w:val="6062129A"/>
    <w:rsid w:val="63BB4672"/>
    <w:rsid w:val="71970440"/>
    <w:rsid w:val="781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Date"/>
    <w:basedOn w:val="1"/>
    <w:next w:val="1"/>
    <w:autoRedefine/>
    <w:qFormat/>
    <w:uiPriority w:val="0"/>
    <w:rPr>
      <w:rFonts w:ascii="Arial" w:hAnsi="Arial" w:eastAsia="楷体_GB2312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llowedHyperlink"/>
    <w:basedOn w:val="11"/>
    <w:autoRedefine/>
    <w:qFormat/>
    <w:uiPriority w:val="0"/>
    <w:rPr>
      <w:color w:val="333333"/>
      <w:u w:val="none"/>
    </w:rPr>
  </w:style>
  <w:style w:type="character" w:styleId="15">
    <w:name w:val="Emphasis"/>
    <w:basedOn w:val="11"/>
    <w:autoRedefine/>
    <w:qFormat/>
    <w:uiPriority w:val="0"/>
  </w:style>
  <w:style w:type="character" w:styleId="16">
    <w:name w:val="HTML Definition"/>
    <w:basedOn w:val="11"/>
    <w:autoRedefine/>
    <w:qFormat/>
    <w:uiPriority w:val="0"/>
    <w:rPr>
      <w:i/>
    </w:rPr>
  </w:style>
  <w:style w:type="character" w:styleId="17">
    <w:name w:val="HTML Acronym"/>
    <w:basedOn w:val="11"/>
    <w:autoRedefine/>
    <w:qFormat/>
    <w:uiPriority w:val="0"/>
  </w:style>
  <w:style w:type="character" w:styleId="18">
    <w:name w:val="Hyperlink"/>
    <w:basedOn w:val="11"/>
    <w:autoRedefine/>
    <w:qFormat/>
    <w:uiPriority w:val="0"/>
    <w:rPr>
      <w:color w:val="333333"/>
      <w:u w:val="none"/>
    </w:rPr>
  </w:style>
  <w:style w:type="character" w:styleId="19">
    <w:name w:val="HTML Code"/>
    <w:basedOn w:val="11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Keyboard"/>
    <w:basedOn w:val="11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tit"/>
    <w:basedOn w:val="11"/>
    <w:autoRedefine/>
    <w:qFormat/>
    <w:uiPriority w:val="0"/>
    <w:rPr>
      <w:b/>
      <w:color w:val="333333"/>
      <w:sz w:val="24"/>
      <w:szCs w:val="24"/>
    </w:rPr>
  </w:style>
  <w:style w:type="character" w:customStyle="1" w:styleId="23">
    <w:name w:val="buvis"/>
    <w:basedOn w:val="11"/>
    <w:autoRedefine/>
    <w:qFormat/>
    <w:uiPriority w:val="0"/>
    <w:rPr>
      <w:color w:val="999999"/>
    </w:rPr>
  </w:style>
  <w:style w:type="character" w:customStyle="1" w:styleId="24">
    <w:name w:val="buvis1"/>
    <w:basedOn w:val="11"/>
    <w:autoRedefine/>
    <w:qFormat/>
    <w:uiPriority w:val="0"/>
    <w:rPr>
      <w:color w:val="CC0000"/>
    </w:rPr>
  </w:style>
  <w:style w:type="character" w:customStyle="1" w:styleId="25">
    <w:name w:val="dw"/>
    <w:basedOn w:val="11"/>
    <w:autoRedefine/>
    <w:qFormat/>
    <w:uiPriority w:val="0"/>
  </w:style>
  <w:style w:type="character" w:customStyle="1" w:styleId="26">
    <w:name w:val="oem"/>
    <w:basedOn w:val="11"/>
    <w:autoRedefine/>
    <w:qFormat/>
    <w:uiPriority w:val="0"/>
  </w:style>
  <w:style w:type="character" w:customStyle="1" w:styleId="27">
    <w:name w:val="over6"/>
    <w:basedOn w:val="11"/>
    <w:autoRedefine/>
    <w:qFormat/>
    <w:uiPriority w:val="0"/>
    <w:rPr>
      <w:color w:val="B60000"/>
    </w:rPr>
  </w:style>
  <w:style w:type="character" w:customStyle="1" w:styleId="28">
    <w:name w:val="over7"/>
    <w:basedOn w:val="11"/>
    <w:autoRedefine/>
    <w:qFormat/>
    <w:uiPriority w:val="0"/>
    <w:rPr>
      <w:color w:val="999999"/>
    </w:rPr>
  </w:style>
  <w:style w:type="character" w:customStyle="1" w:styleId="29">
    <w:name w:val="starting"/>
    <w:basedOn w:val="11"/>
    <w:autoRedefine/>
    <w:qFormat/>
    <w:uiPriority w:val="0"/>
    <w:rPr>
      <w:color w:val="339900"/>
    </w:rPr>
  </w:style>
  <w:style w:type="character" w:customStyle="1" w:styleId="30">
    <w:name w:val="starting1"/>
    <w:basedOn w:val="11"/>
    <w:autoRedefine/>
    <w:qFormat/>
    <w:uiPriority w:val="0"/>
    <w:rPr>
      <w:color w:val="339900"/>
    </w:rPr>
  </w:style>
  <w:style w:type="character" w:customStyle="1" w:styleId="31">
    <w:name w:val="nostart"/>
    <w:basedOn w:val="11"/>
    <w:autoRedefine/>
    <w:qFormat/>
    <w:uiPriority w:val="0"/>
    <w:rPr>
      <w:color w:val="FF0000"/>
    </w:rPr>
  </w:style>
  <w:style w:type="character" w:customStyle="1" w:styleId="32">
    <w:name w:val="nostart1"/>
    <w:basedOn w:val="11"/>
    <w:autoRedefine/>
    <w:qFormat/>
    <w:uiPriority w:val="0"/>
    <w:rPr>
      <w:color w:val="FF0000"/>
    </w:rPr>
  </w:style>
  <w:style w:type="character" w:customStyle="1" w:styleId="33">
    <w:name w:val="msg-box20"/>
    <w:basedOn w:val="11"/>
    <w:autoRedefine/>
    <w:qFormat/>
    <w:uiPriority w:val="0"/>
  </w:style>
  <w:style w:type="character" w:customStyle="1" w:styleId="34">
    <w:name w:val="c1"/>
    <w:basedOn w:val="11"/>
    <w:autoRedefine/>
    <w:qFormat/>
    <w:uiPriority w:val="0"/>
  </w:style>
  <w:style w:type="character" w:customStyle="1" w:styleId="35">
    <w:name w:val="c11"/>
    <w:basedOn w:val="11"/>
    <w:autoRedefine/>
    <w:qFormat/>
    <w:uiPriority w:val="0"/>
  </w:style>
  <w:style w:type="character" w:customStyle="1" w:styleId="36">
    <w:name w:val="c2"/>
    <w:basedOn w:val="11"/>
    <w:autoRedefine/>
    <w:qFormat/>
    <w:uiPriority w:val="0"/>
  </w:style>
  <w:style w:type="character" w:customStyle="1" w:styleId="37">
    <w:name w:val="c21"/>
    <w:basedOn w:val="11"/>
    <w:autoRedefine/>
    <w:qFormat/>
    <w:uiPriority w:val="0"/>
  </w:style>
  <w:style w:type="character" w:customStyle="1" w:styleId="38">
    <w:name w:val="c3"/>
    <w:basedOn w:val="11"/>
    <w:autoRedefine/>
    <w:qFormat/>
    <w:uiPriority w:val="0"/>
  </w:style>
  <w:style w:type="character" w:customStyle="1" w:styleId="39">
    <w:name w:val="c31"/>
    <w:basedOn w:val="11"/>
    <w:autoRedefine/>
    <w:qFormat/>
    <w:uiPriority w:val="0"/>
  </w:style>
  <w:style w:type="character" w:customStyle="1" w:styleId="40">
    <w:name w:val="red6"/>
    <w:basedOn w:val="11"/>
    <w:autoRedefine/>
    <w:qFormat/>
    <w:uiPriority w:val="0"/>
    <w:rPr>
      <w:color w:val="FF0000"/>
    </w:rPr>
  </w:style>
  <w:style w:type="character" w:customStyle="1" w:styleId="41">
    <w:name w:val="interview-names"/>
    <w:basedOn w:val="11"/>
    <w:autoRedefine/>
    <w:qFormat/>
    <w:uiPriority w:val="0"/>
  </w:style>
  <w:style w:type="character" w:customStyle="1" w:styleId="42">
    <w:name w:val="hf"/>
    <w:basedOn w:val="11"/>
    <w:autoRedefine/>
    <w:qFormat/>
    <w:uiPriority w:val="0"/>
    <w:rPr>
      <w:color w:val="CC0000"/>
      <w:sz w:val="18"/>
      <w:szCs w:val="18"/>
    </w:rPr>
  </w:style>
  <w:style w:type="paragraph" w:customStyle="1" w:styleId="43">
    <w:name w:val="首行缩进"/>
    <w:basedOn w:val="1"/>
    <w:autoRedefine/>
    <w:qFormat/>
    <w:uiPriority w:val="0"/>
    <w:pPr>
      <w:ind w:firstLine="480" w:firstLineChars="200"/>
    </w:pPr>
    <w:rPr>
      <w:rFonts w:hAnsi="Calibri"/>
      <w:lang w:val="zh-CN"/>
    </w:rPr>
  </w:style>
  <w:style w:type="character" w:customStyle="1" w:styleId="44">
    <w:name w:val="red5"/>
    <w:basedOn w:val="11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2009</Words>
  <Characters>2095</Characters>
  <Lines>0</Lines>
  <Paragraphs>0</Paragraphs>
  <TotalTime>58</TotalTime>
  <ScaleCrop>false</ScaleCrop>
  <LinksUpToDate>false</LinksUpToDate>
  <CharactersWithSpaces>2189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2020-11-23T06:56:00Z</dcterms:created>
  <dc:creator>王岱</dc:creator>
  <cp:lastModifiedBy>david</cp:lastModifiedBy>
  <cp:lastPrinted>2020-11-23T08:50:00Z</cp:lastPrinted>
  <dcterms:modified xsi:type="dcterms:W3CDTF">2024-05-09T08:22:13Z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194A5B06964E48E3B33FB2E9295CA9C2_13</vt:lpwstr>
  </property>
</Properties>
</file>