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Times New Roman"/>
          <w:sz w:val="20"/>
        </w:rPr>
      </w:pPr>
    </w:p>
    <w:p>
      <w:pPr>
        <w:pStyle w:val="2"/>
        <w:spacing w:before="5"/>
        <w:rPr>
          <w:rFonts w:ascii="Times New Roman"/>
          <w:sz w:val="11"/>
        </w:rPr>
      </w:pPr>
    </w:p>
    <w:p>
      <w:pPr>
        <w:pStyle w:val="2"/>
        <w:ind w:left="161"/>
        <w:rPr>
          <w:rFonts w:ascii="Times New Roman"/>
          <w:sz w:val="20"/>
        </w:rPr>
      </w:pPr>
      <w:r>
        <w:rPr>
          <w:rFonts w:ascii="Times New Roman"/>
          <w:sz w:val="20"/>
        </w:rPr>
        <w:drawing>
          <wp:inline distT="0" distB="0" distL="0" distR="0">
            <wp:extent cx="5574030" cy="1096645"/>
            <wp:effectExtent l="0" t="0" r="7620" b="8255"/>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7" cstate="print"/>
                    <a:stretch>
                      <a:fillRect/>
                    </a:stretch>
                  </pic:blipFill>
                  <pic:spPr>
                    <a:xfrm>
                      <a:off x="0" y="0"/>
                      <a:ext cx="5574374" cy="1097279"/>
                    </a:xfrm>
                    <a:prstGeom prst="rect">
                      <a:avLst/>
                    </a:prstGeom>
                  </pic:spPr>
                </pic:pic>
              </a:graphicData>
            </a:graphic>
          </wp:inline>
        </w:drawing>
      </w:r>
    </w:p>
    <w:p>
      <w:pPr>
        <w:pStyle w:val="2"/>
        <w:rPr>
          <w:rFonts w:ascii="Times New Roman"/>
          <w:sz w:val="20"/>
        </w:rPr>
      </w:pPr>
    </w:p>
    <w:p>
      <w:pPr>
        <w:pStyle w:val="2"/>
        <w:rPr>
          <w:rFonts w:ascii="Times New Roman"/>
          <w:sz w:val="20"/>
        </w:rPr>
      </w:pPr>
    </w:p>
    <w:p>
      <w:pPr>
        <w:pStyle w:val="2"/>
        <w:spacing w:before="10"/>
        <w:rPr>
          <w:rFonts w:ascii="Times New Roman"/>
          <w:sz w:val="18"/>
        </w:rPr>
      </w:pPr>
    </w:p>
    <w:p>
      <w:pPr>
        <w:spacing w:before="57" w:line="389" w:lineRule="exact"/>
        <w:ind w:left="149" w:right="1690" w:firstLine="0"/>
        <w:jc w:val="center"/>
        <w:rPr>
          <w:sz w:val="32"/>
        </w:rPr>
      </w:pPr>
      <w:r>
        <w:rPr>
          <w:color w:val="161616"/>
          <w:sz w:val="32"/>
        </w:rPr>
        <w:t>瑶农工组</w:t>
      </w:r>
      <w:r>
        <w:rPr>
          <w:rFonts w:hint="eastAsia"/>
          <w:color w:val="161616"/>
          <w:sz w:val="32"/>
        </w:rPr>
        <w:t>〔</w:t>
      </w:r>
      <w:r>
        <w:rPr>
          <w:rFonts w:ascii="Times New Roman" w:eastAsia="Times New Roman"/>
          <w:color w:val="161616"/>
          <w:sz w:val="31"/>
        </w:rPr>
        <w:t xml:space="preserve"> 2022 </w:t>
      </w:r>
      <w:r>
        <w:rPr>
          <w:rFonts w:hint="eastAsia" w:ascii="Times New Roman" w:eastAsia="Times New Roman"/>
          <w:color w:val="161616"/>
          <w:sz w:val="31"/>
        </w:rPr>
        <w:t>〕</w:t>
      </w:r>
      <w:r>
        <w:rPr>
          <w:rFonts w:ascii="Times New Roman" w:eastAsia="Times New Roman"/>
          <w:color w:val="161616"/>
          <w:sz w:val="31"/>
        </w:rPr>
        <w:t xml:space="preserve"> 10 </w:t>
      </w:r>
      <w:r>
        <w:rPr>
          <w:color w:val="161616"/>
          <w:sz w:val="32"/>
        </w:rPr>
        <w:t>号</w:t>
      </w:r>
    </w:p>
    <w:p>
      <w:pPr>
        <w:spacing w:before="0" w:line="1068" w:lineRule="exact"/>
        <w:ind w:left="0" w:right="1484" w:firstLine="0"/>
        <w:jc w:val="center"/>
        <w:rPr>
          <w:sz w:val="85"/>
        </w:rPr>
      </w:pPr>
      <w:r>
        <mc:AlternateContent>
          <mc:Choice Requires="wps">
            <w:drawing>
              <wp:anchor distT="0" distB="0" distL="114300" distR="114300" simplePos="0" relativeHeight="251661312" behindDoc="1" locked="0" layoutInCell="1" allowOverlap="1">
                <wp:simplePos x="0" y="0"/>
                <wp:positionH relativeFrom="page">
                  <wp:posOffset>3968750</wp:posOffset>
                </wp:positionH>
                <wp:positionV relativeFrom="paragraph">
                  <wp:posOffset>309880</wp:posOffset>
                </wp:positionV>
                <wp:extent cx="2637155" cy="0"/>
                <wp:effectExtent l="0" t="19685" r="10795" b="37465"/>
                <wp:wrapNone/>
                <wp:docPr id="2" name="直线 2"/>
                <wp:cNvGraphicFramePr/>
                <a:graphic xmlns:a="http://schemas.openxmlformats.org/drawingml/2006/main">
                  <a:graphicData uri="http://schemas.microsoft.com/office/word/2010/wordprocessingShape">
                    <wps:wsp>
                      <wps:cNvCnPr/>
                      <wps:spPr>
                        <a:xfrm>
                          <a:off x="0" y="0"/>
                          <a:ext cx="2637155" cy="0"/>
                        </a:xfrm>
                        <a:prstGeom prst="line">
                          <a:avLst/>
                        </a:prstGeom>
                        <a:ln w="39669"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margin-left:312.5pt;margin-top:24.4pt;height:0pt;width:207.65pt;mso-position-horizontal-relative:page;z-index:-251655168;mso-width-relative:page;mso-height-relative:page;" filled="f" stroked="t" coordsize="21600,21600" o:gfxdata="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FFR&#10;VvfYAAAACgEAAA8AAAAAAAAAAQAgAAAAIgAAAGRycy9kb3ducmV2LnhtbFBLAQIUABQAAAAIAIdO&#10;4kBIdyvi6gEAANwDAAAOAAAAAAAAAAEAIAAAACcBAABkcnMvZTJvRG9jLnhtbFBLBQYAAAAABgAG&#10;AFkBAACDBQAAAAA=&#10;">
                <v:fill on="f" focussize="0,0"/>
                <v:stroke weight="3.12354330708661pt" color="#000000" joinstyle="round"/>
                <v:imagedata o:title=""/>
                <o:lock v:ext="edit" aspectratio="f"/>
              </v:line>
            </w:pict>
          </mc:Fallback>
        </mc:AlternateContent>
      </w:r>
      <w:r>
        <mc:AlternateContent>
          <mc:Choice Requires="wps">
            <w:drawing>
              <wp:anchor distT="0" distB="0" distL="114300" distR="114300" simplePos="0" relativeHeight="251662336" behindDoc="0" locked="0" layoutInCell="1" allowOverlap="1">
                <wp:simplePos x="0" y="0"/>
                <wp:positionH relativeFrom="page">
                  <wp:posOffset>829945</wp:posOffset>
                </wp:positionH>
                <wp:positionV relativeFrom="paragraph">
                  <wp:posOffset>309880</wp:posOffset>
                </wp:positionV>
                <wp:extent cx="2625090" cy="0"/>
                <wp:effectExtent l="0" t="18415" r="3810" b="19685"/>
                <wp:wrapNone/>
                <wp:docPr id="7" name="直线 3"/>
                <wp:cNvGraphicFramePr/>
                <a:graphic xmlns:a="http://schemas.openxmlformats.org/drawingml/2006/main">
                  <a:graphicData uri="http://schemas.microsoft.com/office/word/2010/wordprocessingShape">
                    <wps:wsp>
                      <wps:cNvCnPr/>
                      <wps:spPr>
                        <a:xfrm>
                          <a:off x="0" y="0"/>
                          <a:ext cx="2625090" cy="0"/>
                        </a:xfrm>
                        <a:prstGeom prst="line">
                          <a:avLst/>
                        </a:prstGeom>
                        <a:ln w="36618"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65.35pt;margin-top:24.4pt;height:0pt;width:206.7pt;mso-position-horizontal-relative:page;z-index:251662336;mso-width-relative:page;mso-height-relative:page;" filled="f" stroked="t" coordsize="21600,21600" o:gfxdata="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g72s&#10;F9gAAAAJAQAADwAAAAAAAAABACAAAAAiAAAAZHJzL2Rvd25yZXYueG1sUEsBAhQAFAAAAAgAh07i&#10;QFHZ0AHpAQAA3AMAAA4AAAAAAAAAAQAgAAAAJwEAAGRycy9lMm9Eb2MueG1sUEsFBgAAAAAGAAYA&#10;WQEAAIIFAAAAAA==&#10;">
                <v:fill on="f" focussize="0,0"/>
                <v:stroke weight="2.88330708661417pt" color="#000000" joinstyle="round"/>
                <v:imagedata o:title=""/>
                <o:lock v:ext="edit" aspectratio="f"/>
              </v:line>
            </w:pict>
          </mc:Fallback>
        </mc:AlternateContent>
      </w:r>
      <w:r>
        <w:rPr>
          <w:color w:val="B31616"/>
          <w:w w:val="107"/>
          <w:sz w:val="85"/>
        </w:rPr>
        <w:t>＊</w:t>
      </w:r>
    </w:p>
    <w:p>
      <w:pPr>
        <w:spacing w:before="187"/>
        <w:ind w:left="149" w:right="1810" w:firstLine="0"/>
        <w:jc w:val="center"/>
        <w:rPr>
          <w:sz w:val="41"/>
        </w:rPr>
      </w:pPr>
      <w:r>
        <w:rPr>
          <w:rFonts w:hint="eastAsia"/>
          <w:color w:val="161616"/>
          <w:w w:val="105"/>
          <w:sz w:val="41"/>
        </w:rPr>
        <w:t>关于印发</w:t>
      </w:r>
      <w:r>
        <w:rPr>
          <w:color w:val="161616"/>
          <w:w w:val="105"/>
          <w:sz w:val="41"/>
        </w:rPr>
        <w:t>《瑶海区乡村生态振兴实施方案》的</w:t>
      </w:r>
    </w:p>
    <w:p>
      <w:pPr>
        <w:spacing w:before="147"/>
        <w:ind w:left="137" w:right="1810" w:firstLine="0"/>
        <w:jc w:val="center"/>
        <w:rPr>
          <w:sz w:val="44"/>
        </w:rPr>
      </w:pPr>
      <w:r>
        <w:rPr>
          <w:color w:val="161616"/>
          <w:sz w:val="44"/>
        </w:rPr>
        <w:t>通知</w:t>
      </w:r>
    </w:p>
    <w:p>
      <w:pPr>
        <w:pStyle w:val="2"/>
        <w:rPr>
          <w:sz w:val="44"/>
        </w:rPr>
      </w:pPr>
    </w:p>
    <w:p>
      <w:pPr>
        <w:pStyle w:val="2"/>
        <w:spacing w:before="4"/>
        <w:rPr>
          <w:sz w:val="65"/>
        </w:rPr>
      </w:pPr>
    </w:p>
    <w:p>
      <w:pPr>
        <w:pStyle w:val="2"/>
        <w:ind w:left="154"/>
      </w:pPr>
      <w:r>
        <w:rPr>
          <w:color w:val="161616"/>
        </w:rPr>
        <w:t>各街镇开发区，区直有关单位，驻区有关单位：</w:t>
      </w:r>
    </w:p>
    <w:p>
      <w:pPr>
        <w:pStyle w:val="2"/>
        <w:spacing w:before="186" w:line="352" w:lineRule="auto"/>
        <w:ind w:left="152" w:right="1703" w:firstLine="652"/>
      </w:pPr>
      <w:r>
        <w:rPr>
          <w:color w:val="161616"/>
        </w:rPr>
        <w:t>现将《瑶海区乡村生态振兴实施方案》印发给你们，请结合实际认真贯彻落实。</w:t>
      </w:r>
    </w:p>
    <w:p>
      <w:pPr>
        <w:pStyle w:val="2"/>
        <w:rPr>
          <w:sz w:val="20"/>
        </w:rPr>
      </w:pPr>
    </w:p>
    <w:p>
      <w:pPr>
        <w:pStyle w:val="2"/>
        <w:rPr>
          <w:sz w:val="20"/>
        </w:rPr>
      </w:pPr>
    </w:p>
    <w:p>
      <w:pPr>
        <w:spacing w:after="0"/>
        <w:rPr>
          <w:sz w:val="19"/>
        </w:rPr>
      </w:pPr>
    </w:p>
    <w:p>
      <w:pPr>
        <w:spacing w:after="0"/>
        <w:rPr>
          <w:sz w:val="19"/>
        </w:rPr>
      </w:pPr>
    </w:p>
    <w:p>
      <w:pPr>
        <w:spacing w:after="0"/>
        <w:rPr>
          <w:sz w:val="19"/>
        </w:rPr>
        <w:sectPr>
          <w:footerReference r:id="rId5" w:type="default"/>
          <w:type w:val="continuous"/>
          <w:pgSz w:w="11910" w:h="16840"/>
          <w:pgMar w:top="1580" w:right="0" w:bottom="940" w:left="1300" w:header="720" w:footer="743" w:gutter="0"/>
          <w:pgNumType w:start="1"/>
          <w:cols w:space="720" w:num="1"/>
        </w:sectPr>
      </w:pPr>
    </w:p>
    <w:p>
      <w:pPr>
        <w:pStyle w:val="2"/>
        <w:keepNext w:val="0"/>
        <w:keepLines w:val="0"/>
        <w:pageBreakBefore w:val="0"/>
        <w:widowControl w:val="0"/>
        <w:kinsoku/>
        <w:wordWrap/>
        <w:overflowPunct/>
        <w:topLinePunct w:val="0"/>
        <w:autoSpaceDE w:val="0"/>
        <w:autoSpaceDN w:val="0"/>
        <w:bidi w:val="0"/>
        <w:adjustRightInd/>
        <w:snapToGrid/>
        <w:spacing w:before="191"/>
        <w:jc w:val="right"/>
        <w:textAlignment w:val="auto"/>
        <w:rPr>
          <w:color w:val="161616"/>
        </w:rPr>
      </w:pPr>
      <w:r>
        <w:rPr>
          <w:color w:val="161616"/>
          <w:spacing w:val="1"/>
          <w:w w:val="95"/>
          <w:sz w:val="33"/>
        </w:rPr>
        <w:t>中共合肥</w:t>
      </w:r>
      <w:r>
        <w:rPr>
          <w:rFonts w:hint="eastAsia"/>
          <w:color w:val="161616"/>
          <w:lang w:eastAsia="zh-CN"/>
        </w:rPr>
        <w:t>市瑶海区委农村</w:t>
      </w:r>
      <w:bookmarkStart w:id="0" w:name="_GoBack"/>
      <w:bookmarkEnd w:id="0"/>
      <w:r>
        <w:rPr>
          <w:rFonts w:hint="eastAsia"/>
          <w:color w:val="161616"/>
          <w:lang w:eastAsia="zh-CN"/>
        </w:rPr>
        <w:t>工作</w:t>
      </w:r>
      <w:r>
        <w:rPr>
          <w:color w:val="161616"/>
        </w:rPr>
        <w:t>领导小组</w:t>
      </w:r>
    </w:p>
    <w:p>
      <w:pPr>
        <w:pStyle w:val="2"/>
        <w:keepNext w:val="0"/>
        <w:keepLines w:val="0"/>
        <w:pageBreakBefore w:val="0"/>
        <w:widowControl w:val="0"/>
        <w:kinsoku/>
        <w:wordWrap/>
        <w:overflowPunct/>
        <w:topLinePunct w:val="0"/>
        <w:autoSpaceDE w:val="0"/>
        <w:autoSpaceDN w:val="0"/>
        <w:bidi w:val="0"/>
        <w:adjustRightInd/>
        <w:snapToGrid/>
        <w:spacing w:before="191"/>
        <w:ind w:left="205"/>
        <w:jc w:val="right"/>
        <w:textAlignment w:val="auto"/>
        <w:rPr>
          <w:rFonts w:hint="default" w:eastAsia="宋体"/>
          <w:color w:val="161616"/>
          <w:lang w:val="en-US" w:eastAsia="zh-CN"/>
        </w:rPr>
        <w:sectPr>
          <w:type w:val="continuous"/>
          <w:pgSz w:w="11910" w:h="16840"/>
          <w:pgMar w:top="1580" w:right="0" w:bottom="940" w:left="1300" w:header="720" w:footer="720" w:gutter="0"/>
          <w:cols w:equalWidth="0" w:num="2">
            <w:col w:w="7047" w:space="40"/>
            <w:col w:w="3523"/>
          </w:cols>
        </w:sectPr>
      </w:pPr>
      <w:r>
        <w:rPr>
          <w:rFonts w:hint="eastAsia"/>
          <w:color w:val="161616"/>
          <w:lang w:val="en-US" w:eastAsia="zh-CN"/>
        </w:rPr>
        <w:t>2022年12月7日</w:t>
      </w:r>
    </w:p>
    <w:p>
      <w:pPr>
        <w:spacing w:before="11"/>
        <w:ind w:left="1682" w:right="0" w:firstLine="0"/>
        <w:jc w:val="left"/>
        <w:rPr>
          <w:sz w:val="43"/>
        </w:rPr>
      </w:pPr>
      <w:r>
        <w:rPr>
          <w:color w:val="181816"/>
          <w:sz w:val="43"/>
        </w:rPr>
        <w:t>瑶海区乡村生态振兴实施方案</w:t>
      </w:r>
    </w:p>
    <w:p>
      <w:pPr>
        <w:pStyle w:val="2"/>
        <w:rPr>
          <w:sz w:val="59"/>
        </w:rPr>
      </w:pPr>
    </w:p>
    <w:p>
      <w:pPr>
        <w:pStyle w:val="2"/>
        <w:spacing w:line="352" w:lineRule="auto"/>
        <w:ind w:left="189" w:right="1671" w:firstLine="648"/>
        <w:jc w:val="both"/>
      </w:pPr>
      <w:r>
        <w:rPr>
          <w:color w:val="181816"/>
        </w:rPr>
        <w:t>为贯彻</w:t>
      </w:r>
      <w:r>
        <w:rPr>
          <w:rFonts w:hint="eastAsia"/>
          <w:color w:val="181816"/>
        </w:rPr>
        <w:t>落实中央</w:t>
      </w:r>
      <w:r>
        <w:rPr>
          <w:color w:val="181816"/>
        </w:rPr>
        <w:t>及省市委关于实施乡村生态振兴战略的决策部署，全面推进我区乡村生态振兴工作，结合我区实际，制定本实施方案。</w:t>
      </w:r>
    </w:p>
    <w:p>
      <w:pPr>
        <w:spacing w:before="0" w:line="360" w:lineRule="exact"/>
        <w:ind w:left="823" w:right="0" w:firstLine="0"/>
        <w:jc w:val="left"/>
        <w:rPr>
          <w:sz w:val="30"/>
        </w:rPr>
      </w:pPr>
      <w:r>
        <w:rPr>
          <w:color w:val="181816"/>
          <w:w w:val="105"/>
          <w:sz w:val="30"/>
        </w:rPr>
        <w:t>一、总体要求</w:t>
      </w:r>
    </w:p>
    <w:p>
      <w:pPr>
        <w:pStyle w:val="2"/>
        <w:tabs>
          <w:tab w:val="left" w:pos="4638"/>
        </w:tabs>
        <w:spacing w:before="230" w:line="372" w:lineRule="auto"/>
        <w:ind w:left="167" w:right="1606" w:firstLine="662"/>
      </w:pPr>
      <w:r>
        <w:rPr>
          <w:color w:val="181816"/>
          <w:w w:val="95"/>
        </w:rPr>
        <w:t>以习近平新时代中国特色社会主义思想为指导，全面贯彻</w:t>
      </w:r>
      <w:r>
        <w:rPr>
          <w:color w:val="181816"/>
          <w:spacing w:val="-18"/>
          <w:w w:val="95"/>
        </w:rPr>
        <w:t xml:space="preserve">党 </w:t>
      </w:r>
      <w:r>
        <w:rPr>
          <w:color w:val="181816"/>
          <w:w w:val="90"/>
        </w:rPr>
        <w:t>的十九大和十九届历次全会精神</w:t>
      </w:r>
      <w:r>
        <w:rPr>
          <w:color w:val="2F312F"/>
          <w:spacing w:val="11"/>
          <w:w w:val="70"/>
        </w:rPr>
        <w:t>，</w:t>
      </w:r>
      <w:r>
        <w:rPr>
          <w:color w:val="181816"/>
          <w:w w:val="95"/>
        </w:rPr>
        <w:t xml:space="preserve">深入贯彻落实习近平生态文明思想、习近平总书记关于实施乡村振兴战略的重要指示精神和习 </w:t>
      </w:r>
      <w:r>
        <w:rPr>
          <w:color w:val="181816"/>
          <w:spacing w:val="16"/>
          <w:w w:val="90"/>
        </w:rPr>
        <w:t>近</w:t>
      </w:r>
      <w:r>
        <w:rPr>
          <w:color w:val="2F312F"/>
          <w:spacing w:val="30"/>
          <w:w w:val="90"/>
        </w:rPr>
        <w:t>平</w:t>
      </w:r>
      <w:r>
        <w:rPr>
          <w:color w:val="181816"/>
          <w:w w:val="90"/>
        </w:rPr>
        <w:t>总书记视</w:t>
      </w:r>
      <w:r>
        <w:rPr>
          <w:color w:val="181816"/>
          <w:spacing w:val="56"/>
          <w:w w:val="90"/>
        </w:rPr>
        <w:t xml:space="preserve"> </w:t>
      </w:r>
      <w:r>
        <w:rPr>
          <w:color w:val="2F312F"/>
          <w:w w:val="90"/>
        </w:rPr>
        <w:t>察</w:t>
      </w:r>
      <w:r>
        <w:rPr>
          <w:color w:val="2F312F"/>
          <w:spacing w:val="4"/>
          <w:w w:val="90"/>
        </w:rPr>
        <w:t>安</w:t>
      </w:r>
      <w:r>
        <w:rPr>
          <w:color w:val="181816"/>
          <w:spacing w:val="8"/>
          <w:w w:val="90"/>
        </w:rPr>
        <w:t>徽</w:t>
      </w:r>
      <w:r>
        <w:rPr>
          <w:color w:val="2F312F"/>
          <w:spacing w:val="-93"/>
          <w:w w:val="90"/>
        </w:rPr>
        <w:t>、</w:t>
      </w:r>
      <w:r>
        <w:rPr>
          <w:color w:val="181816"/>
          <w:spacing w:val="6"/>
          <w:w w:val="90"/>
        </w:rPr>
        <w:t>视</w:t>
      </w:r>
      <w:r>
        <w:rPr>
          <w:color w:val="2F312F"/>
          <w:spacing w:val="15"/>
          <w:w w:val="90"/>
        </w:rPr>
        <w:t>察</w:t>
      </w:r>
      <w:r>
        <w:rPr>
          <w:color w:val="181816"/>
          <w:w w:val="90"/>
        </w:rPr>
        <w:t>合肥重要指示精神</w:t>
      </w:r>
      <w:r>
        <w:rPr>
          <w:color w:val="181816"/>
          <w:spacing w:val="-7"/>
          <w:w w:val="90"/>
        </w:rPr>
        <w:t xml:space="preserve"> </w:t>
      </w:r>
      <w:r>
        <w:rPr>
          <w:color w:val="2F312F"/>
          <w:spacing w:val="-4"/>
          <w:w w:val="70"/>
        </w:rPr>
        <w:t>，</w:t>
      </w:r>
      <w:r>
        <w:rPr>
          <w:color w:val="181816"/>
          <w:w w:val="90"/>
        </w:rPr>
        <w:t>牢固树</w:t>
      </w:r>
      <w:r>
        <w:rPr>
          <w:color w:val="181816"/>
          <w:spacing w:val="-13"/>
          <w:w w:val="90"/>
        </w:rPr>
        <w:t xml:space="preserve"> </w:t>
      </w:r>
      <w:r>
        <w:rPr>
          <w:color w:val="181816"/>
          <w:w w:val="90"/>
        </w:rPr>
        <w:t>立践行“绿</w:t>
      </w:r>
      <w:r>
        <w:rPr>
          <w:color w:val="181816"/>
          <w:w w:val="95"/>
        </w:rPr>
        <w:t>水青山就是金山银</w:t>
      </w:r>
      <w:r>
        <w:rPr>
          <w:color w:val="181816"/>
          <w:spacing w:val="43"/>
          <w:w w:val="95"/>
        </w:rPr>
        <w:t>山</w:t>
      </w:r>
      <w:r>
        <w:rPr>
          <w:color w:val="181816"/>
          <w:w w:val="70"/>
        </w:rPr>
        <w:t>”</w:t>
      </w:r>
      <w:r>
        <w:rPr>
          <w:color w:val="181816"/>
          <w:spacing w:val="-54"/>
          <w:w w:val="70"/>
        </w:rPr>
        <w:t xml:space="preserve"> </w:t>
      </w:r>
      <w:r>
        <w:rPr>
          <w:color w:val="181816"/>
          <w:w w:val="95"/>
        </w:rPr>
        <w:t>的发展理念</w:t>
      </w:r>
      <w:r>
        <w:rPr>
          <w:color w:val="181816"/>
          <w:spacing w:val="-93"/>
          <w:w w:val="95"/>
        </w:rPr>
        <w:t xml:space="preserve"> </w:t>
      </w:r>
      <w:r>
        <w:rPr>
          <w:color w:val="181816"/>
          <w:w w:val="70"/>
        </w:rPr>
        <w:t>，</w:t>
      </w:r>
      <w:r>
        <w:rPr>
          <w:color w:val="181816"/>
          <w:spacing w:val="-76"/>
          <w:w w:val="70"/>
        </w:rPr>
        <w:t xml:space="preserve"> </w:t>
      </w:r>
      <w:r>
        <w:rPr>
          <w:color w:val="181816"/>
          <w:w w:val="95"/>
        </w:rPr>
        <w:t>加</w:t>
      </w:r>
      <w:r>
        <w:rPr>
          <w:color w:val="181816"/>
          <w:spacing w:val="51"/>
          <w:w w:val="95"/>
        </w:rPr>
        <w:t>强</w:t>
      </w:r>
      <w:r>
        <w:rPr>
          <w:color w:val="2F312F"/>
          <w:spacing w:val="39"/>
          <w:w w:val="95"/>
        </w:rPr>
        <w:t>乡</w:t>
      </w:r>
      <w:r>
        <w:rPr>
          <w:color w:val="181816"/>
          <w:spacing w:val="40"/>
          <w:w w:val="95"/>
        </w:rPr>
        <w:t>村</w:t>
      </w:r>
      <w:r>
        <w:rPr>
          <w:color w:val="181816"/>
          <w:w w:val="95"/>
        </w:rPr>
        <w:t xml:space="preserve">生态环境保护和环境治理，深入打好农业农村污染防治攻坚战，加大生态保护与修复力度，推动乡村绿色发展，持续改善农村生态环境质量，建设生活环境整洁优美、生态系统稳定健康、人与自然和谐共生的生 </w:t>
      </w:r>
      <w:r>
        <w:rPr>
          <w:color w:val="181816"/>
        </w:rPr>
        <w:t>态宜居美丽乡村。</w:t>
      </w:r>
    </w:p>
    <w:p>
      <w:pPr>
        <w:spacing w:before="9"/>
        <w:ind w:left="798" w:right="0" w:firstLine="0"/>
        <w:jc w:val="left"/>
        <w:rPr>
          <w:sz w:val="30"/>
        </w:rPr>
      </w:pPr>
      <w:r>
        <w:rPr>
          <w:color w:val="181816"/>
          <w:w w:val="105"/>
          <w:sz w:val="30"/>
        </w:rPr>
        <w:t>二、工作目标</w:t>
      </w:r>
    </w:p>
    <w:p>
      <w:pPr>
        <w:pStyle w:val="2"/>
        <w:spacing w:before="230"/>
        <w:ind w:left="803"/>
        <w:jc w:val="both"/>
      </w:pPr>
      <w:r>
        <w:rPr>
          <w:color w:val="181816"/>
          <w:spacing w:val="-29"/>
          <w:w w:val="95"/>
        </w:rPr>
        <w:t xml:space="preserve">到 </w:t>
      </w:r>
      <w:r>
        <w:rPr>
          <w:rFonts w:ascii="Arial" w:eastAsia="Arial"/>
          <w:color w:val="181816"/>
          <w:w w:val="95"/>
          <w:sz w:val="29"/>
        </w:rPr>
        <w:t>2025</w:t>
      </w:r>
      <w:r>
        <w:rPr>
          <w:color w:val="181816"/>
          <w:spacing w:val="12"/>
          <w:w w:val="95"/>
        </w:rPr>
        <w:t>年</w:t>
      </w:r>
      <w:r>
        <w:rPr>
          <w:color w:val="181816"/>
          <w:spacing w:val="-44"/>
          <w:w w:val="90"/>
        </w:rPr>
        <w:t xml:space="preserve">， </w:t>
      </w:r>
      <w:r>
        <w:rPr>
          <w:color w:val="181816"/>
          <w:spacing w:val="-4"/>
          <w:w w:val="95"/>
        </w:rPr>
        <w:t>基本建立农村生态环境系统治理和长效治理机</w:t>
      </w:r>
    </w:p>
    <w:p>
      <w:pPr>
        <w:pStyle w:val="2"/>
        <w:spacing w:before="224" w:line="374" w:lineRule="auto"/>
        <w:ind w:left="145" w:right="1689" w:firstLine="26"/>
        <w:jc w:val="both"/>
      </w:pPr>
      <w:r>
        <w:rPr>
          <w:color w:val="181816"/>
          <w:spacing w:val="-1"/>
        </w:rPr>
        <w:t>制，生态产业化、产业生态化初步形成，全区农村生态环境得</w:t>
      </w:r>
      <w:r>
        <w:rPr>
          <w:color w:val="181816"/>
          <w:spacing w:val="-6"/>
        </w:rPr>
        <w:t>到明显改善。</w:t>
      </w:r>
      <w:r>
        <w:rPr>
          <w:color w:val="181816"/>
        </w:rPr>
        <w:t>（区生态环境分局、市资规局瑶海分局、区农林水务局）</w:t>
      </w:r>
    </w:p>
    <w:p>
      <w:pPr>
        <w:pStyle w:val="2"/>
        <w:spacing w:line="409" w:lineRule="exact"/>
        <w:ind w:left="788"/>
      </w:pPr>
      <w:r>
        <w:rPr>
          <w:color w:val="181816"/>
        </w:rPr>
        <w:t>三、持续深入推进农村人居环境整治</w:t>
      </w:r>
    </w:p>
    <w:p>
      <w:pPr>
        <w:pStyle w:val="2"/>
        <w:spacing w:before="215"/>
        <w:ind w:left="829"/>
      </w:pPr>
      <w:r>
        <w:rPr>
          <w:color w:val="181816"/>
        </w:rPr>
        <w:t>（一）推进农村生活污水治理。在总结目前农村污水治理工</w:t>
      </w:r>
    </w:p>
    <w:p>
      <w:pPr>
        <w:spacing w:after="0"/>
        <w:sectPr>
          <w:pgSz w:w="11910" w:h="16840"/>
          <w:pgMar w:top="1520" w:right="0" w:bottom="1040" w:left="1300" w:header="0" w:footer="743" w:gutter="0"/>
          <w:cols w:space="720" w:num="1"/>
        </w:sectPr>
      </w:pPr>
    </w:p>
    <w:p>
      <w:pPr>
        <w:pStyle w:val="2"/>
        <w:tabs>
          <w:tab w:val="left" w:pos="3426"/>
          <w:tab w:val="left" w:pos="5721"/>
          <w:tab w:val="left" w:pos="7344"/>
          <w:tab w:val="left" w:pos="7975"/>
          <w:tab w:val="left" w:pos="8786"/>
        </w:tabs>
        <w:spacing w:before="85" w:line="372" w:lineRule="auto"/>
        <w:ind w:left="206" w:right="1632" w:firstLine="8"/>
      </w:pPr>
      <w:r>
        <w:rPr>
          <w:color w:val="1A1A1A"/>
        </w:rPr>
        <w:t>作经验教训的基础上，按照因地制宜、分类实施的原则，科学</w:t>
      </w:r>
      <w:r>
        <w:rPr>
          <w:color w:val="1A1A1A"/>
          <w:w w:val="95"/>
        </w:rPr>
        <w:t>合理确定治理模</w:t>
      </w:r>
      <w:r>
        <w:rPr>
          <w:color w:val="1A1A1A"/>
          <w:spacing w:val="27"/>
          <w:w w:val="95"/>
        </w:rPr>
        <w:t>式</w:t>
      </w:r>
      <w:r>
        <w:rPr>
          <w:color w:val="424242"/>
          <w:spacing w:val="37"/>
          <w:w w:val="95"/>
        </w:rPr>
        <w:t>。</w:t>
      </w:r>
      <w:r>
        <w:rPr>
          <w:color w:val="1A1A1A"/>
          <w:w w:val="95"/>
        </w:rPr>
        <w:t>以巢湖流域一级保</w:t>
      </w:r>
      <w:r>
        <w:rPr>
          <w:color w:val="1A1A1A"/>
          <w:w w:val="90"/>
        </w:rPr>
        <w:t>护区为工作重点</w:t>
      </w:r>
      <w:r>
        <w:rPr>
          <w:color w:val="1A1A1A"/>
          <w:w w:val="80"/>
        </w:rPr>
        <w:t>，</w:t>
      </w:r>
      <w:r>
        <w:rPr>
          <w:color w:val="1A1A1A"/>
          <w:spacing w:val="-49"/>
          <w:w w:val="80"/>
        </w:rPr>
        <w:t xml:space="preserve"> </w:t>
      </w:r>
      <w:r>
        <w:rPr>
          <w:color w:val="1A1A1A"/>
        </w:rPr>
        <w:t>全面</w:t>
      </w:r>
      <w:r>
        <w:rPr>
          <w:color w:val="1A1A1A"/>
          <w:w w:val="95"/>
        </w:rPr>
        <w:t>推进农村</w:t>
      </w:r>
      <w:r>
        <w:rPr>
          <w:color w:val="1A1A1A"/>
          <w:spacing w:val="-109"/>
          <w:w w:val="95"/>
        </w:rPr>
        <w:t xml:space="preserve"> </w:t>
      </w:r>
      <w:r>
        <w:rPr>
          <w:color w:val="1A1A1A"/>
          <w:w w:val="95"/>
        </w:rPr>
        <w:t>生活污水治理</w:t>
      </w:r>
      <w:r>
        <w:rPr>
          <w:color w:val="424242"/>
          <w:spacing w:val="31"/>
          <w:w w:val="90"/>
        </w:rPr>
        <w:t>。</w:t>
      </w:r>
      <w:r>
        <w:rPr>
          <w:color w:val="1A1A1A"/>
          <w:w w:val="90"/>
        </w:rPr>
        <w:t>优先推广运行费用低、管</w:t>
      </w:r>
      <w:r>
        <w:rPr>
          <w:color w:val="1A1A1A"/>
          <w:w w:val="95"/>
        </w:rPr>
        <w:t>护简便的农</w:t>
      </w:r>
      <w:r>
        <w:rPr>
          <w:color w:val="1A1A1A"/>
        </w:rPr>
        <w:t>村生活污水治理技术，加强农村生活污水处理设施长效化运行</w:t>
      </w:r>
      <w:r>
        <w:rPr>
          <w:color w:val="1A1A1A"/>
          <w:w w:val="95"/>
        </w:rPr>
        <w:t>维</w:t>
      </w:r>
      <w:r>
        <w:rPr>
          <w:color w:val="1A1A1A"/>
          <w:spacing w:val="30"/>
          <w:w w:val="95"/>
        </w:rPr>
        <w:t>护</w:t>
      </w:r>
      <w:r>
        <w:rPr>
          <w:color w:val="424242"/>
          <w:spacing w:val="-7"/>
          <w:w w:val="95"/>
        </w:rPr>
        <w:t>。</w:t>
      </w:r>
      <w:r>
        <w:rPr>
          <w:color w:val="1A1A1A"/>
          <w:w w:val="95"/>
        </w:rPr>
        <w:t>以问题为导向</w:t>
      </w:r>
      <w:r>
        <w:rPr>
          <w:color w:val="1A1A1A"/>
          <w:spacing w:val="-68"/>
          <w:w w:val="95"/>
        </w:rPr>
        <w:t xml:space="preserve"> </w:t>
      </w:r>
      <w:r>
        <w:rPr>
          <w:color w:val="1A1A1A"/>
          <w:w w:val="80"/>
        </w:rPr>
        <w:t>，</w:t>
      </w:r>
      <w:r>
        <w:rPr>
          <w:color w:val="1A1A1A"/>
          <w:spacing w:val="-72"/>
          <w:w w:val="80"/>
        </w:rPr>
        <w:t xml:space="preserve"> </w:t>
      </w:r>
      <w:r>
        <w:rPr>
          <w:color w:val="1A1A1A"/>
          <w:w w:val="95"/>
        </w:rPr>
        <w:t>推</w:t>
      </w:r>
      <w:r>
        <w:rPr>
          <w:color w:val="1A1A1A"/>
          <w:spacing w:val="77"/>
          <w:w w:val="95"/>
        </w:rPr>
        <w:t>进</w:t>
      </w:r>
      <w:r>
        <w:rPr>
          <w:color w:val="1A1A1A"/>
          <w:spacing w:val="47"/>
          <w:w w:val="80"/>
        </w:rPr>
        <w:t>乡</w:t>
      </w:r>
      <w:r>
        <w:rPr>
          <w:color w:val="1A1A1A"/>
          <w:w w:val="95"/>
        </w:rPr>
        <w:t>镇政府驻地污水处理厂提质增效</w:t>
      </w:r>
      <w:r>
        <w:rPr>
          <w:color w:val="1A1A1A"/>
          <w:w w:val="55"/>
        </w:rPr>
        <w:t>，</w:t>
      </w:r>
      <w:r>
        <w:rPr>
          <w:color w:val="1A1A1A"/>
        </w:rPr>
        <w:t>加快补齐污水收集处理短板，全面提升乡镇污水处理厂运行质量和综合效益。结合农村生活污水、垃圾、养殖和种植业污染治理，采取控源截污、清淤疏浚、生态修复等措施，推进农村</w:t>
      </w:r>
      <w:r>
        <w:rPr>
          <w:color w:val="1A1A1A"/>
          <w:w w:val="90"/>
        </w:rPr>
        <w:t>黑臭水体综合治理</w:t>
      </w:r>
      <w:r>
        <w:rPr>
          <w:color w:val="1A1A1A"/>
          <w:spacing w:val="13"/>
          <w:w w:val="90"/>
        </w:rPr>
        <w:t xml:space="preserve"> </w:t>
      </w:r>
      <w:r>
        <w:rPr>
          <w:color w:val="424242"/>
          <w:spacing w:val="-81"/>
          <w:w w:val="90"/>
        </w:rPr>
        <w:t>。</w:t>
      </w:r>
      <w:r>
        <w:rPr>
          <w:color w:val="1A1A1A"/>
          <w:w w:val="90"/>
        </w:rPr>
        <w:t>（区生态环境分局、区农林水务局、区乡村</w:t>
      </w:r>
      <w:r>
        <w:rPr>
          <w:color w:val="1A1A1A"/>
        </w:rPr>
        <w:t>振兴局等按职责分工落实）</w:t>
      </w:r>
    </w:p>
    <w:p>
      <w:pPr>
        <w:pStyle w:val="2"/>
        <w:spacing w:before="210" w:line="372" w:lineRule="auto"/>
        <w:ind w:left="198" w:right="1606" w:firstLine="684"/>
        <w:jc w:val="both"/>
      </w:pPr>
      <w:r>
        <w:rPr>
          <w:color w:val="1A1A1A"/>
          <w:w w:val="95"/>
        </w:rPr>
        <w:t>（二）推进农村生活垃圾治理。推进生活垃圾收运与再生资</w:t>
      </w:r>
      <w:r>
        <w:rPr>
          <w:color w:val="1A1A1A"/>
          <w:spacing w:val="-1"/>
          <w:w w:val="95"/>
        </w:rPr>
        <w:t>源回收系统融合</w:t>
      </w:r>
      <w:r>
        <w:rPr>
          <w:color w:val="1A1A1A"/>
          <w:spacing w:val="-39"/>
          <w:w w:val="90"/>
        </w:rPr>
        <w:t>，</w:t>
      </w:r>
      <w:r>
        <w:rPr>
          <w:color w:val="1A1A1A"/>
          <w:spacing w:val="-10"/>
          <w:w w:val="95"/>
        </w:rPr>
        <w:t>健全农村生活垃圾收集、转运和处置体系</w:t>
      </w:r>
      <w:r>
        <w:rPr>
          <w:color w:val="424242"/>
          <w:w w:val="95"/>
        </w:rPr>
        <w:t>。</w:t>
      </w:r>
      <w:r>
        <w:rPr>
          <w:color w:val="1A1A1A"/>
          <w:spacing w:val="-7"/>
          <w:w w:val="95"/>
        </w:rPr>
        <w:t>持续推进农村生活垃圾分类和资源化利用试点示范</w:t>
      </w:r>
      <w:r>
        <w:rPr>
          <w:color w:val="424242"/>
          <w:spacing w:val="47"/>
          <w:w w:val="95"/>
        </w:rPr>
        <w:t>。</w:t>
      </w:r>
      <w:r>
        <w:rPr>
          <w:color w:val="1A1A1A"/>
          <w:spacing w:val="15"/>
          <w:w w:val="95"/>
        </w:rPr>
        <w:t>加快建立</w:t>
      </w:r>
      <w:r>
        <w:rPr>
          <w:color w:val="1A1A1A"/>
          <w:spacing w:val="15"/>
        </w:rPr>
        <w:t>以乡村回收站点为基础，县域或乡镇分拣中心为支撑的农村生活垃圾分类和资源化利用收运处置体系，积极推进再生资源回收利用网络与环卫清运网络整合。建立农村生活垃圾治理常态</w:t>
      </w:r>
      <w:r>
        <w:rPr>
          <w:color w:val="1A1A1A"/>
          <w:spacing w:val="13"/>
          <w:w w:val="95"/>
        </w:rPr>
        <w:t>化管理机制，推进市场化运作、专业化治理、信息化管理、群众</w:t>
      </w:r>
      <w:r>
        <w:rPr>
          <w:color w:val="1A1A1A"/>
          <w:spacing w:val="-6"/>
          <w:w w:val="95"/>
        </w:rPr>
        <w:t>化参与。到</w:t>
      </w:r>
      <w:r>
        <w:rPr>
          <w:rFonts w:ascii="Times New Roman" w:eastAsia="Times New Roman"/>
          <w:color w:val="1A1A1A"/>
          <w:w w:val="95"/>
          <w:sz w:val="31"/>
        </w:rPr>
        <w:t>2025</w:t>
      </w:r>
      <w:r>
        <w:rPr>
          <w:color w:val="1A1A1A"/>
          <w:spacing w:val="18"/>
          <w:w w:val="95"/>
        </w:rPr>
        <w:t>年</w:t>
      </w:r>
      <w:r>
        <w:rPr>
          <w:color w:val="1A1A1A"/>
          <w:spacing w:val="-37"/>
          <w:w w:val="90"/>
        </w:rPr>
        <w:t xml:space="preserve">， </w:t>
      </w:r>
      <w:r>
        <w:rPr>
          <w:color w:val="1A1A1A"/>
          <w:spacing w:val="-9"/>
          <w:w w:val="95"/>
        </w:rPr>
        <w:t>实现农村生活垃圾收运处置体系全覆盖。</w:t>
      </w:r>
    </w:p>
    <w:p>
      <w:pPr>
        <w:pStyle w:val="2"/>
        <w:spacing w:before="5" w:line="381" w:lineRule="auto"/>
        <w:ind w:left="192" w:right="1663" w:firstLine="41"/>
      </w:pPr>
      <w:r>
        <w:rPr>
          <w:color w:val="1A1A1A"/>
          <w:w w:val="95"/>
        </w:rPr>
        <w:t>（区城管局、区农林水务局、区乡村振兴局、区发改委、区生态</w:t>
      </w:r>
      <w:r>
        <w:rPr>
          <w:color w:val="1A1A1A"/>
        </w:rPr>
        <w:t>环境分局等按职责分工落实）</w:t>
      </w:r>
    </w:p>
    <w:p>
      <w:pPr>
        <w:pStyle w:val="2"/>
        <w:spacing w:line="380" w:lineRule="exact"/>
        <w:ind w:left="877"/>
      </w:pPr>
      <w:r>
        <w:rPr>
          <w:color w:val="1A1A1A"/>
          <w:w w:val="95"/>
        </w:rPr>
        <w:t>（三）实施美丽乡村建设。将生态环境保护规划与乡村振兴</w:t>
      </w:r>
    </w:p>
    <w:p>
      <w:pPr>
        <w:pStyle w:val="2"/>
        <w:spacing w:before="229"/>
        <w:ind w:left="195"/>
      </w:pPr>
      <w:r>
        <w:rPr>
          <w:color w:val="1A1A1A"/>
        </w:rPr>
        <w:t>规划、村庄发展规划、国土空间规划有效衔接，统筹编制“多</w:t>
      </w:r>
    </w:p>
    <w:p>
      <w:pPr>
        <w:spacing w:after="0"/>
        <w:sectPr>
          <w:pgSz w:w="11910" w:h="16840"/>
          <w:pgMar w:top="1580" w:right="0" w:bottom="940" w:left="1300" w:header="0" w:footer="743" w:gutter="0"/>
          <w:cols w:space="720" w:num="1"/>
        </w:sectPr>
      </w:pPr>
    </w:p>
    <w:p>
      <w:pPr>
        <w:pStyle w:val="2"/>
        <w:spacing w:before="37" w:line="372" w:lineRule="auto"/>
        <w:ind w:left="200" w:right="1660" w:firstLine="14"/>
        <w:jc w:val="both"/>
      </w:pPr>
      <w:r>
        <w:rPr>
          <w:color w:val="151313"/>
          <w:w w:val="95"/>
        </w:rPr>
        <w:t>规合一＂的简便、实用村庄规划。以农村生活垃圾和污水治理、</w:t>
      </w:r>
      <w:r>
        <w:rPr>
          <w:color w:val="151313"/>
        </w:rPr>
        <w:t>村容村貌提升为主攻方向，组织实施农村人居环境整治提升五</w:t>
      </w:r>
      <w:r>
        <w:rPr>
          <w:color w:val="151313"/>
          <w:w w:val="90"/>
        </w:rPr>
        <w:t>年行动。（区农林水务局、市资规局瑶海分局等按职责分工落实）</w:t>
      </w:r>
    </w:p>
    <w:p>
      <w:pPr>
        <w:pStyle w:val="2"/>
        <w:spacing w:before="6"/>
        <w:ind w:left="816"/>
      </w:pPr>
      <w:r>
        <w:rPr>
          <w:color w:val="151313"/>
        </w:rPr>
        <w:t>四、深入推进农业绿色发展</w:t>
      </w:r>
    </w:p>
    <w:p>
      <w:pPr>
        <w:pStyle w:val="2"/>
        <w:spacing w:before="220" w:line="374" w:lineRule="auto"/>
        <w:ind w:left="184" w:right="1667" w:firstLine="687"/>
        <w:jc w:val="both"/>
      </w:pPr>
      <w:r>
        <w:rPr>
          <w:color w:val="151313"/>
          <w:w w:val="95"/>
        </w:rPr>
        <w:t>（一）推进农业投入品减量化。以巢湖流域为重点，实施化</w:t>
      </w:r>
      <w:r>
        <w:rPr>
          <w:color w:val="151313"/>
        </w:rPr>
        <w:t>肥农药减量增效行动。在确保粮食生产安全前提下，化肥使用</w:t>
      </w:r>
      <w:r>
        <w:rPr>
          <w:color w:val="151313"/>
          <w:spacing w:val="-15"/>
          <w:w w:val="95"/>
        </w:rPr>
        <w:t xml:space="preserve">量实现负增长 </w:t>
      </w:r>
      <w:r>
        <w:rPr>
          <w:color w:val="151313"/>
          <w:spacing w:val="13"/>
          <w:w w:val="85"/>
        </w:rPr>
        <w:t>，</w:t>
      </w:r>
      <w:r>
        <w:rPr>
          <w:color w:val="151313"/>
          <w:spacing w:val="5"/>
          <w:w w:val="95"/>
        </w:rPr>
        <w:t xml:space="preserve">主要农作物测土配方施肥技术覆盖率稳定在 </w:t>
      </w:r>
      <w:r>
        <w:rPr>
          <w:rFonts w:ascii="Arial" w:eastAsia="Arial"/>
          <w:color w:val="151313"/>
          <w:w w:val="95"/>
          <w:sz w:val="29"/>
        </w:rPr>
        <w:t>90</w:t>
      </w:r>
      <w:r>
        <w:rPr>
          <w:rFonts w:ascii="Arial" w:eastAsia="Arial"/>
          <w:color w:val="151313"/>
          <w:spacing w:val="-62"/>
          <w:w w:val="95"/>
          <w:sz w:val="29"/>
        </w:rPr>
        <w:t xml:space="preserve"> </w:t>
      </w:r>
      <w:r>
        <w:rPr>
          <w:rFonts w:ascii="Arial" w:eastAsia="Arial"/>
          <w:color w:val="151313"/>
          <w:w w:val="85"/>
          <w:sz w:val="29"/>
        </w:rPr>
        <w:t xml:space="preserve">% </w:t>
      </w:r>
      <w:r>
        <w:rPr>
          <w:color w:val="151313"/>
        </w:rPr>
        <w:t>以上。加快推广应用高效低毒低残留农药、生物农药等绿色防</w:t>
      </w:r>
      <w:r>
        <w:rPr>
          <w:color w:val="151313"/>
          <w:w w:val="95"/>
        </w:rPr>
        <w:t>控技术，应用先进施药机械，推进专业化统防统治。（区农林水</w:t>
      </w:r>
      <w:r>
        <w:rPr>
          <w:color w:val="262626"/>
        </w:rPr>
        <w:t>务局负责）</w:t>
      </w:r>
    </w:p>
    <w:p>
      <w:pPr>
        <w:pStyle w:val="2"/>
        <w:spacing w:line="388" w:lineRule="exact"/>
        <w:ind w:left="863"/>
      </w:pPr>
      <w:r>
        <w:rPr>
          <w:color w:val="151313"/>
        </w:rPr>
        <w:t>（二）推进农业废弃物资源化。合理布局秸杆综合利用中心，</w:t>
      </w:r>
    </w:p>
    <w:p>
      <w:pPr>
        <w:pStyle w:val="2"/>
        <w:spacing w:before="224" w:line="372" w:lineRule="auto"/>
        <w:ind w:left="158" w:right="1684" w:firstLine="17"/>
      </w:pPr>
      <w:r>
        <w:rPr>
          <w:color w:val="151313"/>
        </w:rPr>
        <w:t>提升农作物秸杆综合利用水平。推广龙头企业带动产业化利用</w:t>
      </w:r>
      <w:r>
        <w:rPr>
          <w:color w:val="151313"/>
          <w:w w:val="95"/>
        </w:rPr>
        <w:t>模式，培育壮大秸杆离田、收储、运输、处置第三方服务主体。</w:t>
      </w:r>
      <w:r>
        <w:rPr>
          <w:color w:val="151313"/>
        </w:rPr>
        <w:t>建立农膜生产者、经营者、使用者废弃物回收延伸责任制度。鼓励采取押金制、有偿回收等措施，引导农药使用者交回农药包装废弃物。建立健全农膜和农药包装废弃物回收处理统一体系，实行“政府主导、市场运作、财政奖补、属地管理”。</w:t>
      </w:r>
    </w:p>
    <w:p>
      <w:pPr>
        <w:pStyle w:val="2"/>
        <w:tabs>
          <w:tab w:val="left" w:pos="1945"/>
        </w:tabs>
        <w:spacing w:line="374" w:lineRule="auto"/>
        <w:ind w:left="163" w:right="1702" w:firstLine="649"/>
      </w:pPr>
      <w:r>
        <w:rPr>
          <w:color w:val="151313"/>
        </w:rPr>
        <w:t>到</w:t>
      </w:r>
      <w:r>
        <w:rPr>
          <w:color w:val="151313"/>
          <w:spacing w:val="-97"/>
        </w:rPr>
        <w:t xml:space="preserve"> </w:t>
      </w:r>
      <w:r>
        <w:rPr>
          <w:rFonts w:ascii="Arial" w:eastAsia="Arial"/>
          <w:color w:val="151313"/>
          <w:sz w:val="29"/>
        </w:rPr>
        <w:t>2025</w:t>
      </w:r>
      <w:r>
        <w:rPr>
          <w:rFonts w:ascii="Arial" w:eastAsia="Arial"/>
          <w:color w:val="151313"/>
          <w:sz w:val="29"/>
        </w:rPr>
        <w:tab/>
      </w:r>
      <w:r>
        <w:rPr>
          <w:color w:val="151313"/>
          <w:spacing w:val="17"/>
          <w:w w:val="95"/>
        </w:rPr>
        <w:t>年</w:t>
      </w:r>
      <w:r>
        <w:rPr>
          <w:color w:val="151313"/>
          <w:w w:val="90"/>
        </w:rPr>
        <w:t>，</w:t>
      </w:r>
      <w:r>
        <w:rPr>
          <w:color w:val="151313"/>
          <w:spacing w:val="-73"/>
          <w:w w:val="90"/>
        </w:rPr>
        <w:t xml:space="preserve"> </w:t>
      </w:r>
      <w:r>
        <w:rPr>
          <w:color w:val="151313"/>
          <w:w w:val="95"/>
        </w:rPr>
        <w:t>农作物秸杆综合利用率达到</w:t>
      </w:r>
      <w:r>
        <w:rPr>
          <w:color w:val="151313"/>
          <w:spacing w:val="-70"/>
          <w:w w:val="95"/>
        </w:rPr>
        <w:t xml:space="preserve"> </w:t>
      </w:r>
      <w:r>
        <w:rPr>
          <w:rFonts w:ascii="Arial" w:eastAsia="Arial"/>
          <w:color w:val="151313"/>
          <w:spacing w:val="10"/>
          <w:w w:val="95"/>
          <w:sz w:val="29"/>
        </w:rPr>
        <w:t>95</w:t>
      </w:r>
      <w:r>
        <w:rPr>
          <w:color w:val="151313"/>
          <w:spacing w:val="10"/>
          <w:w w:val="95"/>
        </w:rPr>
        <w:t>％</w:t>
      </w:r>
      <w:r>
        <w:rPr>
          <w:color w:val="151313"/>
          <w:w w:val="95"/>
        </w:rPr>
        <w:t>以上。农药包</w:t>
      </w:r>
      <w:r>
        <w:rPr>
          <w:color w:val="151313"/>
          <w:w w:val="90"/>
        </w:rPr>
        <w:t>装废弃物（农膜）回收率达</w:t>
      </w:r>
      <w:r>
        <w:rPr>
          <w:color w:val="151313"/>
          <w:spacing w:val="-8"/>
          <w:w w:val="90"/>
        </w:rPr>
        <w:t>到</w:t>
      </w:r>
      <w:r>
        <w:rPr>
          <w:rFonts w:ascii="Times New Roman" w:eastAsia="Times New Roman"/>
          <w:color w:val="151313"/>
          <w:spacing w:val="6"/>
          <w:w w:val="90"/>
          <w:sz w:val="31"/>
        </w:rPr>
        <w:t>85</w:t>
      </w:r>
      <w:r>
        <w:rPr>
          <w:color w:val="151313"/>
          <w:spacing w:val="6"/>
          <w:w w:val="90"/>
        </w:rPr>
        <w:t>％</w:t>
      </w:r>
      <w:r>
        <w:rPr>
          <w:color w:val="151313"/>
          <w:w w:val="90"/>
        </w:rPr>
        <w:t>以上。（区农林水务局、区发</w:t>
      </w:r>
      <w:r>
        <w:rPr>
          <w:color w:val="151313"/>
          <w:spacing w:val="78"/>
          <w:w w:val="90"/>
        </w:rPr>
        <w:t xml:space="preserve"> </w:t>
      </w:r>
      <w:r>
        <w:rPr>
          <w:color w:val="151313"/>
          <w:spacing w:val="-15"/>
          <w:w w:val="90"/>
        </w:rPr>
        <w:t>改</w:t>
      </w:r>
      <w:r>
        <w:rPr>
          <w:color w:val="151313"/>
        </w:rPr>
        <w:t>委、区生态环境分局、区城管局等按职责分工落实）</w:t>
      </w:r>
    </w:p>
    <w:p>
      <w:pPr>
        <w:pStyle w:val="2"/>
        <w:spacing w:line="404" w:lineRule="exact"/>
        <w:ind w:left="802"/>
      </w:pPr>
      <w:r>
        <w:rPr>
          <w:color w:val="151313"/>
        </w:rPr>
        <w:t>五、加大农村生态环境保护修复力度</w:t>
      </w:r>
    </w:p>
    <w:p>
      <w:pPr>
        <w:pStyle w:val="2"/>
        <w:spacing w:before="222"/>
        <w:ind w:left="848"/>
      </w:pPr>
      <w:r>
        <w:rPr>
          <w:color w:val="151313"/>
        </w:rPr>
        <w:t>（一）推动系统保护和修复。实施重点生态功能区生态系统</w:t>
      </w:r>
    </w:p>
    <w:p>
      <w:pPr>
        <w:spacing w:after="0"/>
        <w:sectPr>
          <w:pgSz w:w="11910" w:h="16840"/>
          <w:pgMar w:top="1580" w:right="0" w:bottom="980" w:left="1300" w:header="0" w:footer="743" w:gutter="0"/>
          <w:cols w:space="720" w:num="1"/>
        </w:sectPr>
      </w:pPr>
    </w:p>
    <w:p>
      <w:pPr>
        <w:pStyle w:val="2"/>
        <w:spacing w:before="37" w:line="372" w:lineRule="auto"/>
        <w:ind w:left="206" w:right="1643" w:hanging="12"/>
        <w:jc w:val="both"/>
      </w:pPr>
      <w:r>
        <w:rPr>
          <w:color w:val="161616"/>
          <w:w w:val="95"/>
        </w:rPr>
        <w:t xml:space="preserve">保护和修复工程，开展国土绿化行动，推进水土流失综合治理， </w:t>
      </w:r>
      <w:r>
        <w:rPr>
          <w:color w:val="161616"/>
        </w:rPr>
        <w:t>巩固退耕还林成果。提升森林生态系统碳汇能力，推动林业碳</w:t>
      </w:r>
      <w:r>
        <w:rPr>
          <w:color w:val="161616"/>
          <w:w w:val="90"/>
        </w:rPr>
        <w:t xml:space="preserve">汇发展。强化湿地保护和恢复。（市资规局瑶海分局、区财政局、 </w:t>
      </w:r>
      <w:r>
        <w:rPr>
          <w:color w:val="161616"/>
          <w:w w:val="95"/>
        </w:rPr>
        <w:t>区发改委、区生态环境分局、区农林水务局等按职责分工落实）</w:t>
      </w:r>
    </w:p>
    <w:p>
      <w:pPr>
        <w:pStyle w:val="2"/>
        <w:spacing w:line="372" w:lineRule="auto"/>
        <w:ind w:left="159" w:right="1680" w:firstLine="708"/>
        <w:jc w:val="both"/>
      </w:pPr>
      <w:r>
        <w:rPr>
          <w:color w:val="161616"/>
          <w:w w:val="95"/>
        </w:rPr>
        <w:t>（二）加强农业面源污染治理与监督指导。系统开展巢湖流</w:t>
      </w:r>
      <w:r>
        <w:rPr>
          <w:color w:val="161616"/>
        </w:rPr>
        <w:t>域农业面源污染治理。全面摸排梳理巢湖流域农业面源污染构</w:t>
      </w:r>
      <w:r>
        <w:rPr>
          <w:color w:val="161616"/>
          <w:w w:val="95"/>
        </w:rPr>
        <w:t>成，建立分级分类工作台账，分析核算评估污染物种类、形态、</w:t>
      </w:r>
      <w:r>
        <w:rPr>
          <w:color w:val="161616"/>
        </w:rPr>
        <w:t>数量及其对入湖负荷造成的影响，构建巢湖流域农业面源污染大数据。确定流域农业面源污染优先治理区域，优化农业生产</w:t>
      </w:r>
      <w:r>
        <w:rPr>
          <w:color w:val="2A2828"/>
        </w:rPr>
        <w:t>空间布局，结合流域生态环境保护要求，分区分类采取治理措</w:t>
      </w:r>
      <w:r>
        <w:rPr>
          <w:color w:val="161616"/>
        </w:rPr>
        <w:t>施。（区农林水务局、区生态环境分局等按职责分工落实）</w:t>
      </w:r>
    </w:p>
    <w:p>
      <w:pPr>
        <w:pStyle w:val="2"/>
        <w:spacing w:before="2"/>
        <w:ind w:left="794"/>
      </w:pPr>
      <w:r>
        <w:rPr>
          <w:color w:val="161616"/>
        </w:rPr>
        <w:t>七、加强农用地土壤污染防治</w:t>
      </w:r>
    </w:p>
    <w:p>
      <w:pPr>
        <w:pStyle w:val="2"/>
        <w:spacing w:before="219" w:line="372" w:lineRule="auto"/>
        <w:ind w:left="127" w:right="1679" w:firstLine="707"/>
        <w:jc w:val="both"/>
      </w:pPr>
      <w:r>
        <w:rPr>
          <w:color w:val="161616"/>
          <w:w w:val="95"/>
        </w:rPr>
        <w:t>（一）强化受污染耕地安全利用和风险管控。实施农用地分</w:t>
      </w:r>
      <w:r>
        <w:rPr>
          <w:color w:val="161616"/>
        </w:rPr>
        <w:t>类管理，优先保护耕地土壤环境。根据耕地土壤环境质量类别划分成果，受污染耕地集中的地区开展污染溯源，因地制宜制定并实施安全利用方案，确保轻中度污染耕地基本实现安全利</w:t>
      </w:r>
      <w:r>
        <w:rPr>
          <w:color w:val="161616"/>
          <w:w w:val="95"/>
        </w:rPr>
        <w:t>用、重度污染耕地全部落实严格管控措施。（区农林水务局、区</w:t>
      </w:r>
      <w:r>
        <w:rPr>
          <w:color w:val="161616"/>
        </w:rPr>
        <w:t>生态环境分局、市资规局瑶海分局等按职责分工落实）</w:t>
      </w:r>
    </w:p>
    <w:p>
      <w:pPr>
        <w:pStyle w:val="2"/>
        <w:spacing w:before="12" w:line="372" w:lineRule="auto"/>
        <w:ind w:left="118" w:right="1708" w:firstLine="691"/>
        <w:jc w:val="both"/>
      </w:pPr>
      <w:r>
        <w:rPr>
          <w:color w:val="161616"/>
          <w:w w:val="95"/>
        </w:rPr>
        <w:t>（二）禁止污染农用地行为。禁止向农用地排放重金属或者</w:t>
      </w:r>
      <w:r>
        <w:rPr>
          <w:color w:val="161616"/>
        </w:rPr>
        <w:t>其他有毒有害物质含量超标的污水、污泥以及可能造成土壤污染的清淤底泥、尾矿、矿渣等；禁止将重金属或者其他有毒有害物质含量超标的工业固体废物、生活垃圾或者污染土壤用于</w:t>
      </w:r>
    </w:p>
    <w:p>
      <w:pPr>
        <w:spacing w:after="0" w:line="372" w:lineRule="auto"/>
        <w:jc w:val="both"/>
        <w:sectPr>
          <w:pgSz w:w="11910" w:h="16840"/>
          <w:pgMar w:top="1580" w:right="0" w:bottom="980" w:left="1300" w:header="0" w:footer="743" w:gutter="0"/>
          <w:cols w:space="720" w:num="1"/>
        </w:sectPr>
      </w:pPr>
    </w:p>
    <w:p>
      <w:pPr>
        <w:pStyle w:val="2"/>
        <w:spacing w:before="32" w:line="372" w:lineRule="auto"/>
        <w:ind w:left="218" w:right="1642" w:firstLine="22"/>
        <w:jc w:val="both"/>
      </w:pPr>
      <w:r>
        <w:rPr>
          <w:color w:val="161615"/>
        </w:rPr>
        <w:t>造田和土地复垦。未利用地、复垦土地等拟开垦为耕地的，应</w:t>
      </w:r>
      <w:r>
        <w:rPr>
          <w:color w:val="282826"/>
        </w:rPr>
        <w:t>依法开展土壤污染状况调查，不符合农用地土壤环境质量要求</w:t>
      </w:r>
      <w:r>
        <w:rPr>
          <w:color w:val="161615"/>
          <w:w w:val="95"/>
        </w:rPr>
        <w:t>的，严禁复垦为耕地。（区生态环境分局、区农林水务局、市资</w:t>
      </w:r>
      <w:r>
        <w:rPr>
          <w:color w:val="161615"/>
        </w:rPr>
        <w:t>规局瑶海分局、区城管局等按职责分工落实）</w:t>
      </w:r>
    </w:p>
    <w:p>
      <w:pPr>
        <w:pStyle w:val="2"/>
        <w:spacing w:line="372" w:lineRule="auto"/>
        <w:ind w:left="202" w:right="1639" w:firstLine="698"/>
        <w:jc w:val="both"/>
      </w:pPr>
      <w:r>
        <w:rPr>
          <w:color w:val="161615"/>
          <w:w w:val="95"/>
        </w:rPr>
        <w:t>（三）禁止落后产业向农村地区转移。落实生态保护红线管</w:t>
      </w:r>
      <w:r>
        <w:rPr>
          <w:color w:val="161615"/>
        </w:rPr>
        <w:t>控要求，强化准入管理和底线约束。健全以环评制度为主体的源头预防体系，严格规划环评审查和项目环评准入，坚持高标准承接产业转移，禁止违法将污染环境、破坏生态的产业、企业向农村地区转移。（区发改委、区经信局、市资规局瑶海分局、区生态环境分局、区农林水务局等按职责分工落实）</w:t>
      </w:r>
    </w:p>
    <w:p>
      <w:pPr>
        <w:pStyle w:val="2"/>
        <w:spacing w:line="372" w:lineRule="auto"/>
        <w:ind w:left="187" w:right="1631" w:firstLine="700"/>
      </w:pPr>
      <w:r>
        <w:rPr>
          <w:color w:val="161615"/>
          <w:w w:val="95"/>
        </w:rPr>
        <w:t>（四）</w:t>
      </w:r>
      <w:r>
        <w:rPr>
          <w:color w:val="161615"/>
          <w:spacing w:val="-1"/>
          <w:w w:val="95"/>
        </w:rPr>
        <w:t>依法打击污染非法转移行为。建立健全污染防控长效</w:t>
      </w:r>
      <w:r>
        <w:rPr>
          <w:color w:val="161615"/>
          <w:w w:val="90"/>
        </w:rPr>
        <w:t xml:space="preserve">机制，压紧压实乡镇（街道）、村（社区）网格化监管职责，及时 </w:t>
      </w:r>
      <w:r>
        <w:rPr>
          <w:color w:val="161615"/>
        </w:rPr>
        <w:t>发现、严厉打击违法将城镇生活垃圾、建筑垃圾、工业固体废物、危险废物、未经达标处理的城镇污水等向农村地区转移、倾倒、填埋。实行环境违法行为有奖举报，调动公众举报环境</w:t>
      </w:r>
      <w:r>
        <w:rPr>
          <w:color w:val="161615"/>
          <w:w w:val="95"/>
        </w:rPr>
        <w:t>违法行为的积极性。（区生态环境分局、市公安局瑶海分局、区</w:t>
      </w:r>
      <w:r>
        <w:rPr>
          <w:color w:val="161615"/>
        </w:rPr>
        <w:t>住建局、区城管局等按职责分工落实）</w:t>
      </w:r>
    </w:p>
    <w:p>
      <w:pPr>
        <w:pStyle w:val="2"/>
        <w:ind w:left="823"/>
      </w:pPr>
      <w:r>
        <w:rPr>
          <w:color w:val="161615"/>
        </w:rPr>
        <w:t>七、推进生态价值转化</w:t>
      </w:r>
    </w:p>
    <w:p>
      <w:pPr>
        <w:pStyle w:val="2"/>
        <w:spacing w:before="224" w:line="372" w:lineRule="auto"/>
        <w:ind w:left="168" w:right="1655" w:firstLine="695"/>
        <w:jc w:val="both"/>
      </w:pPr>
      <w:r>
        <w:rPr>
          <w:color w:val="161615"/>
          <w:w w:val="95"/>
        </w:rPr>
        <w:t>（一）打造高质量农产品生产加工供应基地。建设一批标准</w:t>
      </w:r>
      <w:r>
        <w:rPr>
          <w:color w:val="161615"/>
        </w:rPr>
        <w:t>化、集约化、规模化的绿色和有机农业示范基地，发展绿色农业。开展生态循环农业示范行动，合理布局生态循环产业和生产模式，集成推广生态循环农业技术。（区农林水务局、区市</w:t>
      </w:r>
    </w:p>
    <w:p>
      <w:pPr>
        <w:spacing w:after="0" w:line="372" w:lineRule="auto"/>
        <w:jc w:val="both"/>
        <w:sectPr>
          <w:pgSz w:w="11910" w:h="16840"/>
          <w:pgMar w:top="1580" w:right="0" w:bottom="980" w:left="1300" w:header="0" w:footer="743" w:gutter="0"/>
          <w:cols w:space="720" w:num="1"/>
        </w:sectPr>
      </w:pPr>
    </w:p>
    <w:p>
      <w:pPr>
        <w:pStyle w:val="2"/>
        <w:spacing w:before="71"/>
        <w:ind w:left="203"/>
      </w:pPr>
      <w:r>
        <w:rPr>
          <w:color w:val="161616"/>
        </w:rPr>
        <w:t>场监督管理局等按职责分工落实）</w:t>
      </w:r>
    </w:p>
    <w:p>
      <w:pPr>
        <w:pStyle w:val="2"/>
        <w:spacing w:before="219" w:line="374" w:lineRule="auto"/>
        <w:ind w:left="178" w:right="1663" w:firstLine="698"/>
        <w:jc w:val="both"/>
      </w:pPr>
      <w:r>
        <w:rPr>
          <w:color w:val="161616"/>
          <w:w w:val="95"/>
        </w:rPr>
        <w:t>（二）发展乡村特色生态产业。发挥优美自然资源和人文底</w:t>
      </w:r>
      <w:r>
        <w:rPr>
          <w:color w:val="161616"/>
        </w:rPr>
        <w:t>蕴优势，合法合规开展生态旅游、自然教育、研学体验、生态康养、特色加工业和特色服务业等活动，培育绿色生态环保的</w:t>
      </w:r>
      <w:r>
        <w:rPr>
          <w:color w:val="161616"/>
          <w:w w:val="95"/>
        </w:rPr>
        <w:t>乡村生态产业链，建设一批具有代表性的乡村特色旅游示范点、试点村，创建一批乡村生态旅游品牌。（区乡村生态振兴专项小</w:t>
      </w:r>
      <w:r>
        <w:rPr>
          <w:color w:val="161616"/>
        </w:rPr>
        <w:t>组各成员单位按职责分工落实）</w:t>
      </w:r>
    </w:p>
    <w:p>
      <w:pPr>
        <w:pStyle w:val="2"/>
        <w:spacing w:line="393" w:lineRule="exact"/>
        <w:ind w:left="807"/>
      </w:pPr>
      <w:r>
        <w:rPr>
          <w:color w:val="161616"/>
        </w:rPr>
        <w:t>八、推进乡村生态振兴信息化建设</w:t>
      </w:r>
    </w:p>
    <w:p>
      <w:pPr>
        <w:pStyle w:val="2"/>
        <w:spacing w:before="225" w:line="372" w:lineRule="auto"/>
        <w:ind w:left="150" w:right="1669" w:firstLine="698"/>
        <w:jc w:val="both"/>
      </w:pPr>
      <w:r>
        <w:rPr>
          <w:color w:val="161616"/>
          <w:w w:val="95"/>
        </w:rPr>
        <w:t>（一）加强农村环境整治信息化管理。推进巢湖流域农业面</w:t>
      </w:r>
      <w:r>
        <w:rPr>
          <w:color w:val="161616"/>
        </w:rPr>
        <w:t>源治理，探索建立智能管理系统。推进农村人居环境整治、农业废弃物综合利用、农业投入品监管、农业生产资料信息追溯</w:t>
      </w:r>
      <w:r>
        <w:rPr>
          <w:color w:val="161616"/>
          <w:w w:val="95"/>
        </w:rPr>
        <w:t>监管数字化，全面提升乡村生态振兴数字化水平。（区农林水务</w:t>
      </w:r>
      <w:r>
        <w:rPr>
          <w:color w:val="161616"/>
        </w:rPr>
        <w:t>局、区生态环境分局、区数据资源局、区乡村振兴局等按职责分工落实）</w:t>
      </w:r>
    </w:p>
    <w:p>
      <w:pPr>
        <w:pStyle w:val="2"/>
        <w:spacing w:line="374" w:lineRule="auto"/>
        <w:ind w:left="134" w:right="1670" w:firstLine="695"/>
        <w:jc w:val="both"/>
      </w:pPr>
      <w:r>
        <w:rPr>
          <w:color w:val="161616"/>
          <w:w w:val="95"/>
        </w:rPr>
        <w:t>（二）开展严格管控类耕地遥感监测。探索建立严格管控类</w:t>
      </w:r>
      <w:r>
        <w:rPr>
          <w:color w:val="161616"/>
          <w:w w:val="90"/>
        </w:rPr>
        <w:t xml:space="preserve">耕地信息化监管平台，实行全市严格管控类耕地管理”一张图”。  </w:t>
      </w:r>
      <w:r>
        <w:rPr>
          <w:color w:val="161616"/>
          <w:spacing w:val="-1"/>
          <w:w w:val="95"/>
        </w:rPr>
        <w:t>定期比对遥感监测图片，研判分析严格管控措施落实情况。对于</w:t>
      </w:r>
      <w:r>
        <w:rPr>
          <w:color w:val="161616"/>
        </w:rPr>
        <w:t>未落实严格管控措施的，开展现场核查，并依法采取必要的措</w:t>
      </w:r>
      <w:r>
        <w:rPr>
          <w:color w:val="161616"/>
          <w:w w:val="95"/>
        </w:rPr>
        <w:t>施。（</w:t>
      </w:r>
      <w:r>
        <w:rPr>
          <w:color w:val="161616"/>
          <w:spacing w:val="-1"/>
          <w:w w:val="95"/>
        </w:rPr>
        <w:t xml:space="preserve">市资规局瑶海分局、区农林水务局、区生态环境分局、区 </w:t>
      </w:r>
      <w:r>
        <w:rPr>
          <w:color w:val="161616"/>
        </w:rPr>
        <w:t>数据资源局等按职责分工落实）</w:t>
      </w:r>
    </w:p>
    <w:p>
      <w:pPr>
        <w:pStyle w:val="2"/>
        <w:spacing w:line="398" w:lineRule="exact"/>
        <w:ind w:left="766"/>
      </w:pPr>
      <w:r>
        <mc:AlternateContent>
          <mc:Choice Requires="wps">
            <w:drawing>
              <wp:anchor distT="0" distB="0" distL="114300" distR="114300" simplePos="0" relativeHeight="251663360" behindDoc="0" locked="0" layoutInCell="1" allowOverlap="1">
                <wp:simplePos x="0" y="0"/>
                <wp:positionH relativeFrom="page">
                  <wp:posOffset>7458075</wp:posOffset>
                </wp:positionH>
                <wp:positionV relativeFrom="paragraph">
                  <wp:posOffset>121285</wp:posOffset>
                </wp:positionV>
                <wp:extent cx="118745" cy="167640"/>
                <wp:effectExtent l="0" t="0" r="0" b="0"/>
                <wp:wrapNone/>
                <wp:docPr id="8" name="文本框 4"/>
                <wp:cNvGraphicFramePr/>
                <a:graphic xmlns:a="http://schemas.openxmlformats.org/drawingml/2006/main">
                  <a:graphicData uri="http://schemas.microsoft.com/office/word/2010/wordprocessingShape">
                    <wps:wsp>
                      <wps:cNvSpPr txBox="1"/>
                      <wps:spPr>
                        <a:xfrm>
                          <a:off x="0" y="0"/>
                          <a:ext cx="118745" cy="167640"/>
                        </a:xfrm>
                        <a:prstGeom prst="rect">
                          <a:avLst/>
                        </a:prstGeom>
                        <a:noFill/>
                        <a:ln>
                          <a:noFill/>
                        </a:ln>
                      </wps:spPr>
                      <wps:txbx>
                        <w:txbxContent>
                          <w:p>
                            <w:pPr>
                              <w:spacing w:before="0" w:line="96" w:lineRule="auto"/>
                              <w:ind w:left="94" w:right="0" w:firstLine="0"/>
                              <w:jc w:val="left"/>
                              <w:rPr>
                                <w:sz w:val="8"/>
                              </w:rPr>
                            </w:pPr>
                            <w:r>
                              <w:rPr>
                                <w:color w:val="DDB3A5"/>
                                <w:spacing w:val="-57"/>
                                <w:w w:val="99"/>
                                <w:position w:val="1"/>
                                <w:sz w:val="8"/>
                              </w:rPr>
                              <w:t>,</w:t>
                            </w:r>
                            <w:r>
                              <w:rPr>
                                <w:color w:val="DB8C8E"/>
                                <w:w w:val="99"/>
                                <w:sz w:val="8"/>
                              </w:rPr>
                              <w:t>·</w:t>
                            </w:r>
                          </w:p>
                          <w:p>
                            <w:pPr>
                              <w:spacing w:before="0"/>
                              <w:ind w:left="20" w:right="0" w:firstLine="0"/>
                              <w:jc w:val="left"/>
                              <w:rPr>
                                <w:sz w:val="6"/>
                              </w:rPr>
                            </w:pPr>
                            <w:r>
                              <w:rPr>
                                <w:color w:val="D17974"/>
                                <w:w w:val="99"/>
                                <w:position w:val="2"/>
                                <w:sz w:val="7"/>
                              </w:rPr>
                              <w:t>.</w:t>
                            </w:r>
                            <w:r>
                              <w:rPr>
                                <w:color w:val="D17974"/>
                                <w:spacing w:val="-16"/>
                                <w:position w:val="2"/>
                                <w:sz w:val="7"/>
                              </w:rPr>
                              <w:t xml:space="preserve"> </w:t>
                            </w:r>
                            <w:r>
                              <w:rPr>
                                <w:color w:val="E8A1A7"/>
                                <w:spacing w:val="3"/>
                                <w:w w:val="99"/>
                                <w:position w:val="1"/>
                                <w:sz w:val="7"/>
                              </w:rPr>
                              <w:t>1</w:t>
                            </w:r>
                            <w:r>
                              <w:rPr>
                                <w:color w:val="E8A1A7"/>
                                <w:w w:val="99"/>
                                <w:sz w:val="6"/>
                              </w:rPr>
                              <w:t>公</w:t>
                            </w:r>
                          </w:p>
                        </w:txbxContent>
                      </wps:txbx>
                      <wps:bodyPr vert="eaVert" lIns="0" tIns="0" rIns="0" bIns="0" upright="1"/>
                    </wps:wsp>
                  </a:graphicData>
                </a:graphic>
              </wp:anchor>
            </w:drawing>
          </mc:Choice>
          <mc:Fallback>
            <w:pict>
              <v:shape id="文本框 4" o:spid="_x0000_s1026" o:spt="202" type="#_x0000_t202" style="position:absolute;left:0pt;margin-left:587.25pt;margin-top:9.55pt;height:13.2pt;width:9.35pt;mso-position-horizontal-relative:page;z-index:251663360;mso-width-relative:page;mso-height-relative:page;" filled="f" stroked="f" coordsize="21600,21600" o:gfxdata="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oZAeYtcAAAALAQAADwAAAAAAAAABACAAAAAiAAAAZHJzL2Rvd25yZXYu&#10;eG1sUEsBAhQAFAAAAAgAh07iQCXVY+3DAQAAfwMAAA4AAAAAAAAAAQAgAAAAJgEAAGRycy9lMm9E&#10;b2MueG1sUEsFBgAAAAAGAAYAWQEAAFsFAAAAAA==&#10;">
                <v:fill on="f" focussize="0,0"/>
                <v:stroke on="f"/>
                <v:imagedata o:title=""/>
                <o:lock v:ext="edit" aspectratio="f"/>
                <v:textbox inset="0mm,0mm,0mm,0mm" style="layout-flow:vertical-ideographic;">
                  <w:txbxContent>
                    <w:p>
                      <w:pPr>
                        <w:spacing w:before="0" w:line="96" w:lineRule="auto"/>
                        <w:ind w:left="94" w:right="0" w:firstLine="0"/>
                        <w:jc w:val="left"/>
                        <w:rPr>
                          <w:sz w:val="8"/>
                        </w:rPr>
                      </w:pPr>
                      <w:r>
                        <w:rPr>
                          <w:color w:val="DDB3A5"/>
                          <w:spacing w:val="-57"/>
                          <w:w w:val="99"/>
                          <w:position w:val="1"/>
                          <w:sz w:val="8"/>
                        </w:rPr>
                        <w:t>,</w:t>
                      </w:r>
                      <w:r>
                        <w:rPr>
                          <w:color w:val="DB8C8E"/>
                          <w:w w:val="99"/>
                          <w:sz w:val="8"/>
                        </w:rPr>
                        <w:t>·</w:t>
                      </w:r>
                    </w:p>
                    <w:p>
                      <w:pPr>
                        <w:spacing w:before="0"/>
                        <w:ind w:left="20" w:right="0" w:firstLine="0"/>
                        <w:jc w:val="left"/>
                        <w:rPr>
                          <w:sz w:val="6"/>
                        </w:rPr>
                      </w:pPr>
                      <w:r>
                        <w:rPr>
                          <w:color w:val="D17974"/>
                          <w:w w:val="99"/>
                          <w:position w:val="2"/>
                          <w:sz w:val="7"/>
                        </w:rPr>
                        <w:t>.</w:t>
                      </w:r>
                      <w:r>
                        <w:rPr>
                          <w:color w:val="D17974"/>
                          <w:spacing w:val="-16"/>
                          <w:position w:val="2"/>
                          <w:sz w:val="7"/>
                        </w:rPr>
                        <w:t xml:space="preserve"> </w:t>
                      </w:r>
                      <w:r>
                        <w:rPr>
                          <w:color w:val="E8A1A7"/>
                          <w:spacing w:val="3"/>
                          <w:w w:val="99"/>
                          <w:position w:val="1"/>
                          <w:sz w:val="7"/>
                        </w:rPr>
                        <w:t>1</w:t>
                      </w:r>
                      <w:r>
                        <w:rPr>
                          <w:color w:val="E8A1A7"/>
                          <w:w w:val="99"/>
                          <w:sz w:val="6"/>
                        </w:rPr>
                        <w:t>公</w:t>
                      </w:r>
                    </w:p>
                  </w:txbxContent>
                </v:textbox>
              </v:shape>
            </w:pict>
          </mc:Fallback>
        </mc:AlternateContent>
      </w:r>
      <w:r>
        <w:rPr>
          <w:color w:val="161616"/>
          <w:w w:val="95"/>
        </w:rPr>
        <w:t>九、提升乡村生态文明理念</w:t>
      </w:r>
    </w:p>
    <w:p>
      <w:pPr>
        <w:pStyle w:val="2"/>
        <w:spacing w:before="222"/>
        <w:ind w:left="805"/>
      </w:pPr>
      <w:r>
        <w:rPr>
          <w:color w:val="161616"/>
        </w:rPr>
        <w:t>（一）培育乡村生态文化。加强生态阵地建设，打造以文化</w:t>
      </w:r>
    </w:p>
    <w:p>
      <w:pPr>
        <w:spacing w:after="0"/>
        <w:sectPr>
          <w:pgSz w:w="11910" w:h="16840"/>
          <w:pgMar w:top="1580" w:right="0" w:bottom="940" w:left="1300" w:header="0" w:footer="743" w:gutter="0"/>
          <w:cols w:space="720" w:num="1"/>
        </w:sectPr>
      </w:pPr>
    </w:p>
    <w:p>
      <w:pPr>
        <w:pStyle w:val="2"/>
        <w:spacing w:before="42" w:line="372" w:lineRule="auto"/>
        <w:ind w:left="222" w:right="1621" w:firstLine="11"/>
        <w:jc w:val="both"/>
      </w:pPr>
      <w:r>
        <w:rPr>
          <w:color w:val="161616"/>
        </w:rPr>
        <w:t>传承为主题的乡村生态文化品牌。将生态文化培育作为文明村镇创建的重要内容。鼓励各地争创美丽乡村景观带、历史文化名镇名村景观提升等项目。开展美丽宜居村庄、最美庭院创建活动，讲好绿色家风家训故事。（区乡村生态振兴专项小组各成员单位按职责分工落实）</w:t>
      </w:r>
    </w:p>
    <w:p>
      <w:pPr>
        <w:pStyle w:val="2"/>
        <w:spacing w:line="372" w:lineRule="auto"/>
        <w:ind w:left="198" w:right="1633" w:firstLine="703"/>
        <w:jc w:val="both"/>
      </w:pPr>
      <w:r>
        <w:rPr>
          <w:color w:val="161616"/>
          <w:w w:val="95"/>
        </w:rPr>
        <w:t>（二）加强生态文化宣传。充分利用区级媒体，宣传普及乡</w:t>
      </w:r>
      <w:r>
        <w:rPr>
          <w:color w:val="161616"/>
        </w:rPr>
        <w:t>村生态振兴知识，将乡村生态保护纳入村规民约加以固化，增强公众生态环境意识和责任意识。推广绿色生产生活方式，形成全社会共同推动乡村生态振兴的良好氛围。开展农业面源污</w:t>
      </w:r>
      <w:r>
        <w:rPr>
          <w:color w:val="282828"/>
        </w:rPr>
        <w:t>染防治、农村人居环境整治、农业绿色发展、农业信息管理等</w:t>
      </w:r>
      <w:r>
        <w:rPr>
          <w:color w:val="282828"/>
          <w:w w:val="95"/>
        </w:rPr>
        <w:t>政策和技术培训。（区乡村生态振兴专项小组各成员单位按职责</w:t>
      </w:r>
      <w:r>
        <w:rPr>
          <w:color w:val="282828"/>
        </w:rPr>
        <w:t>分工落实）</w:t>
      </w:r>
    </w:p>
    <w:p>
      <w:pPr>
        <w:spacing w:before="11"/>
        <w:ind w:left="836" w:right="0" w:firstLine="0"/>
        <w:jc w:val="left"/>
        <w:rPr>
          <w:sz w:val="30"/>
        </w:rPr>
      </w:pPr>
      <w:r>
        <w:rPr>
          <w:color w:val="161616"/>
          <w:w w:val="105"/>
          <w:sz w:val="30"/>
        </w:rPr>
        <w:t>十、保障措施</w:t>
      </w:r>
    </w:p>
    <w:p>
      <w:pPr>
        <w:pStyle w:val="2"/>
        <w:spacing w:before="230" w:line="374" w:lineRule="auto"/>
        <w:ind w:left="189" w:right="1640" w:firstLine="687"/>
        <w:jc w:val="both"/>
      </w:pPr>
      <w:r>
        <w:rPr>
          <w:color w:val="161616"/>
          <w:w w:val="95"/>
        </w:rPr>
        <w:t>（一）加强组织领导。区乡村生态振兴专项小组加强组织协调，区生态环境分局做好牵头抓总，成员单位各负其责，共同推</w:t>
      </w:r>
      <w:r>
        <w:rPr>
          <w:color w:val="161616"/>
        </w:rPr>
        <w:t>动乡村生态振兴工作。</w:t>
      </w:r>
    </w:p>
    <w:p>
      <w:pPr>
        <w:pStyle w:val="2"/>
        <w:spacing w:line="374" w:lineRule="auto"/>
        <w:ind w:left="173" w:right="1655" w:firstLine="689"/>
        <w:jc w:val="both"/>
      </w:pPr>
      <w:r>
        <w:rPr>
          <w:color w:val="161616"/>
          <w:w w:val="95"/>
        </w:rPr>
        <w:t>（二）</w:t>
      </w:r>
      <w:r>
        <w:rPr>
          <w:color w:val="161616"/>
          <w:spacing w:val="-1"/>
          <w:w w:val="95"/>
        </w:rPr>
        <w:t>加大资金投入。坚持把生态环保投入放在重要位置优</w:t>
      </w:r>
      <w:r>
        <w:rPr>
          <w:color w:val="161616"/>
        </w:rPr>
        <w:t>先保障，统筹各类涉农资金推动乡村生态振兴。区级各项涉农</w:t>
      </w:r>
      <w:r>
        <w:rPr>
          <w:color w:val="282828"/>
        </w:rPr>
        <w:t>资金应重点支持农村生活污水治理、农村人居环境整治、农药</w:t>
      </w:r>
    </w:p>
    <w:p>
      <w:pPr>
        <w:pStyle w:val="2"/>
        <w:spacing w:line="372" w:lineRule="auto"/>
        <w:ind w:left="171" w:right="1683" w:firstLine="38"/>
      </w:pPr>
      <w:r>
        <w:rPr>
          <w:color w:val="161616"/>
          <w:w w:val="95"/>
        </w:rPr>
        <w:t>（废旧农膜）包装废弃物回收处置等工作。构建公共财政支持、</w:t>
      </w:r>
      <w:r>
        <w:rPr>
          <w:color w:val="161616"/>
          <w:spacing w:val="-1"/>
        </w:rPr>
        <w:t>责任主体自筹和社会资金参与的多元化投入格局，鼓励采用生态环境导向开发等模式，推动生态环境治理类项目与区域开发</w:t>
      </w:r>
    </w:p>
    <w:p>
      <w:pPr>
        <w:spacing w:after="0" w:line="372" w:lineRule="auto"/>
        <w:sectPr>
          <w:pgSz w:w="11910" w:h="16840"/>
          <w:pgMar w:top="1580" w:right="0" w:bottom="980" w:left="1300" w:header="0" w:footer="743" w:gutter="0"/>
          <w:cols w:space="720" w:num="1"/>
        </w:sectPr>
      </w:pPr>
    </w:p>
    <w:p>
      <w:pPr>
        <w:pStyle w:val="2"/>
        <w:spacing w:before="52"/>
        <w:ind w:left="213"/>
      </w:pPr>
      <w:r>
        <w:rPr>
          <w:color w:val="181818"/>
        </w:rPr>
        <w:t>等经营性项目同步设计、一体实施，实现环境效益与经济效益</w:t>
      </w:r>
    </w:p>
    <w:p>
      <w:pPr>
        <w:spacing w:before="244"/>
        <w:ind w:left="198" w:right="0" w:firstLine="0"/>
        <w:jc w:val="left"/>
        <w:rPr>
          <w:sz w:val="29"/>
        </w:rPr>
      </w:pPr>
      <w:r>
        <w:rPr>
          <w:color w:val="181818"/>
          <w:w w:val="105"/>
          <w:sz w:val="29"/>
        </w:rPr>
        <w:t>双赢</w:t>
      </w:r>
      <w:r>
        <w:rPr>
          <w:color w:val="3A3838"/>
          <w:w w:val="105"/>
          <w:sz w:val="29"/>
        </w:rPr>
        <w:t>。</w:t>
      </w:r>
    </w:p>
    <w:p>
      <w:pPr>
        <w:pStyle w:val="2"/>
        <w:spacing w:before="233" w:line="374" w:lineRule="auto"/>
        <w:ind w:left="169" w:right="1664" w:firstLine="698"/>
        <w:jc w:val="both"/>
      </w:pPr>
      <w:r>
        <w:rPr>
          <w:color w:val="181818"/>
          <w:w w:val="95"/>
        </w:rPr>
        <w:t>（三）强化科技支撑。建立健全农村生态环境质量改善、生</w:t>
      </w:r>
      <w:r>
        <w:rPr>
          <w:color w:val="181818"/>
        </w:rPr>
        <w:t>态环境风险防控与智慧监管等技术支撑体系。利用“山水林田湖草”统筹治理、巢湖综合治理等工程，开展农村生态环境保护与生态修复技术集成与应用示范研究。总结推广农村污水治理等农村人居环境整治实用技术。</w:t>
      </w:r>
    </w:p>
    <w:p>
      <w:pPr>
        <w:pStyle w:val="2"/>
        <w:spacing w:line="372" w:lineRule="auto"/>
        <w:ind w:left="147" w:right="1674" w:firstLine="696"/>
        <w:jc w:val="both"/>
      </w:pPr>
      <w:r>
        <w:rPr>
          <w:color w:val="181818"/>
          <w:w w:val="95"/>
        </w:rPr>
        <w:t>（四）</w:t>
      </w:r>
      <w:r>
        <w:rPr>
          <w:color w:val="181818"/>
          <w:spacing w:val="-1"/>
          <w:w w:val="95"/>
        </w:rPr>
        <w:t>严格监督管理。强化综合执法监管，依法严厉打击环</w:t>
      </w:r>
      <w:r>
        <w:rPr>
          <w:color w:val="181818"/>
        </w:rPr>
        <w:t>境违法行为，形成乡村生态振兴统筹谋划、合力推动、全过程</w:t>
      </w:r>
      <w:r>
        <w:rPr>
          <w:color w:val="181818"/>
          <w:spacing w:val="-11"/>
          <w:w w:val="95"/>
        </w:rPr>
        <w:t xml:space="preserve">监管、全面落实的工作格局 </w:t>
      </w:r>
      <w:r>
        <w:rPr>
          <w:color w:val="3A3838"/>
          <w:spacing w:val="47"/>
          <w:w w:val="95"/>
        </w:rPr>
        <w:t>。</w:t>
      </w:r>
      <w:r>
        <w:rPr>
          <w:color w:val="181818"/>
          <w:spacing w:val="8"/>
          <w:w w:val="95"/>
        </w:rPr>
        <w:t>加强乡村生态振兴重点任务实施</w:t>
      </w:r>
    </w:p>
    <w:p>
      <w:pPr>
        <w:pStyle w:val="2"/>
        <w:spacing w:line="372" w:lineRule="auto"/>
        <w:ind w:left="132" w:right="1724" w:firstLine="11"/>
      </w:pPr>
      <w:r>
        <w:rPr>
          <w:color w:val="181818"/>
        </w:rPr>
        <w:t xml:space="preserve">考核监督和激励约束，明确责任主体、进度安排和成效要求， </w:t>
      </w:r>
      <w:r>
        <w:rPr>
          <w:color w:val="181818"/>
          <w:spacing w:val="-1"/>
        </w:rPr>
        <w:t>建立科学的乡村生态振兴评价指标体系，推动将乡村生态振兴</w:t>
      </w:r>
      <w:r>
        <w:rPr>
          <w:color w:val="181818"/>
          <w:spacing w:val="-13"/>
          <w:w w:val="95"/>
        </w:rPr>
        <w:t>工作纳入领导班子和领导</w:t>
      </w:r>
      <w:r>
        <w:rPr>
          <w:rFonts w:hint="eastAsia"/>
          <w:color w:val="181818"/>
          <w:spacing w:val="-13"/>
          <w:w w:val="95"/>
        </w:rPr>
        <w:t>干部</w:t>
      </w:r>
      <w:r>
        <w:rPr>
          <w:color w:val="181818"/>
          <w:spacing w:val="-13"/>
          <w:w w:val="95"/>
        </w:rPr>
        <w:t xml:space="preserve">综合考核 </w:t>
      </w:r>
      <w:r>
        <w:rPr>
          <w:color w:val="3A3838"/>
          <w:spacing w:val="-60"/>
          <w:w w:val="95"/>
        </w:rPr>
        <w:t xml:space="preserve">。 </w:t>
      </w:r>
      <w:r>
        <w:rPr>
          <w:color w:val="181818"/>
          <w:spacing w:val="-12"/>
          <w:w w:val="95"/>
        </w:rPr>
        <w:t>将农村生态环境保护突出问题纳入生态环境保护专项检查范畴，严格督办约谈问责。</w:t>
      </w:r>
    </w:p>
    <w:p>
      <w:pPr>
        <w:spacing w:after="0" w:line="372" w:lineRule="auto"/>
        <w:sectPr>
          <w:pgSz w:w="11910" w:h="16840"/>
          <w:pgMar w:top="1580" w:right="0" w:bottom="960" w:left="1300" w:header="0" w:footer="743" w:gutter="0"/>
          <w:cols w:space="720" w:num="1"/>
        </w:sect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spacing w:before="7"/>
        <w:rPr>
          <w:sz w:val="29"/>
        </w:rPr>
      </w:pPr>
    </w:p>
    <w:p>
      <w:pPr>
        <w:pStyle w:val="2"/>
        <w:spacing w:line="20" w:lineRule="exact"/>
        <w:ind w:left="384"/>
        <w:rPr>
          <w:sz w:val="2"/>
        </w:rPr>
      </w:pPr>
      <w:r>
        <w:rPr>
          <w:sz w:val="2"/>
        </w:rPr>
        <mc:AlternateContent>
          <mc:Choice Requires="wpg">
            <w:drawing>
              <wp:inline distT="0" distB="0" distL="114300" distR="114300">
                <wp:extent cx="5638800" cy="9525"/>
                <wp:effectExtent l="0" t="0" r="0" b="0"/>
                <wp:docPr id="6" name="组合 5"/>
                <wp:cNvGraphicFramePr/>
                <a:graphic xmlns:a="http://schemas.openxmlformats.org/drawingml/2006/main">
                  <a:graphicData uri="http://schemas.microsoft.com/office/word/2010/wordprocessingGroup">
                    <wpg:wgp>
                      <wpg:cNvGrpSpPr/>
                      <wpg:grpSpPr>
                        <a:xfrm>
                          <a:off x="0" y="0"/>
                          <a:ext cx="5638800" cy="9525"/>
                          <a:chOff x="0" y="0"/>
                          <a:chExt cx="8880" cy="15"/>
                        </a:xfrm>
                      </wpg:grpSpPr>
                      <wps:wsp>
                        <wps:cNvPr id="4" name="直线 6"/>
                        <wps:cNvCnPr/>
                        <wps:spPr>
                          <a:xfrm>
                            <a:off x="0" y="7"/>
                            <a:ext cx="8880" cy="0"/>
                          </a:xfrm>
                          <a:prstGeom prst="line">
                            <a:avLst/>
                          </a:prstGeom>
                          <a:ln w="9154" cap="flat" cmpd="sng">
                            <a:solidFill>
                              <a:srgbClr val="000000"/>
                            </a:solidFill>
                            <a:prstDash val="solid"/>
                            <a:headEnd type="none" w="med" len="med"/>
                            <a:tailEnd type="none" w="med" len="med"/>
                          </a:ln>
                        </wps:spPr>
                        <wps:bodyPr upright="1"/>
                      </wps:wsp>
                    </wpg:wgp>
                  </a:graphicData>
                </a:graphic>
              </wp:inline>
            </w:drawing>
          </mc:Choice>
          <mc:Fallback>
            <w:pict>
              <v:group id="组合 5" o:spid="_x0000_s1026" o:spt="203" style="height:0.75pt;width:444pt;" coordsize="8880,15" o:gfxdata="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D1Kv3NMAAAADAQAADwAAAAAAAAABACAA&#10;AAAiAAAAZHJzL2Rvd25yZXYueG1sUEsBAhQAFAAAAAgAh07iQImzpPRLAgAA/gQAAA4AAAAAAAAA&#10;AQAgAAAAIgEAAGRycy9lMm9Eb2MueG1sUEsFBgAAAAAGAAYAWQEAAN8FAAAAAA==&#10;">
                <o:lock v:ext="edit" aspectratio="f"/>
                <v:line id="直线 6" o:spid="_x0000_s1026" o:spt="20" style="position:absolute;left:0;top:7;height:0;width:8880;" filled="f" stroked="t" coordsize="21600,21600" o:gfxdata="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mEf9C8AAAA&#10;2gAAAA8AAAAAAAAAAQAgAAAAIgAAAGRycy9kb3ducmV2LnhtbFBLAQIUABQAAAAIAIdO4kAzLwWe&#10;OwAAADkAAAAQAAAAAAAAAAEAIAAAAAsBAABkcnMvc2hhcGV4bWwueG1sUEsFBgAAAAAGAAYAWwEA&#10;ALUDAAAAAA==&#10;">
                  <v:fill on="f" focussize="0,0"/>
                  <v:stroke weight="0.720787401574803pt" color="#000000" joinstyle="round"/>
                  <v:imagedata o:title=""/>
                  <o:lock v:ext="edit" aspectratio="f"/>
                </v:line>
                <w10:wrap type="none"/>
                <w10:anchorlock/>
              </v:group>
            </w:pict>
          </mc:Fallback>
        </mc:AlternateContent>
      </w:r>
    </w:p>
    <w:p>
      <w:pPr>
        <w:tabs>
          <w:tab w:val="left" w:pos="6074"/>
        </w:tabs>
        <w:spacing w:before="72"/>
        <w:ind w:left="590" w:right="0" w:firstLine="0"/>
        <w:jc w:val="left"/>
        <w:rPr>
          <w:sz w:val="27"/>
        </w:rPr>
      </w:pPr>
      <w:r>
        <mc:AlternateContent>
          <mc:Choice Requires="wps">
            <w:drawing>
              <wp:anchor distT="0" distB="0" distL="0" distR="0" simplePos="0" relativeHeight="251664384" behindDoc="1" locked="0" layoutInCell="1" allowOverlap="1">
                <wp:simplePos x="0" y="0"/>
                <wp:positionH relativeFrom="page">
                  <wp:posOffset>1098550</wp:posOffset>
                </wp:positionH>
                <wp:positionV relativeFrom="paragraph">
                  <wp:posOffset>342900</wp:posOffset>
                </wp:positionV>
                <wp:extent cx="5623560" cy="1270"/>
                <wp:effectExtent l="0" t="0" r="0" b="0"/>
                <wp:wrapTopAndBottom/>
                <wp:docPr id="9" name="任意多边形 7"/>
                <wp:cNvGraphicFramePr/>
                <a:graphic xmlns:a="http://schemas.openxmlformats.org/drawingml/2006/main">
                  <a:graphicData uri="http://schemas.microsoft.com/office/word/2010/wordprocessingShape">
                    <wps:wsp>
                      <wps:cNvSpPr/>
                      <wps:spPr>
                        <a:xfrm>
                          <a:off x="0" y="0"/>
                          <a:ext cx="5623560" cy="1270"/>
                        </a:xfrm>
                        <a:custGeom>
                          <a:avLst/>
                          <a:gdLst/>
                          <a:ahLst/>
                          <a:cxnLst/>
                          <a:pathLst>
                            <a:path w="8856">
                              <a:moveTo>
                                <a:pt x="0" y="0"/>
                              </a:moveTo>
                              <a:lnTo>
                                <a:pt x="8856" y="0"/>
                              </a:lnTo>
                            </a:path>
                          </a:pathLst>
                        </a:custGeom>
                        <a:noFill/>
                        <a:ln w="12206" cap="flat" cmpd="sng">
                          <a:solidFill>
                            <a:srgbClr val="000000"/>
                          </a:solidFill>
                          <a:prstDash val="solid"/>
                          <a:headEnd type="none" w="med" len="med"/>
                          <a:tailEnd type="none" w="med" len="med"/>
                        </a:ln>
                      </wps:spPr>
                      <wps:bodyPr upright="1"/>
                    </wps:wsp>
                  </a:graphicData>
                </a:graphic>
              </wp:anchor>
            </w:drawing>
          </mc:Choice>
          <mc:Fallback>
            <w:pict>
              <v:shape id="任意多边形 7" o:spid="_x0000_s1026" o:spt="100" style="position:absolute;left:0pt;margin-left:86.5pt;margin-top:27pt;height:0.1pt;width:442.8pt;mso-position-horizontal-relative:page;mso-wrap-distance-bottom:0pt;mso-wrap-distance-top:0pt;z-index:-251652096;mso-width-relative:page;mso-height-relative:page;" filled="f" stroked="t" coordsize="8856,1" o:gfxdata="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wymnntgAAAAKAQAADwAAAAAAAAABACAAAAAiAAAAZHJzL2Rvd25yZXYueG1s&#10;UEsBAhQAFAAAAAgAh07iQHq5ffQxAgAAhgQAAA4AAAAAAAAAAQAgAAAAJwEAAGRycy9lMm9Eb2Mu&#10;eG1sUEsFBgAAAAAGAAYAWQEAAMoFAAAAAA==&#10;" path="m0,0l8856,0e">
                <v:fill on="f" focussize="0,0"/>
                <v:stroke weight="0.961102362204724pt" color="#000000" joinstyle="round"/>
                <v:imagedata o:title=""/>
                <o:lock v:ext="edit" aspectratio="f"/>
                <w10:wrap type="topAndBottom"/>
              </v:shape>
            </w:pict>
          </mc:Fallback>
        </mc:AlternateContent>
      </w:r>
      <w:r>
        <w:rPr>
          <w:color w:val="161616"/>
          <w:position w:val="2"/>
          <w:sz w:val="28"/>
        </w:rPr>
        <w:t>中共瑶海区委农办</w:t>
      </w:r>
      <w:r>
        <w:rPr>
          <w:color w:val="161616"/>
          <w:position w:val="2"/>
          <w:sz w:val="28"/>
        </w:rPr>
        <w:tab/>
      </w:r>
      <w:r>
        <w:rPr>
          <w:rFonts w:ascii="Times New Roman" w:eastAsia="Times New Roman"/>
          <w:color w:val="161616"/>
          <w:sz w:val="27"/>
        </w:rPr>
        <w:t>2022</w:t>
      </w:r>
      <w:r>
        <w:rPr>
          <w:rFonts w:ascii="Times New Roman" w:eastAsia="Times New Roman"/>
          <w:color w:val="161616"/>
          <w:spacing w:val="18"/>
          <w:sz w:val="27"/>
        </w:rPr>
        <w:t xml:space="preserve"> </w:t>
      </w:r>
      <w:r>
        <w:rPr>
          <w:color w:val="161616"/>
          <w:sz w:val="28"/>
        </w:rPr>
        <w:t>年</w:t>
      </w:r>
      <w:r>
        <w:rPr>
          <w:color w:val="161616"/>
          <w:spacing w:val="-77"/>
          <w:sz w:val="28"/>
        </w:rPr>
        <w:t xml:space="preserve"> </w:t>
      </w:r>
      <w:r>
        <w:rPr>
          <w:rFonts w:ascii="Times New Roman" w:eastAsia="Times New Roman"/>
          <w:color w:val="161616"/>
          <w:spacing w:val="15"/>
          <w:sz w:val="27"/>
        </w:rPr>
        <w:t>12</w:t>
      </w:r>
      <w:r>
        <w:rPr>
          <w:rFonts w:ascii="Times New Roman" w:eastAsia="Times New Roman"/>
          <w:color w:val="161616"/>
          <w:spacing w:val="17"/>
          <w:sz w:val="27"/>
        </w:rPr>
        <w:t xml:space="preserve"> </w:t>
      </w:r>
      <w:r>
        <w:rPr>
          <w:color w:val="161616"/>
          <w:sz w:val="29"/>
        </w:rPr>
        <w:t>月</w:t>
      </w:r>
      <w:r>
        <w:rPr>
          <w:color w:val="161616"/>
          <w:spacing w:val="-49"/>
          <w:sz w:val="29"/>
        </w:rPr>
        <w:t xml:space="preserve"> </w:t>
      </w:r>
      <w:r>
        <w:rPr>
          <w:rFonts w:ascii="Times New Roman" w:eastAsia="Times New Roman"/>
          <w:color w:val="161616"/>
          <w:sz w:val="27"/>
        </w:rPr>
        <w:t>7</w:t>
      </w:r>
      <w:r>
        <w:rPr>
          <w:rFonts w:ascii="Times New Roman" w:eastAsia="Times New Roman"/>
          <w:color w:val="161616"/>
          <w:spacing w:val="11"/>
          <w:sz w:val="27"/>
        </w:rPr>
        <w:t xml:space="preserve"> </w:t>
      </w:r>
      <w:r>
        <w:rPr>
          <w:color w:val="161616"/>
          <w:sz w:val="27"/>
        </w:rPr>
        <w:t>日</w:t>
      </w:r>
      <w:r>
        <w:rPr>
          <w:color w:val="161616"/>
          <w:spacing w:val="-80"/>
          <w:sz w:val="27"/>
        </w:rPr>
        <w:t xml:space="preserve"> </w:t>
      </w:r>
      <w:r>
        <w:rPr>
          <w:color w:val="161616"/>
          <w:sz w:val="27"/>
        </w:rPr>
        <w:t>印发</w:t>
      </w:r>
    </w:p>
    <w:sectPr>
      <w:pgSz w:w="11910" w:h="16840"/>
      <w:pgMar w:top="1580" w:right="0" w:bottom="980" w:left="1300" w:header="0" w:footer="74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15"/>
      </w:rPr>
    </w:pPr>
    <w:r>
      <mc:AlternateContent>
        <mc:Choice Requires="wps">
          <w:drawing>
            <wp:anchor distT="0" distB="0" distL="114300" distR="114300" simplePos="0" relativeHeight="251660288" behindDoc="1" locked="0" layoutInCell="1" allowOverlap="1">
              <wp:simplePos x="0" y="0"/>
              <wp:positionH relativeFrom="page">
                <wp:posOffset>3572510</wp:posOffset>
              </wp:positionH>
              <wp:positionV relativeFrom="page">
                <wp:posOffset>10018395</wp:posOffset>
              </wp:positionV>
              <wp:extent cx="266700" cy="201295"/>
              <wp:effectExtent l="0" t="0" r="0" b="0"/>
              <wp:wrapNone/>
              <wp:docPr id="10" name="文本框 1"/>
              <wp:cNvGraphicFramePr/>
              <a:graphic xmlns:a="http://schemas.openxmlformats.org/drawingml/2006/main">
                <a:graphicData uri="http://schemas.microsoft.com/office/word/2010/wordprocessingShape">
                  <wps:wsp>
                    <wps:cNvSpPr txBox="1"/>
                    <wps:spPr>
                      <a:xfrm>
                        <a:off x="0" y="0"/>
                        <a:ext cx="266700" cy="201295"/>
                      </a:xfrm>
                      <a:prstGeom prst="rect">
                        <a:avLst/>
                      </a:prstGeom>
                      <a:noFill/>
                      <a:ln>
                        <a:noFill/>
                      </a:ln>
                    </wps:spPr>
                    <wps:txbx>
                      <w:txbxContent>
                        <w:p>
                          <w:pPr>
                            <w:spacing w:before="70"/>
                            <w:ind w:left="20" w:right="0" w:firstLine="0"/>
                            <w:jc w:val="left"/>
                            <w:rPr>
                              <w:rFonts w:ascii="Times New Roman"/>
                              <w:sz w:val="17"/>
                            </w:rPr>
                          </w:pPr>
                          <w:r>
                            <w:rPr>
                              <w:rFonts w:ascii="Times New Roman"/>
                              <w:color w:val="3B3B3B"/>
                              <w:w w:val="110"/>
                              <w:sz w:val="17"/>
                            </w:rPr>
                            <w:t xml:space="preserve">- </w:t>
                          </w:r>
                          <w:r>
                            <w:fldChar w:fldCharType="begin"/>
                          </w:r>
                          <w:r>
                            <w:rPr>
                              <w:rFonts w:ascii="Times New Roman"/>
                              <w:color w:val="161616"/>
                              <w:w w:val="110"/>
                              <w:sz w:val="17"/>
                            </w:rPr>
                            <w:instrText xml:space="preserve"> PAGE </w:instrText>
                          </w:r>
                          <w:r>
                            <w:fldChar w:fldCharType="separate"/>
                          </w:r>
                          <w:r>
                            <w:t>10</w:t>
                          </w:r>
                          <w:r>
                            <w:fldChar w:fldCharType="end"/>
                          </w:r>
                          <w:r>
                            <w:rPr>
                              <w:rFonts w:ascii="Times New Roman"/>
                              <w:color w:val="161616"/>
                              <w:spacing w:val="-27"/>
                              <w:w w:val="110"/>
                              <w:sz w:val="17"/>
                            </w:rPr>
                            <w:t xml:space="preserve"> </w:t>
                          </w:r>
                          <w:r>
                            <w:rPr>
                              <w:rFonts w:ascii="Times New Roman"/>
                              <w:color w:val="3B3B3B"/>
                              <w:w w:val="110"/>
                              <w:sz w:val="17"/>
                            </w:rPr>
                            <w:t>-</w:t>
                          </w:r>
                        </w:p>
                      </w:txbxContent>
                    </wps:txbx>
                    <wps:bodyPr lIns="0" tIns="0" rIns="0" bIns="0" upright="1"/>
                  </wps:wsp>
                </a:graphicData>
              </a:graphic>
            </wp:anchor>
          </w:drawing>
        </mc:Choice>
        <mc:Fallback>
          <w:pict>
            <v:shape id="文本框 1" o:spid="_x0000_s1026" o:spt="202" type="#_x0000_t202" style="position:absolute;left:0pt;margin-left:281.3pt;margin-top:788.85pt;height:15.85pt;width:21pt;mso-position-horizontal-relative:page;mso-position-vertical-relative:page;z-index:-251656192;mso-width-relative:page;mso-height-relative:page;" filled="f" stroked="f" coordsize="21600,21600" o:gfxdata="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2bN7x9oAAAANAQAADwAAAAAAAAABACAAAAAiAAAAZHJzL2Rvd25yZXYueG1sUEsBAhQA&#10;FAAAAAgAh07iQN8507+3AQAAcgMAAA4AAAAAAAAAAQAgAAAAKQEAAGRycy9lMm9Eb2MueG1sUEsF&#10;BgAAAAAGAAYAWQEAAFIFAAAAAA==&#10;">
              <v:fill on="f" focussize="0,0"/>
              <v:stroke on="f"/>
              <v:imagedata o:title=""/>
              <o:lock v:ext="edit" aspectratio="f"/>
              <v:textbox inset="0mm,0mm,0mm,0mm">
                <w:txbxContent>
                  <w:p>
                    <w:pPr>
                      <w:spacing w:before="70"/>
                      <w:ind w:left="20" w:right="0" w:firstLine="0"/>
                      <w:jc w:val="left"/>
                      <w:rPr>
                        <w:rFonts w:ascii="Times New Roman"/>
                        <w:sz w:val="17"/>
                      </w:rPr>
                    </w:pPr>
                    <w:r>
                      <w:rPr>
                        <w:rFonts w:ascii="Times New Roman"/>
                        <w:color w:val="3B3B3B"/>
                        <w:w w:val="110"/>
                        <w:sz w:val="17"/>
                      </w:rPr>
                      <w:t xml:space="preserve">- </w:t>
                    </w:r>
                    <w:r>
                      <w:fldChar w:fldCharType="begin"/>
                    </w:r>
                    <w:r>
                      <w:rPr>
                        <w:rFonts w:ascii="Times New Roman"/>
                        <w:color w:val="161616"/>
                        <w:w w:val="110"/>
                        <w:sz w:val="17"/>
                      </w:rPr>
                      <w:instrText xml:space="preserve"> PAGE </w:instrText>
                    </w:r>
                    <w:r>
                      <w:fldChar w:fldCharType="separate"/>
                    </w:r>
                    <w:r>
                      <w:t>10</w:t>
                    </w:r>
                    <w:r>
                      <w:fldChar w:fldCharType="end"/>
                    </w:r>
                    <w:r>
                      <w:rPr>
                        <w:rFonts w:ascii="Times New Roman"/>
                        <w:color w:val="161616"/>
                        <w:spacing w:val="-27"/>
                        <w:w w:val="110"/>
                        <w:sz w:val="17"/>
                      </w:rPr>
                      <w:t xml:space="preserve"> </w:t>
                    </w:r>
                    <w:r>
                      <w:rPr>
                        <w:rFonts w:ascii="Times New Roman"/>
                        <w:color w:val="3B3B3B"/>
                        <w:w w:val="110"/>
                        <w:sz w:val="17"/>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documentProtection w:enforcement="0"/>
  <w:defaultTabStop w:val="720"/>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JkOGJjNWQyY2MxMjcyOTBmNWMxYTVhNjI4NTk2ZTYifQ=="/>
  </w:docVars>
  <w:rsids>
    <w:rsidRoot w:val="00000000"/>
    <w:rsid w:val="0C8F023A"/>
    <w:rsid w:val="1D3E4E7C"/>
    <w:rsid w:val="339A574D"/>
    <w:rsid w:val="3B0532F1"/>
    <w:rsid w:val="54AB67DF"/>
    <w:rsid w:val="617F70A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character" w:default="1" w:styleId="4">
    <w:name w:val="Default Paragraph Font"/>
    <w:semiHidden/>
    <w:unhideWhenUsed/>
    <w:uiPriority w:val="1"/>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32"/>
      <w:szCs w:val="32"/>
    </w:rPr>
  </w:style>
  <w:style w:type="table" w:customStyle="1" w:styleId="5">
    <w:name w:val="Table Normal"/>
    <w:semiHidden/>
    <w:unhideWhenUsed/>
    <w:qFormat/>
    <w:uiPriority w:val="2"/>
    <w:tblPr>
      <w:tblCellMar>
        <w:top w:w="0" w:type="dxa"/>
        <w:left w:w="0" w:type="dxa"/>
        <w:bottom w:w="0" w:type="dxa"/>
        <w:right w:w="0" w:type="dxa"/>
      </w:tblCellMar>
    </w:tblPr>
  </w:style>
  <w:style w:type="paragraph" w:styleId="6">
    <w:name w:val="List Paragraph"/>
    <w:basedOn w:val="1"/>
    <w:qFormat/>
    <w:uiPriority w:val="1"/>
  </w:style>
  <w:style w:type="paragraph" w:customStyle="1" w:styleId="7">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4180</Words>
  <Characters>4200</Characters>
  <TotalTime>11</TotalTime>
  <ScaleCrop>false</ScaleCrop>
  <LinksUpToDate>false</LinksUpToDate>
  <CharactersWithSpaces>4280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2023-02-24T08:59:00Z</dcterms:created>
  <dc:creator>Admin</dc:creator>
  <cp:lastModifiedBy>胖子阿花</cp:lastModifiedBy>
  <dcterms:modified xsi:type="dcterms:W3CDTF">2024-06-17T08:52:50Z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2022-12-14T00:00:00Z</vt:filetime>
  </property>
  <property fmtid="{D5CDD505-2E9C-101B-9397-08002B2CF9AE}" pid="3" name="Creator">
    <vt:lpwstr>Canon SC1011</vt:lpwstr>
  </property>
  <property fmtid="{D5CDD505-2E9C-101B-9397-08002B2CF9AE}" pid="4" name="LastSaved">
    <vt:filetime>2022-12-14T00:00:00Z</vt:filetime>
  </property>
  <property fmtid="{D5CDD505-2E9C-101B-9397-08002B2CF9AE}" pid="5" name="KSOProductBuildVer">
    <vt:lpwstr>2052-12.1.0.16929</vt:lpwstr>
  </property>
  <property fmtid="{D5CDD505-2E9C-101B-9397-08002B2CF9AE}" pid="6" name="ICV">
    <vt:lpwstr>89123F3F2588404EB79DD617AFBA0A82</vt:lpwstr>
  </property>
</Properties>
</file>