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hint="eastAsia" w:ascii="Times New Roman" w:hAnsi="Times New Roman" w:eastAsia="方正小标宋简体"/>
          <w:bCs/>
          <w:sz w:val="44"/>
          <w:szCs w:val="24"/>
          <w:lang w:eastAsia="zh-CN"/>
        </w:rPr>
        <w:t>2023</w:t>
      </w:r>
      <w:r>
        <w:rPr>
          <w:rFonts w:ascii="Times New Roman" w:hAnsi="Times New Roman" w:eastAsia="方正小标宋简体"/>
          <w:bCs/>
          <w:sz w:val="44"/>
          <w:szCs w:val="24"/>
        </w:rPr>
        <w:t>年</w:t>
      </w:r>
      <w:r>
        <w:rPr>
          <w:rFonts w:hint="eastAsia" w:ascii="Times New Roman" w:hAnsi="Times New Roman" w:eastAsia="方正小标宋简体"/>
          <w:bCs/>
          <w:sz w:val="44"/>
          <w:szCs w:val="24"/>
          <w:lang w:eastAsia="zh-CN"/>
        </w:rPr>
        <w:t>嘉山路街道征迁款</w:t>
      </w:r>
      <w:r>
        <w:rPr>
          <w:rFonts w:ascii="Times New Roman" w:hAnsi="Times New Roman" w:eastAsia="方正小标宋简体"/>
          <w:bCs/>
          <w:sz w:val="44"/>
          <w:szCs w:val="24"/>
        </w:rPr>
        <w:t>项目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部门评价</w:t>
      </w:r>
      <w:r>
        <w:rPr>
          <w:rFonts w:ascii="Times New Roman" w:hAnsi="Times New Roman" w:eastAsia="方正小标宋简体"/>
          <w:bCs/>
          <w:sz w:val="44"/>
          <w:szCs w:val="24"/>
        </w:rPr>
        <w:t>报告</w:t>
      </w:r>
    </w:p>
    <w:p>
      <w:pPr>
        <w:spacing w:line="58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1.项目立项情况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根据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瑶海区住房和城乡建设局的工作要求</w:t>
      </w:r>
      <w:r>
        <w:rPr>
          <w:rFonts w:hint="eastAsia" w:ascii="Times New Roman" w:hAnsi="Times New Roman" w:eastAsia="仿宋_GB2312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该项目处于嘉山路街道辖区内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，为城市支路，包含龚大塘鸭林冲城中村改造项目，王大郢城中村改造项目，白龙路（凤台路—新蚌埠路）改造项目，青龙路（白龙路—凤台路）改造项目，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已列入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2021-2023年大建设计划，工程建设内容主要为道路、交通、给排水等配套附属设施，为完善区域路网，改善周边居民出行环境，符合国民经济和社会发展规划</w:t>
      </w:r>
      <w:r>
        <w:rPr>
          <w:rFonts w:hint="eastAsia" w:ascii="Times New Roman" w:hAnsi="Times New Roman" w:eastAsia="仿宋_GB2312"/>
          <w:sz w:val="32"/>
          <w:szCs w:val="32"/>
        </w:rPr>
        <w:t>。项目资金总量：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2635.277335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万元</w:t>
      </w:r>
      <w:r>
        <w:rPr>
          <w:rFonts w:hint="eastAsia" w:ascii="Times New Roman" w:hAnsi="Times New Roman" w:eastAsia="仿宋_GB2312"/>
          <w:sz w:val="32"/>
          <w:szCs w:val="32"/>
        </w:rPr>
        <w:t>，属于财政资金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专项</w:t>
      </w:r>
      <w:r>
        <w:rPr>
          <w:rFonts w:ascii="Times New Roman" w:hAnsi="Times New Roman" w:eastAsia="仿宋_GB2312"/>
          <w:sz w:val="32"/>
          <w:szCs w:val="32"/>
        </w:rPr>
        <w:t>业务经费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，实施周期为一年，项目实施主管部门为嘉山路街道建设办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2.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项目执行情况</w:t>
      </w:r>
    </w:p>
    <w:p>
      <w:pPr>
        <w:spacing w:line="560" w:lineRule="exact"/>
        <w:ind w:firstLine="646" w:firstLineChars="202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</w:rPr>
        <w:t>本年度该项目已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  <w:lang w:eastAsia="zh-CN"/>
        </w:rPr>
        <w:t>全部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</w:rPr>
        <w:t>完成，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  <w:lang w:eastAsia="zh-CN"/>
        </w:rPr>
        <w:t>该项目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</w:rPr>
        <w:t>投入资金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2635.277335</w:t>
      </w:r>
      <w:r>
        <w:rPr>
          <w:rFonts w:hint="eastAsia" w:ascii="Times New Roman" w:hAnsi="Times New Roman" w:eastAsia="仿宋_GB2312" w:cs="Times New Roman"/>
          <w:snapToGrid w:val="0"/>
          <w:color w:val="auto"/>
          <w:sz w:val="32"/>
          <w:szCs w:val="32"/>
        </w:rPr>
        <w:t>万元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  <w:lang w:eastAsia="zh-CN"/>
        </w:rPr>
        <w:t>，预算执行率为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  <w:lang w:val="en-US" w:eastAsia="zh-CN"/>
        </w:rPr>
        <w:t>100%，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</w:rPr>
        <w:t>使用情况较好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  <w:lang w:eastAsia="zh-CN"/>
        </w:rPr>
        <w:t>项目实施内容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龚大塘鸭林冲城中村改造项目，王大郢城中村改造项目，白龙路（凤台路—新蚌埠路）改造项目，青龙路（白龙路—凤台路）改造项目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</w:rPr>
        <w:t>。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1.项目年度总体目标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该项目常年实施，每年申请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2635.277335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万元财政资金，主要用于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为完善道路、交通、给排水等配套附属设施，完善区域路网，改善周边居民出行环境，完善国民经济和社会发展规划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2.总体目标完成情况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本年度该项目全部完成，征迁面积达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1000亩，拆旧的成本控制在10000万元内，加快龚大塘片区城中村征迁，王大郢片区城中村征迁，淮南线征迁项目，加快城中村进程，推动社会可持续发展，促进营商环境改善进度，提升人民幸福满意度，且该项目在2023年12月底完成所有任务。</w:t>
      </w:r>
    </w:p>
    <w:p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>
      <w:pPr>
        <w:spacing w:line="560" w:lineRule="exact"/>
        <w:ind w:firstLine="646" w:firstLineChars="202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sz w:val="32"/>
          <w:szCs w:val="32"/>
        </w:rPr>
        <w:t>年度，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嘉山路街道征迁款项目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通过申请财政资金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2635.277335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善区域路网，改善周边居民出行环境，符合国民经济和社会发展规划，</w:t>
      </w:r>
      <w:r>
        <w:rPr>
          <w:rFonts w:ascii="Times New Roman" w:hAnsi="Times New Roman" w:eastAsia="仿宋_GB2312"/>
          <w:color w:val="000000"/>
          <w:sz w:val="32"/>
          <w:szCs w:val="32"/>
        </w:rPr>
        <w:t>已完成年度设定的绩效目标，达到项目预期效果。具体包括：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一是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龚大塘鸭林冲城中村改造项目，二是王大郢城中村改造项目，三是白龙路（凤台路—新蚌埠路）改造项目，四是青龙路（白龙路—凤台路）改造项目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</w:rPr>
        <w:t>。</w:t>
      </w:r>
    </w:p>
    <w:p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经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嘉山路街道征迁款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项目综合得分为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结果为“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优</w:t>
      </w:r>
      <w:r>
        <w:rPr>
          <w:rFonts w:ascii="Times New Roman" w:hAnsi="Times New Roman" w:eastAsia="仿宋_GB2312"/>
          <w:color w:val="000000"/>
          <w:sz w:val="32"/>
          <w:szCs w:val="32"/>
        </w:rPr>
        <w:t>”。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嘉山路街道征迁款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项目绩效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指标体系设置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预算执行率和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个一级指标，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</w:t>
      </w:r>
      <w:r>
        <w:rPr>
          <w:rFonts w:ascii="Times New Roman" w:hAnsi="Times New Roman" w:eastAsia="仿宋_GB2312"/>
          <w:color w:val="000000"/>
          <w:sz w:val="32"/>
          <w:szCs w:val="32"/>
        </w:rPr>
        <w:t>个二级指标，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个三级指标，各项指标评分情况分析如下：</w:t>
      </w:r>
    </w:p>
    <w:p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（一）预算执行率（满分10分，实得</w:t>
      </w:r>
      <w:r>
        <w:rPr>
          <w:rFonts w:hint="eastAsia" w:ascii="Times New Roman" w:hAnsi="Times New Roman" w:eastAsia="楷体_GB2312"/>
          <w:b/>
          <w:bCs/>
          <w:sz w:val="32"/>
          <w:lang w:val="en-US" w:eastAsia="zh-CN"/>
        </w:rPr>
        <w:t>10</w:t>
      </w:r>
      <w:r>
        <w:rPr>
          <w:rFonts w:ascii="Times New Roman" w:hAnsi="Times New Roman" w:eastAsia="楷体_GB2312"/>
          <w:b/>
          <w:bCs/>
          <w:sz w:val="32"/>
        </w:rPr>
        <w:t>分）</w:t>
      </w:r>
    </w:p>
    <w:p>
      <w:pPr>
        <w:spacing w:line="592" w:lineRule="exact"/>
        <w:ind w:right="-283"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，嘉山路街道征迁款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项目全年预算安排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2635.277335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万元，全年执行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2635.277335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万元，预算执行率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二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1.数量指标（满分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sz w:val="32"/>
          <w:szCs w:val="32"/>
        </w:rPr>
        <w:t>分，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年度设定的数量指标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为拆旧面积</w:t>
      </w:r>
      <w:r>
        <w:rPr>
          <w:rFonts w:ascii="Times New Roman" w:hAnsi="Times New Roman" w:eastAsia="仿宋_GB2312"/>
          <w:color w:val="000000"/>
          <w:sz w:val="32"/>
          <w:szCs w:val="32"/>
        </w:rPr>
        <w:t>；截至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拆旧面积达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1000亩</w:t>
      </w:r>
      <w:r>
        <w:rPr>
          <w:rFonts w:ascii="Times New Roman" w:hAnsi="Times New Roman" w:eastAsia="仿宋_GB2312"/>
          <w:color w:val="000000"/>
          <w:sz w:val="32"/>
          <w:szCs w:val="32"/>
        </w:rPr>
        <w:t>，实际完成率为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2.时效指标（满分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年度设定的时效指标为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项目完成时限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2023年底前完成，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达成预期指标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3.质量指标（满分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年度设定的质量指标为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项目支出合规性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达成预期指标</w:t>
      </w:r>
      <w:r>
        <w:rPr>
          <w:rFonts w:ascii="Times New Roman" w:hAnsi="Times New Roman" w:eastAsia="仿宋_GB2312"/>
          <w:color w:val="000000"/>
          <w:sz w:val="32"/>
          <w:szCs w:val="32"/>
        </w:rPr>
        <w:t>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4.成本指标（满分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ascii="Times New Roman" w:hAnsi="Times New Roman" w:eastAsia="仿宋_GB2312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年度设定的成本指标为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控制在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1.1亿元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总成本范围内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2023年总成本控制在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2635.277335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万元以内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/>
          <w:b w:val="0"/>
          <w:bCs/>
          <w:color w:val="000000"/>
          <w:sz w:val="32"/>
          <w:szCs w:val="32"/>
          <w:lang w:eastAsia="zh-CN"/>
        </w:rPr>
        <w:t>具体为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2635.277335</w:t>
      </w:r>
      <w:r>
        <w:rPr>
          <w:rFonts w:hint="eastAsia" w:ascii="Times New Roman" w:hAnsi="Times New Roman" w:eastAsia="仿宋_GB2312"/>
          <w:b w:val="0"/>
          <w:bCs/>
          <w:color w:val="000000"/>
          <w:sz w:val="32"/>
          <w:szCs w:val="32"/>
          <w:lang w:val="en-US" w:eastAsia="zh-CN"/>
        </w:rPr>
        <w:t>万元，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widowControl/>
        <w:spacing w:line="600" w:lineRule="exact"/>
        <w:ind w:right="-283"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三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）效益指标（满分30分，实得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30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1.经济效益指标（满分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年度设定的经济效益指标为加快城中村改造，促进营商环境改善进度；实际完成情况为达成预期效果，且效果明显。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2.社会效益指标（满分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</w:t>
      </w:r>
      <w:bookmarkStart w:id="0" w:name="_GoBack"/>
      <w:bookmarkEnd w:id="0"/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eastAsia="仿宋_GB2312"/>
          <w:color w:val="000000"/>
          <w:sz w:val="32"/>
          <w:szCs w:val="32"/>
        </w:rPr>
        <w:t>年度设定的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社会效益</w:t>
      </w:r>
      <w:r>
        <w:rPr>
          <w:rFonts w:ascii="Times New Roman" w:eastAsia="仿宋_GB2312"/>
          <w:color w:val="000000"/>
          <w:sz w:val="32"/>
          <w:szCs w:val="32"/>
        </w:rPr>
        <w:t>指标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为维护社会稳定的效果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，各项工作和活动规范，有序开展</w:t>
      </w:r>
      <w:r>
        <w:rPr>
          <w:rFonts w:asci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eastAsia="仿宋_GB2312"/>
          <w:color w:val="000000"/>
          <w:sz w:val="32"/>
          <w:szCs w:val="32"/>
        </w:rPr>
        <w:t>效果较好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20</w:t>
      </w:r>
      <w:r>
        <w:rPr>
          <w:rFonts w:ascii="Times New Roman" w:eastAsia="仿宋_GB2312"/>
          <w:color w:val="000000"/>
          <w:sz w:val="32"/>
          <w:szCs w:val="32"/>
        </w:rPr>
        <w:t>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3.</w:t>
      </w:r>
      <w:r>
        <w:rPr>
          <w:rFonts w:ascii="Times New Roman" w:hAnsi="Times New Roman" w:eastAsia="仿宋_GB2312"/>
          <w:color w:val="000000"/>
          <w:sz w:val="32"/>
          <w:szCs w:val="32"/>
        </w:rPr>
        <w:t>生态效益指标（满分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numPr>
          <w:ilvl w:val="0"/>
          <w:numId w:val="0"/>
        </w:numPr>
        <w:spacing w:line="600" w:lineRule="exact"/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年度设定的生态效益指标为改善周边环境，指标值为提升较快，实际完成情况为达成预期指标，得分为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5分。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4.可持续影响指标（满分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年度设定的可持续影响指标为对社会稳定提供可持续保障，各项工作和活动规范进行，有序开展，实际完成情况为达成预期指标，得分为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5分。</w:t>
      </w:r>
    </w:p>
    <w:p>
      <w:pPr>
        <w:spacing w:line="600" w:lineRule="exact"/>
        <w:ind w:right="-283"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四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eastAsia="仿宋_GB2312"/>
          <w:color w:val="000000"/>
          <w:sz w:val="32"/>
          <w:szCs w:val="32"/>
        </w:rPr>
      </w:pPr>
      <w:r>
        <w:rPr>
          <w:rFonts w:ascii="Times New Roman" w:eastAsia="仿宋_GB2312"/>
          <w:color w:val="000000"/>
          <w:sz w:val="32"/>
          <w:szCs w:val="32"/>
        </w:rPr>
        <w:t>年度设定的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满意度</w:t>
      </w:r>
      <w:r>
        <w:rPr>
          <w:rFonts w:ascii="Times New Roman" w:eastAsia="仿宋_GB2312"/>
          <w:color w:val="000000"/>
          <w:sz w:val="32"/>
          <w:szCs w:val="32"/>
        </w:rPr>
        <w:t>指标为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人民幸福满意度</w:t>
      </w:r>
      <w:r>
        <w:rPr>
          <w:rFonts w:asci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eastAsia="仿宋_GB2312"/>
          <w:color w:val="000000"/>
          <w:sz w:val="32"/>
          <w:szCs w:val="32"/>
        </w:rPr>
        <w:t>≥9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Times New Roman" w:eastAsia="仿宋_GB2312"/>
          <w:color w:val="000000"/>
          <w:sz w:val="32"/>
          <w:szCs w:val="32"/>
        </w:rPr>
        <w:t>%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eastAsia="仿宋_GB2312"/>
          <w:color w:val="000000"/>
          <w:sz w:val="32"/>
          <w:szCs w:val="32"/>
        </w:rPr>
        <w:t>10</w:t>
      </w:r>
      <w:r>
        <w:rPr>
          <w:rFonts w:ascii="Times New Roman" w:eastAsia="仿宋_GB2312"/>
          <w:color w:val="000000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四、存在问题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通过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发现，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嘉山路街道征迁款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项目项目实施虽取得了一定的成效，但还存在一些问题和不足，主要表现在：</w:t>
      </w:r>
    </w:p>
    <w:p>
      <w:pPr>
        <w:widowControl/>
        <w:spacing w:line="600" w:lineRule="exact"/>
        <w:ind w:firstLine="640" w:firstLineChars="200"/>
        <w:rPr>
          <w:rFonts w:hint="eastAsia" w:ascii="Times New Roman" w:eastAsia="仿宋_GB2312"/>
          <w:color w:val="000000"/>
          <w:sz w:val="32"/>
          <w:szCs w:val="32"/>
        </w:rPr>
      </w:pPr>
      <w:r>
        <w:rPr>
          <w:rFonts w:hint="eastAsia" w:ascii="Times New Roman" w:eastAsia="仿宋_GB2312"/>
          <w:color w:val="000000"/>
          <w:sz w:val="32"/>
          <w:szCs w:val="32"/>
        </w:rPr>
        <w:t>思想认识尚不到位，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街道</w:t>
      </w:r>
      <w:r>
        <w:rPr>
          <w:rFonts w:hint="eastAsia" w:ascii="Times New Roman" w:eastAsia="仿宋_GB2312"/>
          <w:color w:val="000000"/>
          <w:sz w:val="32"/>
          <w:szCs w:val="32"/>
        </w:rPr>
        <w:t>缺乏绩效评价专业人才，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大多都是财务人员承担绩效评价工作，项目人员和财务人员对于项目存在信息壁垒，对于项目的评价存在片面之处，项目</w:t>
      </w:r>
      <w:r>
        <w:rPr>
          <w:rFonts w:hint="eastAsia" w:ascii="Times New Roman" w:eastAsia="仿宋_GB2312"/>
          <w:color w:val="000000"/>
          <w:sz w:val="32"/>
          <w:szCs w:val="32"/>
        </w:rPr>
        <w:t>人员对于绩效管理和绩效评价工作的重要性认识不足，缺乏主动性。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五、意见和建议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为进一步提高专项资金使用效益，针对存在的问题，提出如下建议：</w:t>
      </w:r>
    </w:p>
    <w:p>
      <w:pPr>
        <w:widowControl/>
        <w:spacing w:line="600" w:lineRule="exact"/>
        <w:ind w:firstLine="640" w:firstLineChars="200"/>
        <w:rPr>
          <w:rFonts w:hint="eastAsia" w:ascii="Times New Roman" w:eastAsia="仿宋_GB2312"/>
          <w:color w:val="000000"/>
          <w:sz w:val="32"/>
          <w:szCs w:val="32"/>
        </w:rPr>
      </w:pP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一是</w:t>
      </w:r>
      <w:r>
        <w:rPr>
          <w:rFonts w:hint="eastAsia" w:ascii="Times New Roman" w:eastAsia="仿宋_GB2312"/>
          <w:color w:val="000000"/>
          <w:sz w:val="32"/>
          <w:szCs w:val="32"/>
        </w:rPr>
        <w:t>加强队伍建设，补充新鲜力量，提升人员的专业能力。</w:t>
      </w:r>
    </w:p>
    <w:p>
      <w:pPr>
        <w:widowControl/>
        <w:spacing w:line="600" w:lineRule="exact"/>
        <w:ind w:firstLine="640" w:firstLineChars="200"/>
        <w:rPr>
          <w:rFonts w:hint="eastAsia" w:asci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二是加强项目人员绩效评价培训力度，使绩效评价工作融入到日常工作中，以专业的角度更真实更准确做好绩效自评工作。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六、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依据</w:t>
      </w:r>
    </w:p>
    <w:p>
      <w:pPr>
        <w:widowControl/>
        <w:spacing w:line="600" w:lineRule="exact"/>
        <w:ind w:firstLine="640" w:firstLineChars="200"/>
        <w:rPr>
          <w:rFonts w:hint="eastAsia" w:asci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无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1.项目支出绩效自评表（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从一体化系统导出</w:t>
      </w:r>
      <w:r>
        <w:rPr>
          <w:rFonts w:ascii="Times New Roman" w:hAnsi="Times New Roman" w:eastAsia="仿宋_GB2312"/>
          <w:color w:val="000000"/>
          <w:sz w:val="32"/>
          <w:szCs w:val="32"/>
        </w:rPr>
        <w:t>）；</w:t>
      </w:r>
    </w:p>
    <w:p>
      <w:pPr>
        <w:widowControl/>
        <w:jc w:val="left"/>
      </w:pPr>
      <w:r>
        <w:rPr>
          <w:rFonts w:ascii="Times New Roman" w:hAnsi="Times New Roman" w:eastAsia="仿宋_GB2312"/>
          <w:color w:val="000000"/>
          <w:spacing w:val="-10"/>
          <w:sz w:val="32"/>
          <w:szCs w:val="32"/>
        </w:rPr>
        <w:br w:type="page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iMjg1ZjYyZTdlN2E5ZDg5ZDM4NmU4ZDBiMDY2ZjQifQ=="/>
  </w:docVars>
  <w:rsids>
    <w:rsidRoot w:val="5B497975"/>
    <w:rsid w:val="0ABA1B63"/>
    <w:rsid w:val="0D4C0C55"/>
    <w:rsid w:val="0EBC5E2E"/>
    <w:rsid w:val="110F0C5D"/>
    <w:rsid w:val="1E496350"/>
    <w:rsid w:val="1E6848B0"/>
    <w:rsid w:val="1EE44415"/>
    <w:rsid w:val="22386CFF"/>
    <w:rsid w:val="2698203F"/>
    <w:rsid w:val="2D8963CF"/>
    <w:rsid w:val="2E786928"/>
    <w:rsid w:val="31C93B7A"/>
    <w:rsid w:val="32ED7DDE"/>
    <w:rsid w:val="49D33EB5"/>
    <w:rsid w:val="4AD66A58"/>
    <w:rsid w:val="57567448"/>
    <w:rsid w:val="579D29FC"/>
    <w:rsid w:val="5A7B18A5"/>
    <w:rsid w:val="5B497975"/>
    <w:rsid w:val="673A1074"/>
    <w:rsid w:val="6C37119B"/>
    <w:rsid w:val="71E371E1"/>
    <w:rsid w:val="769A1174"/>
    <w:rsid w:val="78BD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2024-03-11T06:38:00Z</dcterms:created>
  <dc:creator>-基金大涨-</dc:creator>
  <cp:lastModifiedBy>-基金大涨-</cp:lastModifiedBy>
  <cp:lastPrinted>2024-03-18T08:45:35Z</cp:lastPrinted>
  <dcterms:modified xsi:type="dcterms:W3CDTF">2024-03-18T09:32:25Z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2F9F474AECF24D94A33B4DCE6B7FD85E_11</vt:lpwstr>
  </property>
</Properties>
</file>