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0C58FE">
      <w:pPr>
        <w:spacing w:line="600" w:lineRule="exact"/>
        <w:rPr>
          <w:rFonts w:hint="default" w:ascii="Times New Roman" w:hAnsi="Times New Roman" w:eastAsia="黑体"/>
          <w:bCs/>
          <w:sz w:val="32"/>
          <w:szCs w:val="32"/>
          <w:lang w:val="en-US" w:eastAsia="zh-CN"/>
        </w:rPr>
      </w:pPr>
      <w:r>
        <w:rPr>
          <w:rFonts w:ascii="Times New Roman" w:hAnsi="Times New Roman" w:eastAsia="黑体"/>
          <w:bCs/>
          <w:sz w:val="32"/>
          <w:szCs w:val="32"/>
        </w:rPr>
        <w:t>附件</w:t>
      </w:r>
      <w:r>
        <w:rPr>
          <w:rFonts w:hint="eastAsia" w:ascii="Times New Roman" w:hAnsi="Times New Roman" w:eastAsia="黑体"/>
          <w:bCs/>
          <w:sz w:val="32"/>
          <w:szCs w:val="32"/>
          <w:lang w:val="en-US" w:eastAsia="zh-CN"/>
        </w:rPr>
        <w:t>2</w:t>
      </w:r>
    </w:p>
    <w:p w14:paraId="4B0762B6">
      <w:pPr>
        <w:ind w:right="120"/>
        <w:jc w:val="right"/>
        <w:rPr>
          <w:rFonts w:ascii="Times New Roman" w:hAnsi="Times New Roman" w:eastAsia="华文楷体"/>
          <w:bCs/>
          <w:sz w:val="16"/>
          <w:szCs w:val="21"/>
        </w:rPr>
      </w:pPr>
    </w:p>
    <w:p w14:paraId="4F2DB6F4">
      <w:pPr>
        <w:ind w:right="120"/>
        <w:jc w:val="right"/>
        <w:rPr>
          <w:rFonts w:ascii="Times New Roman" w:hAnsi="Times New Roman" w:eastAsia="华文楷体"/>
          <w:bCs/>
          <w:sz w:val="16"/>
          <w:szCs w:val="21"/>
        </w:rPr>
      </w:pPr>
    </w:p>
    <w:p w14:paraId="12734ACA">
      <w:pPr>
        <w:ind w:right="120"/>
        <w:jc w:val="right"/>
        <w:rPr>
          <w:rFonts w:ascii="Times New Roman" w:hAnsi="Times New Roman" w:eastAsia="华文楷体"/>
          <w:bCs/>
          <w:sz w:val="16"/>
          <w:szCs w:val="21"/>
        </w:rPr>
      </w:pPr>
    </w:p>
    <w:p w14:paraId="30C258D0">
      <w:pPr>
        <w:jc w:val="center"/>
        <w:rPr>
          <w:rFonts w:ascii="Times New Roman" w:hAnsi="Times New Roman" w:eastAsia="黑体"/>
          <w:bCs/>
          <w:sz w:val="44"/>
        </w:rPr>
      </w:pPr>
    </w:p>
    <w:p w14:paraId="6CF66A15">
      <w:pPr>
        <w:jc w:val="center"/>
        <w:rPr>
          <w:rFonts w:ascii="Times New Roman" w:hAnsi="Times New Roman" w:eastAsia="黑体"/>
          <w:bCs/>
          <w:sz w:val="44"/>
        </w:rPr>
      </w:pPr>
    </w:p>
    <w:p w14:paraId="720CC801">
      <w:pPr>
        <w:spacing w:line="600" w:lineRule="exact"/>
        <w:jc w:val="center"/>
        <w:rPr>
          <w:rFonts w:ascii="Times New Roman" w:hAnsi="Times New Roman" w:eastAsia="方正小标宋简体"/>
          <w:bCs/>
          <w:sz w:val="44"/>
        </w:rPr>
      </w:pPr>
      <w:r>
        <w:rPr>
          <w:rFonts w:ascii="Times New Roman" w:hAnsi="Times New Roman" w:eastAsia="方正小标宋简体"/>
          <w:bCs/>
          <w:sz w:val="44"/>
        </w:rPr>
        <w:t>合肥市财政支出项目</w:t>
      </w:r>
      <w:r>
        <w:rPr>
          <w:rFonts w:hint="eastAsia" w:ascii="Times New Roman" w:hAnsi="Times New Roman" w:eastAsia="方正小标宋简体"/>
          <w:bCs/>
          <w:sz w:val="44"/>
        </w:rPr>
        <w:t>部门评价</w:t>
      </w:r>
      <w:r>
        <w:rPr>
          <w:rFonts w:ascii="Times New Roman" w:hAnsi="Times New Roman" w:eastAsia="方正小标宋简体"/>
          <w:bCs/>
          <w:sz w:val="44"/>
        </w:rPr>
        <w:t>报告</w:t>
      </w:r>
    </w:p>
    <w:p w14:paraId="14207557">
      <w:pPr>
        <w:jc w:val="center"/>
        <w:rPr>
          <w:rFonts w:ascii="Times New Roman" w:hAnsi="Times New Roman" w:eastAsia="楷体_GB2312"/>
          <w:b/>
          <w:bCs/>
          <w:sz w:val="32"/>
        </w:rPr>
      </w:pPr>
    </w:p>
    <w:p w14:paraId="11C4D638">
      <w:pPr>
        <w:spacing w:before="156" w:beforeLines="50" w:after="156" w:afterLines="50"/>
        <w:ind w:firstLine="614" w:firstLineChars="192"/>
        <w:rPr>
          <w:rFonts w:ascii="Times New Roman" w:hAnsi="Times New Roman" w:eastAsia="楷体_GB2312"/>
          <w:sz w:val="32"/>
        </w:rPr>
      </w:pPr>
    </w:p>
    <w:p w14:paraId="46850E2A">
      <w:pPr>
        <w:spacing w:before="156" w:beforeLines="50" w:after="156" w:afterLines="50"/>
        <w:ind w:left="3807" w:leftChars="289" w:hanging="3200" w:hangingChars="1000"/>
        <w:rPr>
          <w:rFonts w:ascii="Times New Roman" w:hAnsi="Times New Roman" w:eastAsia="楷体_GB2312"/>
          <w:sz w:val="32"/>
          <w:u w:val="single"/>
        </w:rPr>
      </w:pPr>
      <w:r>
        <w:rPr>
          <w:rFonts w:ascii="Times New Roman" w:hAnsi="Times New Roman" w:eastAsia="楷体_GB2312"/>
          <w:sz w:val="32"/>
        </w:rPr>
        <w:t>项   目   名   称 ：</w:t>
      </w:r>
      <w:r>
        <w:rPr>
          <w:rFonts w:hint="eastAsia" w:ascii="楷体" w:hAnsi="楷体" w:eastAsia="楷体" w:cs="楷体"/>
          <w:sz w:val="32"/>
          <w:szCs w:val="32"/>
          <w:u w:val="single"/>
          <w:lang w:eastAsia="zh-CN"/>
        </w:rPr>
        <w:t>淮南路项目胜利路街道征地预存款</w:t>
      </w:r>
      <w:r>
        <w:rPr>
          <w:rFonts w:ascii="Times New Roman" w:hAnsi="Times New Roman" w:eastAsia="楷体_GB2312"/>
          <w:sz w:val="32"/>
          <w:szCs w:val="32"/>
          <w:u w:val="single"/>
        </w:rPr>
        <w:t xml:space="preserve">          </w:t>
      </w:r>
      <w:r>
        <w:rPr>
          <w:rFonts w:ascii="Times New Roman" w:hAnsi="Times New Roman" w:eastAsia="楷体_GB2312"/>
          <w:sz w:val="32"/>
          <w:u w:val="single"/>
        </w:rPr>
        <w:t xml:space="preserve">               </w:t>
      </w:r>
    </w:p>
    <w:p w14:paraId="33EEBA6A">
      <w:pPr>
        <w:spacing w:before="156" w:beforeLines="50" w:after="156" w:afterLines="50"/>
        <w:ind w:left="1887" w:leftChars="289" w:hanging="1280" w:hangingChars="400"/>
        <w:rPr>
          <w:rFonts w:ascii="Times New Roman" w:hAnsi="Times New Roman" w:eastAsia="楷体_GB2312"/>
          <w:sz w:val="32"/>
          <w:u w:val="single"/>
        </w:rPr>
      </w:pPr>
      <w:r>
        <w:rPr>
          <w:rFonts w:ascii="Times New Roman" w:hAnsi="Times New Roman" w:eastAsia="楷体_GB2312"/>
          <w:sz w:val="32"/>
        </w:rPr>
        <w:t>项   目   单   位 ：</w:t>
      </w:r>
      <w:r>
        <w:rPr>
          <w:rFonts w:ascii="Times New Roman" w:hAnsi="Times New Roman" w:eastAsia="楷体_GB2312"/>
          <w:sz w:val="32"/>
          <w:u w:val="single"/>
        </w:rPr>
        <w:t xml:space="preserve"> </w:t>
      </w:r>
      <w:r>
        <w:rPr>
          <w:rFonts w:hint="eastAsia" w:ascii="Times New Roman" w:hAnsi="Times New Roman" w:eastAsia="楷体_GB2312"/>
          <w:sz w:val="32"/>
          <w:u w:val="single"/>
          <w:lang w:val="en-US" w:eastAsia="zh-CN"/>
        </w:rPr>
        <w:t>合肥市瑶海区胜利路街道办事处</w:t>
      </w:r>
      <w:r>
        <w:rPr>
          <w:rFonts w:ascii="Times New Roman" w:hAnsi="Times New Roman" w:eastAsia="楷体_GB2312"/>
          <w:sz w:val="32"/>
          <w:u w:val="single"/>
        </w:rPr>
        <w:t xml:space="preserve">                        </w:t>
      </w:r>
    </w:p>
    <w:p w14:paraId="0D84EA14">
      <w:pPr>
        <w:spacing w:before="156" w:beforeLines="50" w:after="156" w:afterLines="50"/>
        <w:ind w:left="1887" w:leftChars="289" w:hanging="1280" w:hangingChars="400"/>
        <w:rPr>
          <w:rFonts w:ascii="Times New Roman" w:hAnsi="Times New Roman" w:eastAsia="楷体_GB2312"/>
          <w:sz w:val="32"/>
          <w:u w:val="single"/>
        </w:rPr>
      </w:pPr>
      <w:r>
        <w:rPr>
          <w:rFonts w:ascii="Times New Roman" w:hAnsi="Times New Roman" w:eastAsia="楷体_GB2312"/>
          <w:sz w:val="32"/>
        </w:rPr>
        <w:t>项目责任人 （签字）：</w:t>
      </w:r>
      <w:r>
        <w:rPr>
          <w:rFonts w:ascii="Times New Roman" w:hAnsi="Times New Roman" w:eastAsia="楷体_GB2312"/>
          <w:sz w:val="32"/>
          <w:u w:val="single"/>
        </w:rPr>
        <w:t xml:space="preserve">      </w:t>
      </w:r>
      <w:r>
        <w:rPr>
          <w:rFonts w:hint="eastAsia" w:ascii="Times New Roman" w:hAnsi="Times New Roman" w:eastAsia="楷体_GB2312"/>
          <w:sz w:val="32"/>
          <w:u w:val="single"/>
          <w:lang w:val="en-US" w:eastAsia="zh-CN"/>
        </w:rPr>
        <w:t>沈骥</w:t>
      </w:r>
      <w:r>
        <w:rPr>
          <w:rFonts w:ascii="Times New Roman" w:hAnsi="Times New Roman" w:eastAsia="楷体_GB2312"/>
          <w:sz w:val="32"/>
          <w:u w:val="single"/>
        </w:rPr>
        <w:t xml:space="preserve">                     </w:t>
      </w:r>
    </w:p>
    <w:p w14:paraId="18DD9A07">
      <w:pPr>
        <w:spacing w:before="156" w:beforeLines="50" w:after="156" w:afterLines="50"/>
        <w:ind w:firstLine="614" w:firstLineChars="192"/>
        <w:rPr>
          <w:rFonts w:ascii="Times New Roman" w:hAnsi="Times New Roman" w:eastAsia="楷体_GB2312"/>
          <w:sz w:val="32"/>
          <w:u w:val="single"/>
        </w:rPr>
      </w:pPr>
      <w:r>
        <w:rPr>
          <w:rFonts w:ascii="Times New Roman" w:hAnsi="Times New Roman" w:eastAsia="楷体_GB2312"/>
          <w:sz w:val="32"/>
        </w:rPr>
        <w:t>主 管 部 门（盖章）：</w:t>
      </w:r>
      <w:r>
        <w:rPr>
          <w:rFonts w:ascii="Times New Roman" w:hAnsi="Times New Roman" w:eastAsia="楷体_GB2312"/>
          <w:sz w:val="32"/>
          <w:u w:val="single"/>
        </w:rPr>
        <w:t xml:space="preserve">                           </w:t>
      </w:r>
    </w:p>
    <w:p w14:paraId="36FC10D5">
      <w:pPr>
        <w:spacing w:before="156" w:beforeLines="50" w:after="156" w:afterLines="50"/>
        <w:ind w:firstLine="614" w:firstLineChars="192"/>
        <w:rPr>
          <w:rFonts w:ascii="Times New Roman" w:hAnsi="Times New Roman" w:eastAsia="楷体_GB2312"/>
          <w:sz w:val="32"/>
        </w:rPr>
      </w:pPr>
    </w:p>
    <w:p w14:paraId="382A8BF0">
      <w:pPr>
        <w:ind w:firstLine="614" w:firstLineChars="192"/>
        <w:jc w:val="center"/>
        <w:rPr>
          <w:rFonts w:ascii="Times New Roman" w:hAnsi="Times New Roman" w:eastAsia="楷体_GB2312"/>
          <w:sz w:val="32"/>
        </w:rPr>
      </w:pPr>
    </w:p>
    <w:p w14:paraId="656F4189">
      <w:pPr>
        <w:spacing w:line="600" w:lineRule="exact"/>
        <w:jc w:val="center"/>
        <w:rPr>
          <w:rFonts w:hint="eastAsia" w:ascii="宋体" w:hAnsi="宋体" w:eastAsia="宋体" w:cs="宋体"/>
          <w:bCs/>
          <w:sz w:val="44"/>
          <w:szCs w:val="44"/>
          <w:lang w:eastAsia="zh-CN"/>
        </w:rPr>
      </w:pPr>
      <w:r>
        <w:rPr>
          <w:rFonts w:ascii="Times New Roman" w:hAnsi="Times New Roman" w:eastAsia="楷体"/>
          <w:sz w:val="32"/>
        </w:rPr>
        <w:t>202</w:t>
      </w:r>
      <w:r>
        <w:rPr>
          <w:rFonts w:hint="eastAsia" w:ascii="Times New Roman" w:hAnsi="Times New Roman" w:eastAsia="楷体"/>
          <w:sz w:val="32"/>
          <w:lang w:val="en-US" w:eastAsia="zh-CN"/>
        </w:rPr>
        <w:t>4</w:t>
      </w:r>
      <w:r>
        <w:rPr>
          <w:rFonts w:ascii="Times New Roman" w:hAnsi="Times New Roman" w:eastAsia="楷体_GB2312"/>
          <w:sz w:val="32"/>
        </w:rPr>
        <w:t>年</w:t>
      </w:r>
      <w:r>
        <w:rPr>
          <w:rFonts w:hint="eastAsia" w:ascii="Times New Roman" w:hAnsi="Times New Roman" w:eastAsia="楷体"/>
          <w:sz w:val="32"/>
          <w:lang w:val="en-US" w:eastAsia="zh-CN"/>
        </w:rPr>
        <w:t>3</w:t>
      </w:r>
      <w:r>
        <w:rPr>
          <w:rFonts w:ascii="Times New Roman" w:hAnsi="Times New Roman" w:eastAsia="楷体_GB2312"/>
          <w:sz w:val="32"/>
        </w:rPr>
        <w:t>月</w:t>
      </w:r>
      <w:r>
        <w:rPr>
          <w:rFonts w:ascii="Times New Roman" w:hAnsi="Times New Roman" w:eastAsia="楷体_GB2312"/>
          <w:sz w:val="32"/>
        </w:rPr>
        <w:br w:type="page"/>
      </w:r>
      <w:r>
        <w:rPr>
          <w:rFonts w:hint="eastAsia" w:ascii="宋体" w:hAnsi="宋体" w:eastAsia="宋体" w:cs="宋体"/>
          <w:bCs/>
          <w:sz w:val="44"/>
          <w:szCs w:val="44"/>
          <w:lang w:eastAsia="zh-CN"/>
        </w:rPr>
        <w:t>淮南路项目胜利路街道征地预存款项目</w:t>
      </w:r>
    </w:p>
    <w:p w14:paraId="5C0294CC">
      <w:pPr>
        <w:spacing w:line="580" w:lineRule="exact"/>
        <w:jc w:val="center"/>
        <w:rPr>
          <w:rFonts w:ascii="Times New Roman" w:hAnsi="Times New Roman" w:eastAsia="仿宋_GB2312"/>
          <w:bCs/>
          <w:sz w:val="32"/>
          <w:szCs w:val="32"/>
        </w:rPr>
      </w:pPr>
    </w:p>
    <w:p w14:paraId="706C537D">
      <w:pPr>
        <w:widowControl/>
        <w:spacing w:line="560" w:lineRule="exact"/>
        <w:ind w:firstLine="640" w:firstLineChars="200"/>
        <w:rPr>
          <w:rFonts w:ascii="Times New Roman" w:hAnsi="Times New Roman" w:eastAsia="黑体"/>
          <w:sz w:val="32"/>
          <w:szCs w:val="32"/>
        </w:rPr>
      </w:pPr>
      <w:r>
        <w:rPr>
          <w:rFonts w:ascii="Times New Roman" w:hAnsi="Times New Roman" w:eastAsia="黑体"/>
          <w:sz w:val="32"/>
          <w:szCs w:val="32"/>
        </w:rPr>
        <w:t>一、项目基本情况</w:t>
      </w:r>
    </w:p>
    <w:p w14:paraId="1A535AC3">
      <w:pPr>
        <w:widowControl/>
        <w:spacing w:line="56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（一）项目概况</w:t>
      </w:r>
    </w:p>
    <w:p w14:paraId="6933462D">
      <w:pPr>
        <w:widowControl/>
        <w:spacing w:line="560" w:lineRule="exact"/>
        <w:ind w:firstLine="640" w:firstLineChars="200"/>
        <w:rPr>
          <w:rFonts w:ascii="Times New Roman" w:hAnsi="Times New Roman" w:eastAsia="仿宋_GB2312"/>
          <w:snapToGrid w:val="0"/>
          <w:color w:val="000000"/>
          <w:sz w:val="32"/>
          <w:szCs w:val="32"/>
        </w:rPr>
      </w:pPr>
      <w:r>
        <w:rPr>
          <w:rFonts w:ascii="Times New Roman" w:hAnsi="Times New Roman" w:eastAsia="仿宋_GB2312"/>
          <w:snapToGrid w:val="0"/>
          <w:color w:val="000000"/>
          <w:sz w:val="32"/>
          <w:szCs w:val="32"/>
        </w:rPr>
        <w:t>1.项目立项情况</w:t>
      </w:r>
    </w:p>
    <w:p w14:paraId="1C6E8C9D">
      <w:pPr>
        <w:widowControl/>
        <w:spacing w:line="600" w:lineRule="exact"/>
        <w:ind w:firstLine="640" w:firstLineChars="200"/>
        <w:rPr>
          <w:rFonts w:ascii="Times New Roman" w:hAnsi="Times New Roman" w:eastAsia="仿宋_GB2312"/>
          <w:color w:val="auto"/>
          <w:sz w:val="32"/>
          <w:szCs w:val="32"/>
        </w:rPr>
      </w:pPr>
      <w:r>
        <w:rPr>
          <w:rFonts w:hint="eastAsia" w:ascii="仿宋" w:hAnsi="仿宋" w:eastAsia="仿宋" w:cs="仿宋"/>
          <w:sz w:val="32"/>
          <w:szCs w:val="32"/>
          <w:lang w:val="en-US" w:eastAsia="zh-CN"/>
        </w:rPr>
        <w:t>该项目是对淮南路道路建设项目涉及到胜利路街道内濉溪东路社区及戴安桥社区的集体土地，拨付的征地补偿款等，因该处已调整为城市社居委，不适于支付征地预存款。</w:t>
      </w:r>
      <w:r>
        <w:rPr>
          <w:rFonts w:hint="eastAsia" w:ascii="Times New Roman" w:hAnsi="Times New Roman" w:eastAsia="仿宋_GB2312"/>
          <w:color w:val="000000"/>
          <w:sz w:val="32"/>
          <w:szCs w:val="32"/>
        </w:rPr>
        <w:t>项</w:t>
      </w:r>
      <w:r>
        <w:rPr>
          <w:rFonts w:hint="eastAsia" w:ascii="Times New Roman" w:hAnsi="Times New Roman" w:eastAsia="仿宋_GB2312"/>
          <w:color w:val="auto"/>
          <w:sz w:val="32"/>
          <w:szCs w:val="32"/>
        </w:rPr>
        <w:t>目资金总量：</w:t>
      </w:r>
      <w:r>
        <w:rPr>
          <w:rFonts w:hint="eastAsia" w:ascii="Times New Roman" w:hAnsi="Times New Roman" w:eastAsia="仿宋_GB2312"/>
          <w:color w:val="auto"/>
          <w:sz w:val="32"/>
          <w:szCs w:val="32"/>
          <w:lang w:val="en-US" w:eastAsia="zh-CN"/>
        </w:rPr>
        <w:t>194.629875万元</w:t>
      </w:r>
      <w:r>
        <w:rPr>
          <w:rFonts w:hint="eastAsia" w:ascii="Times New Roman" w:hAnsi="Times New Roman" w:eastAsia="仿宋_GB2312"/>
          <w:color w:val="auto"/>
          <w:sz w:val="32"/>
          <w:szCs w:val="32"/>
        </w:rPr>
        <w:t>，</w:t>
      </w:r>
      <w:r>
        <w:rPr>
          <w:rFonts w:hint="eastAsia" w:ascii="Times New Roman" w:hAnsi="Times New Roman" w:eastAsia="仿宋_GB2312"/>
          <w:color w:val="auto"/>
          <w:sz w:val="32"/>
          <w:szCs w:val="32"/>
          <w:lang w:val="en-US" w:eastAsia="zh-CN"/>
        </w:rPr>
        <w:t>为合肥市大建设专项资金</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lang w:val="en-US" w:eastAsia="zh-CN"/>
        </w:rPr>
        <w:t>属于</w:t>
      </w:r>
      <w:r>
        <w:rPr>
          <w:rFonts w:ascii="Times New Roman" w:hAnsi="Times New Roman" w:eastAsia="仿宋_GB2312"/>
          <w:color w:val="000000"/>
          <w:sz w:val="32"/>
          <w:szCs w:val="32"/>
        </w:rPr>
        <w:t>政府性投资公益性项目</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实施周期为一年。</w:t>
      </w:r>
    </w:p>
    <w:p w14:paraId="02601C3F">
      <w:pPr>
        <w:spacing w:line="560" w:lineRule="exact"/>
        <w:ind w:firstLine="640" w:firstLineChars="200"/>
        <w:rPr>
          <w:rFonts w:ascii="Times New Roman" w:hAnsi="Times New Roman" w:eastAsia="仿宋_GB2312"/>
          <w:snapToGrid w:val="0"/>
          <w:color w:val="000000"/>
          <w:sz w:val="32"/>
          <w:szCs w:val="32"/>
        </w:rPr>
      </w:pPr>
      <w:r>
        <w:rPr>
          <w:rFonts w:ascii="Times New Roman" w:hAnsi="Times New Roman" w:eastAsia="仿宋_GB2312"/>
          <w:snapToGrid w:val="0"/>
          <w:color w:val="000000"/>
          <w:sz w:val="32"/>
          <w:szCs w:val="32"/>
        </w:rPr>
        <w:t>2.项目执行情况</w:t>
      </w:r>
    </w:p>
    <w:p w14:paraId="5AB93C7B">
      <w:pPr>
        <w:spacing w:line="600" w:lineRule="exact"/>
        <w:ind w:firstLine="646" w:firstLineChars="202"/>
        <w:rPr>
          <w:rFonts w:ascii="Times New Roman" w:hAnsi="Times New Roman" w:eastAsia="仿宋_GB2312" w:cs="Times New Roman"/>
          <w:snapToGrid w:val="0"/>
          <w:color w:val="000000"/>
          <w:sz w:val="32"/>
          <w:szCs w:val="32"/>
        </w:rPr>
      </w:pPr>
      <w:r>
        <w:rPr>
          <w:rFonts w:hint="eastAsia" w:ascii="Times New Roman" w:hAnsi="Times New Roman" w:eastAsia="仿宋_GB2312" w:cs="Times New Roman"/>
          <w:snapToGrid w:val="0"/>
          <w:color w:val="auto"/>
          <w:sz w:val="32"/>
          <w:szCs w:val="32"/>
        </w:rPr>
        <w:t>本年度该项目</w:t>
      </w:r>
      <w:r>
        <w:rPr>
          <w:rFonts w:hint="eastAsia" w:ascii="Times New Roman" w:hAnsi="Times New Roman" w:eastAsia="仿宋_GB2312" w:cs="Times New Roman"/>
          <w:snapToGrid w:val="0"/>
          <w:color w:val="auto"/>
          <w:sz w:val="32"/>
          <w:szCs w:val="32"/>
          <w:lang w:val="en-US" w:eastAsia="zh-CN"/>
        </w:rPr>
        <w:t>未</w:t>
      </w:r>
      <w:r>
        <w:rPr>
          <w:rFonts w:hint="eastAsia" w:ascii="Times New Roman" w:hAnsi="Times New Roman" w:eastAsia="仿宋_GB2312" w:cs="Times New Roman"/>
          <w:snapToGrid w:val="0"/>
          <w:color w:val="auto"/>
          <w:sz w:val="32"/>
          <w:szCs w:val="32"/>
        </w:rPr>
        <w:t>完成，</w:t>
      </w:r>
      <w:r>
        <w:rPr>
          <w:rFonts w:hint="eastAsia" w:ascii="Times New Roman" w:hAnsi="Times New Roman" w:eastAsia="仿宋_GB2312" w:cs="Times New Roman"/>
          <w:snapToGrid w:val="0"/>
          <w:color w:val="auto"/>
          <w:sz w:val="32"/>
          <w:szCs w:val="32"/>
          <w:lang w:val="en-US" w:eastAsia="zh-CN"/>
        </w:rPr>
        <w:t>全年执行数为0</w:t>
      </w:r>
      <w:r>
        <w:rPr>
          <w:rFonts w:hint="eastAsia" w:ascii="Times New Roman" w:hAnsi="Times New Roman" w:eastAsia="仿宋_GB2312" w:cs="Times New Roman"/>
          <w:snapToGrid w:val="0"/>
          <w:color w:val="000000"/>
          <w:sz w:val="32"/>
          <w:szCs w:val="32"/>
          <w:lang w:val="en-US" w:eastAsia="zh-CN"/>
        </w:rPr>
        <w:t>万元，执行率为0%</w:t>
      </w:r>
      <w:r>
        <w:rPr>
          <w:rFonts w:hint="eastAsia" w:ascii="Times New Roman" w:hAnsi="Times New Roman" w:eastAsia="仿宋_GB2312" w:cs="Times New Roman"/>
          <w:snapToGrid w:val="0"/>
          <w:color w:val="000000"/>
          <w:sz w:val="32"/>
          <w:szCs w:val="32"/>
        </w:rPr>
        <w:t>。</w:t>
      </w:r>
    </w:p>
    <w:p w14:paraId="211AB63B">
      <w:pPr>
        <w:widowControl/>
        <w:spacing w:line="560" w:lineRule="exact"/>
        <w:ind w:firstLine="643" w:firstLineChars="200"/>
        <w:rPr>
          <w:rFonts w:ascii="Times New Roman" w:hAnsi="Times New Roman" w:eastAsia="楷体_GB2312"/>
          <w:b/>
          <w:color w:val="000000" w:themeColor="text1"/>
          <w:sz w:val="32"/>
          <w:szCs w:val="32"/>
          <w14:textFill>
            <w14:solidFill>
              <w14:schemeClr w14:val="tx1"/>
            </w14:solidFill>
          </w14:textFill>
        </w:rPr>
      </w:pPr>
      <w:r>
        <w:rPr>
          <w:rFonts w:ascii="Times New Roman" w:hAnsi="Times New Roman" w:eastAsia="楷体_GB2312"/>
          <w:b/>
          <w:color w:val="000000" w:themeColor="text1"/>
          <w:sz w:val="32"/>
          <w:szCs w:val="32"/>
          <w14:textFill>
            <w14:solidFill>
              <w14:schemeClr w14:val="tx1"/>
            </w14:solidFill>
          </w14:textFill>
        </w:rPr>
        <w:t>（二）项目绩效目标</w:t>
      </w:r>
    </w:p>
    <w:p w14:paraId="3DEA11E8">
      <w:pPr>
        <w:spacing w:line="600" w:lineRule="exact"/>
        <w:ind w:firstLine="640" w:firstLineChars="200"/>
        <w:rPr>
          <w:rFonts w:ascii="Times New Roman"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1</w:t>
      </w:r>
      <w:r>
        <w:rPr>
          <w:rFonts w:ascii="Times New Roman" w:eastAsia="仿宋_GB2312"/>
          <w:color w:val="000000" w:themeColor="text1"/>
          <w:sz w:val="32"/>
          <w:szCs w:val="32"/>
          <w14:textFill>
            <w14:solidFill>
              <w14:schemeClr w14:val="tx1"/>
            </w14:solidFill>
          </w14:textFill>
        </w:rPr>
        <w:t>.项目年度总体目标</w:t>
      </w:r>
    </w:p>
    <w:p w14:paraId="7196F355">
      <w:pPr>
        <w:spacing w:line="600" w:lineRule="exact"/>
        <w:ind w:firstLine="640" w:firstLineChars="200"/>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Times New Roman" w:eastAsia="仿宋_GB2312"/>
          <w:color w:val="000000" w:themeColor="text1"/>
          <w:sz w:val="32"/>
          <w:szCs w:val="32"/>
          <w14:textFill>
            <w14:solidFill>
              <w14:schemeClr w14:val="tx1"/>
            </w14:solidFill>
          </w14:textFill>
        </w:rPr>
        <w:t>用于</w:t>
      </w:r>
      <w:r>
        <w:rPr>
          <w:rFonts w:hint="eastAsia" w:ascii="仿宋" w:hAnsi="仿宋" w:eastAsia="仿宋" w:cs="仿宋"/>
          <w:sz w:val="32"/>
          <w:szCs w:val="32"/>
          <w:lang w:val="en-US" w:eastAsia="zh-CN"/>
        </w:rPr>
        <w:t>淮南路道路红线范围内涉及濉溪东路社区及戴安桥社区集体土地的征地补偿款等</w:t>
      </w:r>
      <w:r>
        <w:rPr>
          <w:rFonts w:hint="eastAsia" w:ascii="仿宋" w:hAnsi="仿宋" w:eastAsia="仿宋" w:cs="仿宋"/>
          <w:color w:val="000000" w:themeColor="text1"/>
          <w:sz w:val="32"/>
          <w:szCs w:val="32"/>
          <w:lang w:val="en-US" w:eastAsia="zh-CN"/>
          <w14:textFill>
            <w14:solidFill>
              <w14:schemeClr w14:val="tx1"/>
            </w14:solidFill>
          </w14:textFill>
        </w:rPr>
        <w:t>。</w:t>
      </w:r>
    </w:p>
    <w:p w14:paraId="531173CD">
      <w:pPr>
        <w:spacing w:line="600" w:lineRule="exact"/>
        <w:ind w:firstLine="640" w:firstLineChars="200"/>
        <w:rPr>
          <w:rFonts w:ascii="Times New Roman"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2</w:t>
      </w:r>
      <w:r>
        <w:rPr>
          <w:rFonts w:ascii="Times New Roman" w:eastAsia="仿宋_GB2312"/>
          <w:color w:val="000000" w:themeColor="text1"/>
          <w:sz w:val="32"/>
          <w:szCs w:val="32"/>
          <w14:textFill>
            <w14:solidFill>
              <w14:schemeClr w14:val="tx1"/>
            </w14:solidFill>
          </w14:textFill>
        </w:rPr>
        <w:t>.总体目标完成情况</w:t>
      </w:r>
    </w:p>
    <w:p w14:paraId="1D295832">
      <w:pPr>
        <w:spacing w:line="600" w:lineRule="exact"/>
        <w:ind w:firstLine="640" w:firstLineChars="200"/>
        <w:rPr>
          <w:rFonts w:hint="default" w:ascii="Times New Roman" w:eastAsia="仿宋_GB2312"/>
          <w:color w:val="000000" w:themeColor="text1"/>
          <w:sz w:val="32"/>
          <w:szCs w:val="32"/>
          <w:lang w:val="en-US" w:eastAsia="zh-CN"/>
          <w14:textFill>
            <w14:solidFill>
              <w14:schemeClr w14:val="tx1"/>
            </w14:solidFill>
          </w14:textFill>
        </w:rPr>
      </w:pPr>
      <w:r>
        <w:rPr>
          <w:rFonts w:hint="eastAsia" w:ascii="Times New Roman" w:hAnsi="Times New Roman" w:eastAsia="仿宋_GB2312" w:cs="Times New Roman"/>
          <w:snapToGrid w:val="0"/>
          <w:color w:val="auto"/>
          <w:sz w:val="32"/>
          <w:szCs w:val="32"/>
          <w:lang w:val="en-US" w:eastAsia="zh-CN"/>
        </w:rPr>
        <w:t>因该片区原为集体土地，随着城市变迁，现在居民基本为城镇居民，受征地补偿款使用范围和内容的限制，截止到2023年底，该笔费用未发生支付。</w:t>
      </w:r>
    </w:p>
    <w:p w14:paraId="3B43192C">
      <w:pPr>
        <w:spacing w:line="560" w:lineRule="exact"/>
        <w:ind w:firstLine="640" w:firstLineChars="200"/>
        <w:rPr>
          <w:rFonts w:ascii="Times New Roman" w:hAnsi="Times New Roman" w:eastAsia="黑体"/>
          <w:color w:val="000000" w:themeColor="text1"/>
          <w:sz w:val="32"/>
          <w:szCs w:val="32"/>
          <w14:textFill>
            <w14:solidFill>
              <w14:schemeClr w14:val="tx1"/>
            </w14:solidFill>
          </w14:textFill>
        </w:rPr>
      </w:pPr>
      <w:r>
        <w:rPr>
          <w:rFonts w:ascii="Times New Roman" w:hAnsi="Times New Roman" w:eastAsia="黑体"/>
          <w:color w:val="000000" w:themeColor="text1"/>
          <w:sz w:val="32"/>
          <w:szCs w:val="32"/>
          <w14:textFill>
            <w14:solidFill>
              <w14:schemeClr w14:val="tx1"/>
            </w14:solidFill>
          </w14:textFill>
        </w:rPr>
        <w:t>二、绩效</w:t>
      </w:r>
      <w:r>
        <w:rPr>
          <w:rFonts w:hint="eastAsia" w:ascii="Times New Roman" w:hAnsi="Times New Roman" w:eastAsia="黑体"/>
          <w:color w:val="000000" w:themeColor="text1"/>
          <w:sz w:val="32"/>
          <w:szCs w:val="32"/>
          <w14:textFill>
            <w14:solidFill>
              <w14:schemeClr w14:val="tx1"/>
            </w14:solidFill>
          </w14:textFill>
        </w:rPr>
        <w:t>评价</w:t>
      </w:r>
      <w:r>
        <w:rPr>
          <w:rFonts w:ascii="Times New Roman" w:hAnsi="Times New Roman" w:eastAsia="黑体"/>
          <w:color w:val="000000" w:themeColor="text1"/>
          <w:sz w:val="32"/>
          <w:szCs w:val="32"/>
          <w14:textFill>
            <w14:solidFill>
              <w14:schemeClr w14:val="tx1"/>
            </w14:solidFill>
          </w14:textFill>
        </w:rPr>
        <w:t>结论</w:t>
      </w:r>
    </w:p>
    <w:p w14:paraId="70604CF7">
      <w:pPr>
        <w:widowControl/>
        <w:spacing w:line="560" w:lineRule="exact"/>
        <w:ind w:firstLine="643" w:firstLineChars="200"/>
        <w:rPr>
          <w:rFonts w:ascii="Times New Roman" w:hAnsi="Times New Roman" w:eastAsia="楷体_GB2312"/>
          <w:b/>
          <w:color w:val="000000" w:themeColor="text1"/>
          <w:sz w:val="32"/>
          <w:szCs w:val="32"/>
          <w14:textFill>
            <w14:solidFill>
              <w14:schemeClr w14:val="tx1"/>
            </w14:solidFill>
          </w14:textFill>
        </w:rPr>
      </w:pPr>
      <w:r>
        <w:rPr>
          <w:rFonts w:ascii="Times New Roman" w:hAnsi="Times New Roman" w:eastAsia="楷体_GB2312"/>
          <w:b/>
          <w:color w:val="000000" w:themeColor="text1"/>
          <w:sz w:val="32"/>
          <w:szCs w:val="32"/>
          <w14:textFill>
            <w14:solidFill>
              <w14:schemeClr w14:val="tx1"/>
            </w14:solidFill>
          </w14:textFill>
        </w:rPr>
        <w:t>（一）总体结论</w:t>
      </w:r>
    </w:p>
    <w:p w14:paraId="49FE30DD">
      <w:pPr>
        <w:spacing w:line="600" w:lineRule="exact"/>
        <w:ind w:firstLine="646" w:firstLineChars="202"/>
        <w:rPr>
          <w:rFonts w:hint="default" w:ascii="Times New Roman" w:hAnsi="Times New Roman" w:eastAsia="仿宋"/>
          <w:color w:val="FF0000"/>
          <w:sz w:val="32"/>
          <w:szCs w:val="32"/>
          <w:lang w:val="en-US" w:eastAsia="zh-CN"/>
        </w:rPr>
      </w:pPr>
      <w:r>
        <w:rPr>
          <w:rFonts w:hint="eastAsia" w:ascii="仿宋" w:hAnsi="仿宋" w:eastAsia="仿宋" w:cs="仿宋"/>
          <w:color w:val="000000" w:themeColor="text1"/>
          <w:sz w:val="32"/>
          <w:szCs w:val="32"/>
          <w14:textFill>
            <w14:solidFill>
              <w14:schemeClr w14:val="tx1"/>
            </w14:solidFill>
          </w14:textFill>
        </w:rPr>
        <w:t>202</w:t>
      </w:r>
      <w:r>
        <w:rPr>
          <w:rFonts w:hint="eastAsia" w:ascii="仿宋" w:hAnsi="仿宋" w:eastAsia="仿宋" w:cs="仿宋"/>
          <w:color w:val="000000" w:themeColor="text1"/>
          <w:sz w:val="32"/>
          <w:szCs w:val="32"/>
          <w:lang w:val="en-US" w:eastAsia="zh-CN"/>
          <w14:textFill>
            <w14:solidFill>
              <w14:schemeClr w14:val="tx1"/>
            </w14:solidFill>
          </w14:textFill>
        </w:rPr>
        <w:t>3</w:t>
      </w:r>
      <w:r>
        <w:rPr>
          <w:rFonts w:hint="eastAsia" w:ascii="仿宋" w:hAnsi="仿宋" w:eastAsia="仿宋" w:cs="仿宋"/>
          <w:color w:val="000000" w:themeColor="text1"/>
          <w:sz w:val="32"/>
          <w:szCs w:val="32"/>
          <w14:textFill>
            <w14:solidFill>
              <w14:schemeClr w14:val="tx1"/>
            </w14:solidFill>
          </w14:textFill>
        </w:rPr>
        <w:t>年度，</w:t>
      </w:r>
      <w:r>
        <w:rPr>
          <w:rFonts w:hint="eastAsia" w:ascii="仿宋" w:hAnsi="仿宋" w:eastAsia="仿宋" w:cs="仿宋"/>
          <w:bCs/>
          <w:color w:val="000000" w:themeColor="text1"/>
          <w:sz w:val="32"/>
          <w:szCs w:val="32"/>
          <w:lang w:eastAsia="zh-CN"/>
          <w14:textFill>
            <w14:solidFill>
              <w14:schemeClr w14:val="tx1"/>
            </w14:solidFill>
          </w14:textFill>
        </w:rPr>
        <w:t>淮南路项目胜利路街道征地预存款项目</w:t>
      </w:r>
      <w:r>
        <w:rPr>
          <w:rFonts w:hint="eastAsia" w:ascii="仿宋" w:hAnsi="仿宋" w:eastAsia="仿宋" w:cs="仿宋"/>
          <w:bCs/>
          <w:color w:val="000000" w:themeColor="text1"/>
          <w:sz w:val="32"/>
          <w:szCs w:val="32"/>
          <w:lang w:val="en-US" w:eastAsia="zh-CN"/>
          <w14:textFill>
            <w14:solidFill>
              <w14:schemeClr w14:val="tx1"/>
            </w14:solidFill>
          </w14:textFill>
        </w:rPr>
        <w:t>涉及胜利路街道内</w:t>
      </w:r>
      <w:r>
        <w:rPr>
          <w:rFonts w:hint="eastAsia" w:ascii="仿宋" w:hAnsi="仿宋" w:eastAsia="仿宋" w:cs="仿宋"/>
          <w:color w:val="000000" w:themeColor="text1"/>
          <w:sz w:val="32"/>
          <w:szCs w:val="32"/>
          <w:lang w:val="en-US" w:eastAsia="zh-CN"/>
          <w14:textFill>
            <w14:solidFill>
              <w14:schemeClr w14:val="tx1"/>
            </w14:solidFill>
          </w14:textFill>
        </w:rPr>
        <w:t>濉溪东路社区及戴安桥社区集体土地征迁补偿款</w:t>
      </w:r>
      <w:r>
        <w:rPr>
          <w:rFonts w:hint="eastAsia" w:ascii="Times New Roman" w:hAnsi="Times New Roman" w:eastAsia="仿宋_GB2312"/>
          <w:color w:val="000000" w:themeColor="text1"/>
          <w:sz w:val="32"/>
          <w:szCs w:val="32"/>
          <w:lang w:val="en-US" w:eastAsia="zh-CN"/>
          <w14:textFill>
            <w14:solidFill>
              <w14:schemeClr w14:val="tx1"/>
            </w14:solidFill>
          </w14:textFill>
        </w:rPr>
        <w:t>194.629875万元</w:t>
      </w:r>
      <w:r>
        <w:rPr>
          <w:rFonts w:hint="eastAsia" w:ascii="仿宋" w:hAnsi="仿宋" w:eastAsia="仿宋" w:cs="仿宋"/>
          <w:color w:val="000000" w:themeColor="text1"/>
          <w:sz w:val="32"/>
          <w:szCs w:val="32"/>
          <w14:textFill>
            <w14:solidFill>
              <w14:schemeClr w14:val="tx1"/>
            </w14:solidFill>
          </w14:textFill>
        </w:rPr>
        <w:t>，</w:t>
      </w:r>
      <w:r>
        <w:rPr>
          <w:rFonts w:hint="eastAsia" w:ascii="Times New Roman" w:hAnsi="Times New Roman" w:eastAsia="仿宋_GB2312" w:cs="Times New Roman"/>
          <w:snapToGrid w:val="0"/>
          <w:color w:val="auto"/>
          <w:sz w:val="32"/>
          <w:szCs w:val="32"/>
          <w:lang w:val="en-US" w:eastAsia="zh-CN"/>
        </w:rPr>
        <w:t>因该片区原为集体土地，随着城市变迁，现在居民基本为城镇居民，受征地补偿款使用范围和内容的限制，</w:t>
      </w:r>
      <w:r>
        <w:rPr>
          <w:rFonts w:hint="eastAsia" w:ascii="Times New Roman" w:hAnsi="Times New Roman" w:eastAsia="仿宋_GB2312" w:cs="Times New Roman"/>
          <w:snapToGrid w:val="0"/>
          <w:color w:val="000000" w:themeColor="text1"/>
          <w:sz w:val="32"/>
          <w:szCs w:val="32"/>
          <w:lang w:val="en-US" w:eastAsia="zh-CN"/>
          <w14:textFill>
            <w14:solidFill>
              <w14:schemeClr w14:val="tx1"/>
            </w14:solidFill>
          </w14:textFill>
        </w:rPr>
        <w:t>2023年度使用0元，占总金额0%</w:t>
      </w:r>
      <w:r>
        <w:rPr>
          <w:rFonts w:hint="eastAsia" w:ascii="Times New Roman" w:hAnsi="Times New Roman" w:eastAsia="仿宋_GB2312" w:cs="Times New Roman"/>
          <w:snapToGrid w:val="0"/>
          <w:color w:val="000000" w:themeColor="text1"/>
          <w:sz w:val="32"/>
          <w:szCs w:val="32"/>
          <w:lang w:eastAsia="zh-CN"/>
          <w14:textFill>
            <w14:solidFill>
              <w14:schemeClr w14:val="tx1"/>
            </w14:solidFill>
          </w14:textFill>
        </w:rPr>
        <w:t>，</w:t>
      </w:r>
      <w:r>
        <w:rPr>
          <w:rFonts w:hint="eastAsia" w:ascii="Times New Roman" w:hAnsi="Times New Roman" w:eastAsia="仿宋_GB2312" w:cs="Times New Roman"/>
          <w:snapToGrid w:val="0"/>
          <w:color w:val="000000" w:themeColor="text1"/>
          <w:sz w:val="32"/>
          <w:szCs w:val="32"/>
          <w:lang w:val="en-US" w:eastAsia="zh-CN"/>
          <w14:textFill>
            <w14:solidFill>
              <w14:schemeClr w14:val="tx1"/>
            </w14:solidFill>
          </w14:textFill>
        </w:rPr>
        <w:t>无法按照</w:t>
      </w:r>
      <w:r>
        <w:rPr>
          <w:rFonts w:ascii="Times New Roman" w:hAnsi="Times New Roman" w:eastAsia="仿宋_GB2312"/>
          <w:color w:val="000000" w:themeColor="text1"/>
          <w:sz w:val="32"/>
          <w:szCs w:val="32"/>
          <w14:textFill>
            <w14:solidFill>
              <w14:schemeClr w14:val="tx1"/>
            </w14:solidFill>
          </w14:textFill>
        </w:rPr>
        <w:t>年度设定的绩效目标</w:t>
      </w:r>
      <w:r>
        <w:rPr>
          <w:rFonts w:hint="eastAsia" w:ascii="Times New Roman" w:hAnsi="Times New Roman" w:eastAsia="仿宋_GB2312"/>
          <w:color w:val="000000" w:themeColor="text1"/>
          <w:sz w:val="32"/>
          <w:szCs w:val="32"/>
          <w:lang w:val="en-US" w:eastAsia="zh-CN"/>
          <w14:textFill>
            <w14:solidFill>
              <w14:schemeClr w14:val="tx1"/>
            </w14:solidFill>
          </w14:textFill>
        </w:rPr>
        <w:t>执行</w:t>
      </w:r>
      <w:r>
        <w:rPr>
          <w:rFonts w:ascii="Times New Roman" w:hAnsi="Times New Roman" w:eastAsia="仿宋_GB2312"/>
          <w:color w:val="000000" w:themeColor="text1"/>
          <w:sz w:val="32"/>
          <w:szCs w:val="32"/>
          <w14:textFill>
            <w14:solidFill>
              <w14:schemeClr w14:val="tx1"/>
            </w14:solidFill>
          </w14:textFill>
        </w:rPr>
        <w:t>，</w:t>
      </w:r>
      <w:r>
        <w:rPr>
          <w:rFonts w:hint="eastAsia" w:ascii="Times New Roman" w:hAnsi="Times New Roman" w:eastAsia="仿宋_GB2312"/>
          <w:color w:val="000000" w:themeColor="text1"/>
          <w:sz w:val="32"/>
          <w:szCs w:val="32"/>
          <w:lang w:val="en-US" w:eastAsia="zh-CN"/>
          <w14:textFill>
            <w14:solidFill>
              <w14:schemeClr w14:val="tx1"/>
            </w14:solidFill>
          </w14:textFill>
        </w:rPr>
        <w:t>未</w:t>
      </w:r>
      <w:r>
        <w:rPr>
          <w:rFonts w:ascii="Times New Roman" w:hAnsi="Times New Roman" w:eastAsia="仿宋_GB2312"/>
          <w:color w:val="000000" w:themeColor="text1"/>
          <w:sz w:val="32"/>
          <w:szCs w:val="32"/>
          <w14:textFill>
            <w14:solidFill>
              <w14:schemeClr w14:val="tx1"/>
            </w14:solidFill>
          </w14:textFill>
        </w:rPr>
        <w:t>达到项目预期效果。</w:t>
      </w:r>
    </w:p>
    <w:p w14:paraId="55B7611D">
      <w:pPr>
        <w:widowControl/>
        <w:spacing w:line="600" w:lineRule="exact"/>
        <w:ind w:firstLine="643" w:firstLineChars="200"/>
        <w:rPr>
          <w:rFonts w:ascii="Times New Roman" w:hAnsi="Times New Roman" w:eastAsia="楷体_GB2312"/>
          <w:b/>
          <w:color w:val="auto"/>
          <w:sz w:val="32"/>
          <w:szCs w:val="32"/>
        </w:rPr>
      </w:pPr>
      <w:r>
        <w:rPr>
          <w:rFonts w:ascii="Times New Roman" w:hAnsi="Times New Roman" w:eastAsia="楷体_GB2312"/>
          <w:b/>
          <w:color w:val="auto"/>
          <w:sz w:val="32"/>
          <w:szCs w:val="32"/>
        </w:rPr>
        <w:t>（二）</w:t>
      </w:r>
      <w:r>
        <w:rPr>
          <w:rFonts w:hint="eastAsia" w:ascii="Times New Roman" w:hAnsi="Times New Roman" w:eastAsia="楷体_GB2312"/>
          <w:b/>
          <w:color w:val="auto"/>
          <w:sz w:val="32"/>
          <w:szCs w:val="32"/>
        </w:rPr>
        <w:t>评价</w:t>
      </w:r>
      <w:r>
        <w:rPr>
          <w:rFonts w:ascii="Times New Roman" w:hAnsi="Times New Roman" w:eastAsia="楷体_GB2312"/>
          <w:b/>
          <w:color w:val="auto"/>
          <w:sz w:val="32"/>
          <w:szCs w:val="32"/>
        </w:rPr>
        <w:t>结果</w:t>
      </w:r>
    </w:p>
    <w:p w14:paraId="2B58B3A6">
      <w:pPr>
        <w:spacing w:line="600" w:lineRule="exact"/>
        <w:jc w:val="left"/>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经评价，</w:t>
      </w:r>
      <w:r>
        <w:rPr>
          <w:rFonts w:hint="eastAsia" w:ascii="仿宋" w:hAnsi="仿宋" w:eastAsia="仿宋" w:cs="仿宋"/>
          <w:bCs/>
          <w:color w:val="auto"/>
          <w:sz w:val="32"/>
          <w:szCs w:val="32"/>
          <w:lang w:eastAsia="zh-CN"/>
        </w:rPr>
        <w:t>淮南路项目胜利路街道征地预存款项目</w:t>
      </w:r>
      <w:r>
        <w:rPr>
          <w:rFonts w:hint="eastAsia" w:ascii="仿宋" w:hAnsi="仿宋" w:eastAsia="仿宋" w:cs="仿宋"/>
          <w:color w:val="auto"/>
          <w:sz w:val="32"/>
          <w:szCs w:val="32"/>
        </w:rPr>
        <w:t>综合得分为</w:t>
      </w:r>
      <w:r>
        <w:rPr>
          <w:rFonts w:hint="eastAsia" w:ascii="仿宋" w:hAnsi="仿宋" w:eastAsia="仿宋" w:cs="仿宋"/>
          <w:color w:val="auto"/>
          <w:sz w:val="32"/>
          <w:szCs w:val="32"/>
          <w:lang w:val="en-US" w:eastAsia="zh-CN"/>
        </w:rPr>
        <w:t>74</w:t>
      </w:r>
      <w:r>
        <w:rPr>
          <w:rFonts w:hint="eastAsia" w:ascii="仿宋" w:hAnsi="仿宋" w:eastAsia="仿宋" w:cs="仿宋"/>
          <w:color w:val="auto"/>
          <w:sz w:val="32"/>
          <w:szCs w:val="32"/>
        </w:rPr>
        <w:t>分，评价结果为“</w:t>
      </w:r>
      <w:r>
        <w:rPr>
          <w:rFonts w:hint="eastAsia" w:ascii="仿宋" w:hAnsi="仿宋" w:eastAsia="仿宋" w:cs="仿宋"/>
          <w:color w:val="auto"/>
          <w:sz w:val="32"/>
          <w:szCs w:val="32"/>
          <w:lang w:val="en-US" w:eastAsia="zh-CN"/>
        </w:rPr>
        <w:t>中</w:t>
      </w:r>
      <w:r>
        <w:rPr>
          <w:rFonts w:hint="eastAsia" w:ascii="仿宋" w:hAnsi="仿宋" w:eastAsia="仿宋" w:cs="仿宋"/>
          <w:color w:val="auto"/>
          <w:sz w:val="32"/>
          <w:szCs w:val="32"/>
        </w:rPr>
        <w:t>”。</w:t>
      </w:r>
    </w:p>
    <w:p w14:paraId="5BA5FC02">
      <w:pPr>
        <w:spacing w:line="600" w:lineRule="exact"/>
        <w:ind w:firstLine="640" w:firstLineChars="200"/>
        <w:rPr>
          <w:rFonts w:ascii="Times New Roman" w:hAnsi="Times New Roman" w:eastAsia="黑体"/>
          <w:color w:val="auto"/>
          <w:sz w:val="32"/>
          <w:szCs w:val="32"/>
        </w:rPr>
      </w:pPr>
      <w:r>
        <w:rPr>
          <w:rFonts w:ascii="Times New Roman" w:hAnsi="Times New Roman" w:eastAsia="黑体"/>
          <w:color w:val="auto"/>
          <w:sz w:val="32"/>
          <w:szCs w:val="32"/>
        </w:rPr>
        <w:t>三、指标分析</w:t>
      </w:r>
    </w:p>
    <w:p w14:paraId="32E7A538">
      <w:pPr>
        <w:spacing w:line="600" w:lineRule="exact"/>
        <w:ind w:firstLine="640" w:firstLineChars="200"/>
        <w:rPr>
          <w:rFonts w:ascii="Times New Roman" w:hAnsi="Times New Roman" w:eastAsia="仿宋_GB2312"/>
          <w:color w:val="auto"/>
          <w:sz w:val="32"/>
          <w:szCs w:val="32"/>
        </w:rPr>
      </w:pPr>
      <w:r>
        <w:rPr>
          <w:rFonts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ascii="Times New Roman" w:hAnsi="Times New Roman" w:eastAsia="仿宋_GB2312"/>
          <w:color w:val="auto"/>
          <w:sz w:val="32"/>
          <w:szCs w:val="32"/>
        </w:rPr>
        <w:t>年度</w:t>
      </w:r>
      <w:r>
        <w:rPr>
          <w:rFonts w:hint="eastAsia" w:ascii="仿宋" w:hAnsi="仿宋" w:eastAsia="仿宋" w:cs="仿宋"/>
          <w:bCs/>
          <w:color w:val="auto"/>
          <w:sz w:val="32"/>
          <w:szCs w:val="32"/>
          <w:lang w:eastAsia="zh-CN"/>
        </w:rPr>
        <w:t>淮南路项目胜利路街道征地预存款项目</w:t>
      </w:r>
      <w:r>
        <w:rPr>
          <w:rFonts w:ascii="Times New Roman" w:hAnsi="Times New Roman" w:eastAsia="仿宋_GB2312"/>
          <w:color w:val="auto"/>
          <w:sz w:val="32"/>
          <w:szCs w:val="32"/>
        </w:rPr>
        <w:t>绩效</w:t>
      </w:r>
      <w:r>
        <w:rPr>
          <w:rFonts w:hint="eastAsia" w:ascii="Times New Roman" w:hAnsi="Times New Roman" w:eastAsia="仿宋_GB2312"/>
          <w:color w:val="auto"/>
          <w:sz w:val="32"/>
          <w:szCs w:val="32"/>
        </w:rPr>
        <w:t>评价</w:t>
      </w:r>
      <w:r>
        <w:rPr>
          <w:rFonts w:ascii="Times New Roman" w:hAnsi="Times New Roman" w:eastAsia="仿宋_GB2312"/>
          <w:color w:val="auto"/>
          <w:sz w:val="32"/>
          <w:szCs w:val="32"/>
        </w:rPr>
        <w:t>指标体系设置</w:t>
      </w:r>
      <w:r>
        <w:rPr>
          <w:rFonts w:hint="eastAsia" w:ascii="Times New Roman" w:hAnsi="Times New Roman" w:eastAsia="仿宋_GB2312"/>
          <w:color w:val="auto"/>
          <w:sz w:val="32"/>
          <w:szCs w:val="32"/>
          <w:lang w:eastAsia="zh-CN"/>
        </w:rPr>
        <w:t>预算执行率和</w:t>
      </w:r>
      <w:r>
        <w:rPr>
          <w:rFonts w:hint="eastAsia" w:ascii="Times New Roman" w:hAnsi="Times New Roman" w:eastAsia="仿宋_GB2312"/>
          <w:color w:val="auto"/>
          <w:sz w:val="32"/>
          <w:szCs w:val="32"/>
          <w:lang w:val="en-US" w:eastAsia="zh-CN"/>
        </w:rPr>
        <w:t>3</w:t>
      </w:r>
      <w:r>
        <w:rPr>
          <w:rFonts w:ascii="Times New Roman" w:hAnsi="Times New Roman" w:eastAsia="仿宋_GB2312"/>
          <w:color w:val="auto"/>
          <w:sz w:val="32"/>
          <w:szCs w:val="32"/>
        </w:rPr>
        <w:t>个一级指标，</w:t>
      </w:r>
      <w:r>
        <w:rPr>
          <w:rFonts w:hint="eastAsia" w:ascii="Times New Roman" w:hAnsi="Times New Roman" w:eastAsia="仿宋_GB2312"/>
          <w:color w:val="auto"/>
          <w:sz w:val="32"/>
          <w:szCs w:val="32"/>
          <w:lang w:val="en-US" w:eastAsia="zh-CN"/>
        </w:rPr>
        <w:t>8</w:t>
      </w:r>
      <w:r>
        <w:rPr>
          <w:rFonts w:ascii="Times New Roman" w:hAnsi="Times New Roman" w:eastAsia="仿宋_GB2312"/>
          <w:color w:val="auto"/>
          <w:sz w:val="32"/>
          <w:szCs w:val="32"/>
        </w:rPr>
        <w:t>个二级指标，</w:t>
      </w:r>
      <w:r>
        <w:rPr>
          <w:rFonts w:hint="eastAsia" w:ascii="Times New Roman" w:hAnsi="Times New Roman" w:eastAsia="仿宋_GB2312"/>
          <w:color w:val="auto"/>
          <w:sz w:val="32"/>
          <w:szCs w:val="32"/>
          <w:lang w:val="en-US" w:eastAsia="zh-CN"/>
        </w:rPr>
        <w:t>8</w:t>
      </w:r>
      <w:r>
        <w:rPr>
          <w:rFonts w:ascii="Times New Roman" w:hAnsi="Times New Roman" w:eastAsia="仿宋_GB2312"/>
          <w:color w:val="auto"/>
          <w:sz w:val="32"/>
          <w:szCs w:val="32"/>
        </w:rPr>
        <w:t>个三级指标，各项指标评分情况分析如下：</w:t>
      </w:r>
    </w:p>
    <w:p w14:paraId="756AC6EF">
      <w:pPr>
        <w:spacing w:line="592" w:lineRule="exact"/>
        <w:ind w:firstLine="643" w:firstLineChars="200"/>
        <w:rPr>
          <w:rFonts w:ascii="Times New Roman" w:hAnsi="Times New Roman" w:eastAsia="楷体_GB2312"/>
          <w:b/>
          <w:bCs/>
          <w:color w:val="auto"/>
          <w:sz w:val="32"/>
        </w:rPr>
      </w:pPr>
      <w:r>
        <w:rPr>
          <w:rFonts w:ascii="Times New Roman" w:hAnsi="Times New Roman" w:eastAsia="楷体_GB2312"/>
          <w:b/>
          <w:bCs/>
          <w:color w:val="auto"/>
          <w:sz w:val="32"/>
        </w:rPr>
        <w:t>（一）预算执行率（满分10分，实得</w:t>
      </w:r>
      <w:r>
        <w:rPr>
          <w:rFonts w:hint="eastAsia" w:ascii="Times New Roman" w:hAnsi="Times New Roman" w:eastAsia="楷体_GB2312"/>
          <w:b/>
          <w:bCs/>
          <w:color w:val="auto"/>
          <w:sz w:val="32"/>
          <w:lang w:val="en-US" w:eastAsia="zh-CN"/>
        </w:rPr>
        <w:t>0</w:t>
      </w:r>
      <w:r>
        <w:rPr>
          <w:rFonts w:ascii="Times New Roman" w:hAnsi="Times New Roman" w:eastAsia="楷体_GB2312"/>
          <w:b/>
          <w:bCs/>
          <w:color w:val="auto"/>
          <w:sz w:val="32"/>
        </w:rPr>
        <w:t>分）</w:t>
      </w:r>
    </w:p>
    <w:p w14:paraId="36E0E624">
      <w:pPr>
        <w:spacing w:line="592" w:lineRule="exact"/>
        <w:ind w:right="-283" w:firstLine="640" w:firstLineChars="200"/>
        <w:rPr>
          <w:rFonts w:ascii="Times New Roman" w:hAnsi="Times New Roman" w:eastAsia="仿宋_GB2312"/>
          <w:color w:val="auto"/>
          <w:sz w:val="32"/>
          <w:szCs w:val="32"/>
        </w:rPr>
      </w:pPr>
      <w:r>
        <w:rPr>
          <w:rFonts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ascii="Times New Roman" w:hAnsi="Times New Roman" w:eastAsia="仿宋_GB2312"/>
          <w:color w:val="auto"/>
          <w:sz w:val="32"/>
          <w:szCs w:val="32"/>
        </w:rPr>
        <w:t>年</w:t>
      </w:r>
      <w:r>
        <w:rPr>
          <w:rFonts w:hint="eastAsia" w:ascii="Times New Roman" w:hAnsi="Times New Roman" w:eastAsia="仿宋_GB2312"/>
          <w:color w:val="auto"/>
          <w:sz w:val="32"/>
          <w:szCs w:val="32"/>
          <w:lang w:eastAsia="zh-CN"/>
        </w:rPr>
        <w:t>，</w:t>
      </w:r>
      <w:r>
        <w:rPr>
          <w:rFonts w:hint="eastAsia" w:ascii="仿宋" w:hAnsi="仿宋" w:eastAsia="仿宋" w:cs="仿宋"/>
          <w:bCs/>
          <w:color w:val="auto"/>
          <w:sz w:val="32"/>
          <w:szCs w:val="32"/>
          <w:lang w:eastAsia="zh-CN"/>
        </w:rPr>
        <w:t>淮南路项目胜利路街道征地预存款项目</w:t>
      </w:r>
      <w:r>
        <w:rPr>
          <w:rFonts w:ascii="Times New Roman" w:hAnsi="Times New Roman" w:eastAsia="仿宋_GB2312"/>
          <w:color w:val="auto"/>
          <w:sz w:val="32"/>
          <w:szCs w:val="32"/>
        </w:rPr>
        <w:t>全年预算安排</w:t>
      </w:r>
      <w:r>
        <w:rPr>
          <w:rFonts w:hint="eastAsia" w:ascii="Times New Roman" w:hAnsi="Times New Roman" w:eastAsia="仿宋_GB2312"/>
          <w:color w:val="auto"/>
          <w:sz w:val="32"/>
          <w:szCs w:val="32"/>
          <w:lang w:val="en-US" w:eastAsia="zh-CN"/>
        </w:rPr>
        <w:t>194.629875万元</w:t>
      </w:r>
      <w:r>
        <w:rPr>
          <w:rFonts w:ascii="Times New Roman" w:hAnsi="Times New Roman" w:eastAsia="仿宋_GB2312"/>
          <w:color w:val="auto"/>
          <w:sz w:val="32"/>
          <w:szCs w:val="32"/>
        </w:rPr>
        <w:t>，</w:t>
      </w:r>
      <w:r>
        <w:rPr>
          <w:rFonts w:hint="eastAsia" w:ascii="Times New Roman" w:hAnsi="Times New Roman" w:eastAsia="仿宋_GB2312"/>
          <w:color w:val="auto"/>
          <w:sz w:val="32"/>
          <w:szCs w:val="32"/>
          <w:lang w:val="en-US" w:eastAsia="zh-CN"/>
        </w:rPr>
        <w:t>调整后的预算为194.629875万元，</w:t>
      </w:r>
      <w:r>
        <w:rPr>
          <w:rFonts w:ascii="Times New Roman" w:hAnsi="Times New Roman" w:eastAsia="仿宋_GB2312"/>
          <w:color w:val="auto"/>
          <w:sz w:val="32"/>
          <w:szCs w:val="32"/>
        </w:rPr>
        <w:t>全年执行</w:t>
      </w:r>
      <w:r>
        <w:rPr>
          <w:rFonts w:hint="eastAsia" w:ascii="Times New Roman" w:hAnsi="Times New Roman" w:eastAsia="仿宋_GB2312"/>
          <w:color w:val="auto"/>
          <w:sz w:val="32"/>
          <w:szCs w:val="32"/>
          <w:lang w:val="en-US" w:eastAsia="zh-CN"/>
        </w:rPr>
        <w:t>0</w:t>
      </w:r>
      <w:r>
        <w:rPr>
          <w:rFonts w:ascii="Times New Roman" w:hAnsi="Times New Roman" w:eastAsia="仿宋_GB2312"/>
          <w:color w:val="auto"/>
          <w:sz w:val="32"/>
          <w:szCs w:val="32"/>
        </w:rPr>
        <w:t>元，预算执行率</w:t>
      </w:r>
      <w:r>
        <w:rPr>
          <w:rFonts w:hint="eastAsia" w:ascii="Times New Roman" w:hAnsi="Times New Roman" w:eastAsia="仿宋_GB2312"/>
          <w:color w:val="auto"/>
          <w:sz w:val="32"/>
          <w:szCs w:val="32"/>
          <w:lang w:val="en-US" w:eastAsia="zh-CN"/>
        </w:rPr>
        <w:t>0</w:t>
      </w:r>
      <w:r>
        <w:rPr>
          <w:rFonts w:ascii="Times New Roman" w:hAnsi="Times New Roman" w:eastAsia="仿宋_GB2312"/>
          <w:color w:val="auto"/>
          <w:sz w:val="32"/>
          <w:szCs w:val="32"/>
        </w:rPr>
        <w:t>%，得分</w:t>
      </w:r>
      <w:r>
        <w:rPr>
          <w:rFonts w:hint="eastAsia" w:ascii="Times New Roman" w:hAnsi="Times New Roman" w:eastAsia="仿宋_GB2312"/>
          <w:color w:val="auto"/>
          <w:sz w:val="32"/>
          <w:szCs w:val="32"/>
          <w:lang w:val="en-US" w:eastAsia="zh-CN"/>
        </w:rPr>
        <w:t>0</w:t>
      </w:r>
      <w:r>
        <w:rPr>
          <w:rFonts w:ascii="Times New Roman" w:hAnsi="Times New Roman" w:eastAsia="仿宋_GB2312"/>
          <w:color w:val="auto"/>
          <w:sz w:val="32"/>
          <w:szCs w:val="32"/>
        </w:rPr>
        <w:t>分。</w:t>
      </w:r>
    </w:p>
    <w:p w14:paraId="014D7227">
      <w:pPr>
        <w:widowControl/>
        <w:spacing w:line="600" w:lineRule="exact"/>
        <w:ind w:firstLine="643" w:firstLineChars="200"/>
        <w:rPr>
          <w:rFonts w:ascii="Times New Roman" w:hAnsi="Times New Roman" w:eastAsia="楷体_GB2312"/>
          <w:b/>
          <w:color w:val="auto"/>
          <w:sz w:val="32"/>
          <w:szCs w:val="32"/>
        </w:rPr>
      </w:pPr>
      <w:r>
        <w:rPr>
          <w:rFonts w:ascii="Times New Roman" w:hAnsi="Times New Roman" w:eastAsia="楷体_GB2312"/>
          <w:b/>
          <w:color w:val="auto"/>
          <w:sz w:val="32"/>
          <w:szCs w:val="32"/>
        </w:rPr>
        <w:t>（</w:t>
      </w:r>
      <w:r>
        <w:rPr>
          <w:rFonts w:hint="eastAsia" w:ascii="Times New Roman" w:hAnsi="Times New Roman" w:eastAsia="楷体_GB2312"/>
          <w:b/>
          <w:color w:val="auto"/>
          <w:sz w:val="32"/>
          <w:szCs w:val="32"/>
          <w:lang w:eastAsia="zh-CN"/>
        </w:rPr>
        <w:t>二</w:t>
      </w:r>
      <w:r>
        <w:rPr>
          <w:rFonts w:ascii="Times New Roman" w:hAnsi="Times New Roman" w:eastAsia="楷体_GB2312"/>
          <w:b/>
          <w:color w:val="auto"/>
          <w:sz w:val="32"/>
          <w:szCs w:val="32"/>
        </w:rPr>
        <w:t>）产出指标（满分</w:t>
      </w:r>
      <w:r>
        <w:rPr>
          <w:rFonts w:hint="eastAsia" w:ascii="Times New Roman" w:hAnsi="Times New Roman" w:eastAsia="楷体_GB2312"/>
          <w:b/>
          <w:color w:val="auto"/>
          <w:sz w:val="32"/>
          <w:szCs w:val="32"/>
          <w:lang w:val="en-US" w:eastAsia="zh-CN"/>
        </w:rPr>
        <w:t>50</w:t>
      </w:r>
      <w:r>
        <w:rPr>
          <w:rFonts w:ascii="Times New Roman" w:hAnsi="Times New Roman" w:eastAsia="楷体_GB2312"/>
          <w:b/>
          <w:color w:val="auto"/>
          <w:sz w:val="32"/>
          <w:szCs w:val="32"/>
        </w:rPr>
        <w:t>分，实得</w:t>
      </w:r>
      <w:r>
        <w:rPr>
          <w:rFonts w:hint="eastAsia" w:ascii="Times New Roman" w:hAnsi="Times New Roman" w:eastAsia="楷体_GB2312"/>
          <w:b/>
          <w:color w:val="auto"/>
          <w:sz w:val="32"/>
          <w:szCs w:val="32"/>
          <w:lang w:val="en-US" w:eastAsia="zh-CN"/>
        </w:rPr>
        <w:t>34</w:t>
      </w:r>
      <w:r>
        <w:rPr>
          <w:rFonts w:ascii="Times New Roman" w:hAnsi="Times New Roman" w:eastAsia="楷体_GB2312"/>
          <w:b/>
          <w:color w:val="auto"/>
          <w:sz w:val="32"/>
          <w:szCs w:val="32"/>
        </w:rPr>
        <w:t>分）</w:t>
      </w:r>
    </w:p>
    <w:p w14:paraId="3A12F5F1">
      <w:pPr>
        <w:spacing w:line="600" w:lineRule="exact"/>
        <w:ind w:firstLine="640" w:firstLineChars="200"/>
        <w:rPr>
          <w:rFonts w:ascii="Times New Roman" w:hAnsi="Times New Roman" w:eastAsia="仿宋_GB2312"/>
          <w:color w:val="auto"/>
          <w:sz w:val="32"/>
          <w:szCs w:val="32"/>
        </w:rPr>
      </w:pPr>
      <w:r>
        <w:rPr>
          <w:rFonts w:ascii="Times New Roman" w:hAnsi="Times New Roman" w:eastAsia="仿宋_GB2312"/>
          <w:color w:val="auto"/>
          <w:sz w:val="32"/>
          <w:szCs w:val="32"/>
        </w:rPr>
        <w:t>1.数量指标（满分</w:t>
      </w:r>
      <w:r>
        <w:rPr>
          <w:rFonts w:hint="eastAsia" w:ascii="Times New Roman" w:hAnsi="Times New Roman" w:eastAsia="仿宋_GB2312"/>
          <w:color w:val="auto"/>
          <w:sz w:val="32"/>
          <w:szCs w:val="32"/>
          <w:lang w:val="en-US" w:eastAsia="zh-CN"/>
        </w:rPr>
        <w:t>20</w:t>
      </w:r>
      <w:r>
        <w:rPr>
          <w:rFonts w:ascii="Times New Roman" w:hAnsi="Times New Roman" w:eastAsia="仿宋_GB2312"/>
          <w:color w:val="auto"/>
          <w:sz w:val="32"/>
          <w:szCs w:val="32"/>
        </w:rPr>
        <w:t>分，实得</w:t>
      </w:r>
      <w:r>
        <w:rPr>
          <w:rFonts w:hint="eastAsia" w:ascii="Times New Roman" w:hAnsi="Times New Roman" w:eastAsia="仿宋_GB2312"/>
          <w:color w:val="auto"/>
          <w:sz w:val="32"/>
          <w:szCs w:val="32"/>
          <w:lang w:val="en-US" w:eastAsia="zh-CN"/>
        </w:rPr>
        <w:t>20</w:t>
      </w:r>
      <w:r>
        <w:rPr>
          <w:rFonts w:ascii="Times New Roman" w:hAnsi="Times New Roman" w:eastAsia="仿宋_GB2312"/>
          <w:color w:val="auto"/>
          <w:sz w:val="32"/>
          <w:szCs w:val="32"/>
        </w:rPr>
        <w:t>分）</w:t>
      </w:r>
    </w:p>
    <w:p w14:paraId="14DD6D35">
      <w:pPr>
        <w:spacing w:line="600" w:lineRule="exact"/>
        <w:ind w:firstLine="640" w:firstLineChars="200"/>
        <w:rPr>
          <w:rFonts w:ascii="Times New Roman" w:eastAsia="仿宋_GB2312"/>
          <w:color w:val="auto"/>
          <w:sz w:val="32"/>
          <w:szCs w:val="32"/>
        </w:rPr>
      </w:pPr>
      <w:r>
        <w:rPr>
          <w:rFonts w:ascii="Times New Roman" w:eastAsia="仿宋_GB2312"/>
          <w:color w:val="auto"/>
          <w:sz w:val="32"/>
          <w:szCs w:val="32"/>
        </w:rPr>
        <w:t>年度设定的数量指标为</w:t>
      </w:r>
      <w:r>
        <w:rPr>
          <w:rFonts w:hint="eastAsia" w:ascii="Times New Roman" w:eastAsia="仿宋_GB2312"/>
          <w:color w:val="auto"/>
          <w:sz w:val="32"/>
          <w:szCs w:val="32"/>
          <w:lang w:val="en-US" w:eastAsia="zh-CN"/>
        </w:rPr>
        <w:t>征收集体土地建设用地面积</w:t>
      </w:r>
      <w:r>
        <w:rPr>
          <w:rFonts w:ascii="Times New Roman" w:eastAsia="仿宋_GB2312"/>
          <w:color w:val="auto"/>
          <w:sz w:val="32"/>
          <w:szCs w:val="32"/>
        </w:rPr>
        <w:t>；截至</w:t>
      </w:r>
      <w:r>
        <w:rPr>
          <w:rFonts w:eastAsia="仿宋_GB2312"/>
          <w:color w:val="auto"/>
          <w:sz w:val="32"/>
          <w:szCs w:val="32"/>
        </w:rPr>
        <w:t>202</w:t>
      </w:r>
      <w:r>
        <w:rPr>
          <w:rFonts w:hint="eastAsia" w:eastAsia="仿宋_GB2312"/>
          <w:color w:val="auto"/>
          <w:sz w:val="32"/>
          <w:szCs w:val="32"/>
          <w:lang w:val="en-US" w:eastAsia="zh-CN"/>
        </w:rPr>
        <w:t>3</w:t>
      </w:r>
      <w:r>
        <w:rPr>
          <w:rFonts w:ascii="Times New Roman" w:eastAsia="仿宋_GB2312"/>
          <w:color w:val="auto"/>
          <w:sz w:val="32"/>
          <w:szCs w:val="32"/>
        </w:rPr>
        <w:t>年底</w:t>
      </w:r>
      <w:r>
        <w:rPr>
          <w:rFonts w:hint="eastAsia" w:ascii="Times New Roman" w:eastAsia="仿宋_GB2312"/>
          <w:color w:val="auto"/>
          <w:sz w:val="32"/>
          <w:szCs w:val="32"/>
        </w:rPr>
        <w:t>已完成，</w:t>
      </w:r>
      <w:r>
        <w:rPr>
          <w:rFonts w:ascii="Times New Roman" w:eastAsia="仿宋_GB2312"/>
          <w:color w:val="auto"/>
          <w:sz w:val="32"/>
          <w:szCs w:val="32"/>
        </w:rPr>
        <w:t>实际完成率为</w:t>
      </w:r>
      <w:r>
        <w:rPr>
          <w:rFonts w:hint="eastAsia" w:ascii="Times New Roman" w:eastAsia="仿宋_GB2312"/>
          <w:color w:val="auto"/>
          <w:sz w:val="32"/>
          <w:szCs w:val="32"/>
        </w:rPr>
        <w:t>100</w:t>
      </w:r>
      <w:r>
        <w:rPr>
          <w:rFonts w:ascii="Times New Roman" w:eastAsia="仿宋_GB2312"/>
          <w:color w:val="auto"/>
          <w:sz w:val="32"/>
          <w:szCs w:val="32"/>
        </w:rPr>
        <w:t>%，得分</w:t>
      </w:r>
      <w:r>
        <w:rPr>
          <w:rFonts w:hint="eastAsia" w:ascii="Times New Roman" w:eastAsia="仿宋_GB2312"/>
          <w:color w:val="auto"/>
          <w:sz w:val="32"/>
          <w:szCs w:val="32"/>
          <w:lang w:val="en-US" w:eastAsia="zh-CN"/>
        </w:rPr>
        <w:t>20</w:t>
      </w:r>
      <w:r>
        <w:rPr>
          <w:rFonts w:ascii="Times New Roman" w:eastAsia="仿宋_GB2312"/>
          <w:color w:val="auto"/>
          <w:sz w:val="32"/>
          <w:szCs w:val="32"/>
        </w:rPr>
        <w:t>分。</w:t>
      </w:r>
    </w:p>
    <w:p w14:paraId="4F431A08">
      <w:pPr>
        <w:spacing w:line="600" w:lineRule="exact"/>
        <w:ind w:firstLine="640" w:firstLineChars="200"/>
        <w:rPr>
          <w:rFonts w:ascii="Times New Roman" w:hAnsi="Times New Roman" w:eastAsia="仿宋_GB2312"/>
          <w:color w:val="auto"/>
          <w:sz w:val="32"/>
          <w:szCs w:val="32"/>
        </w:rPr>
      </w:pPr>
      <w:r>
        <w:rPr>
          <w:rFonts w:ascii="Times New Roman" w:hAnsi="Times New Roman" w:eastAsia="仿宋_GB2312"/>
          <w:color w:val="auto"/>
          <w:sz w:val="32"/>
          <w:szCs w:val="32"/>
        </w:rPr>
        <w:t>2.</w:t>
      </w:r>
      <w:r>
        <w:rPr>
          <w:rFonts w:hint="eastAsia" w:ascii="Times New Roman" w:hAnsi="Times New Roman" w:eastAsia="仿宋_GB2312"/>
          <w:color w:val="auto"/>
          <w:sz w:val="32"/>
          <w:szCs w:val="32"/>
          <w:lang w:val="en-US" w:eastAsia="zh-CN"/>
        </w:rPr>
        <w:t>质量</w:t>
      </w:r>
      <w:r>
        <w:rPr>
          <w:rFonts w:ascii="Times New Roman" w:hAnsi="Times New Roman" w:eastAsia="仿宋_GB2312"/>
          <w:color w:val="auto"/>
          <w:sz w:val="32"/>
          <w:szCs w:val="32"/>
        </w:rPr>
        <w:t>指标（满分</w:t>
      </w:r>
      <w:r>
        <w:rPr>
          <w:rFonts w:hint="eastAsia" w:ascii="Times New Roman" w:hAnsi="Times New Roman" w:eastAsia="仿宋_GB2312"/>
          <w:color w:val="auto"/>
          <w:sz w:val="32"/>
          <w:szCs w:val="32"/>
          <w:lang w:val="en-US" w:eastAsia="zh-CN"/>
        </w:rPr>
        <w:t>10</w:t>
      </w:r>
      <w:r>
        <w:rPr>
          <w:rFonts w:ascii="Times New Roman" w:hAnsi="Times New Roman" w:eastAsia="仿宋_GB2312"/>
          <w:color w:val="auto"/>
          <w:sz w:val="32"/>
          <w:szCs w:val="32"/>
        </w:rPr>
        <w:t>分，实得</w:t>
      </w:r>
      <w:r>
        <w:rPr>
          <w:rFonts w:hint="eastAsia" w:ascii="Times New Roman" w:hAnsi="Times New Roman" w:eastAsia="仿宋_GB2312"/>
          <w:color w:val="auto"/>
          <w:sz w:val="32"/>
          <w:szCs w:val="32"/>
          <w:lang w:val="en-US" w:eastAsia="zh-CN"/>
        </w:rPr>
        <w:t>10</w:t>
      </w:r>
      <w:r>
        <w:rPr>
          <w:rFonts w:ascii="Times New Roman" w:hAnsi="Times New Roman" w:eastAsia="仿宋_GB2312"/>
          <w:color w:val="auto"/>
          <w:sz w:val="32"/>
          <w:szCs w:val="32"/>
        </w:rPr>
        <w:t>分）</w:t>
      </w:r>
    </w:p>
    <w:p w14:paraId="136B2F56">
      <w:pPr>
        <w:spacing w:line="600" w:lineRule="exact"/>
        <w:ind w:firstLine="640" w:firstLineChars="200"/>
        <w:rPr>
          <w:rFonts w:ascii="Times New Roman" w:eastAsia="仿宋_GB2312"/>
          <w:color w:val="auto"/>
          <w:sz w:val="32"/>
          <w:szCs w:val="32"/>
        </w:rPr>
      </w:pPr>
      <w:r>
        <w:rPr>
          <w:rFonts w:ascii="Times New Roman" w:eastAsia="仿宋_GB2312"/>
          <w:color w:val="auto"/>
          <w:sz w:val="32"/>
          <w:szCs w:val="32"/>
        </w:rPr>
        <w:t>年度设定的</w:t>
      </w:r>
      <w:r>
        <w:rPr>
          <w:rFonts w:hint="eastAsia" w:ascii="Times New Roman" w:eastAsia="仿宋_GB2312"/>
          <w:color w:val="auto"/>
          <w:sz w:val="32"/>
          <w:szCs w:val="32"/>
          <w:lang w:val="en-US" w:eastAsia="zh-CN"/>
        </w:rPr>
        <w:t>质量</w:t>
      </w:r>
      <w:r>
        <w:rPr>
          <w:rFonts w:ascii="Times New Roman" w:eastAsia="仿宋_GB2312"/>
          <w:color w:val="auto"/>
          <w:sz w:val="32"/>
          <w:szCs w:val="32"/>
        </w:rPr>
        <w:t>指标为</w:t>
      </w:r>
      <w:r>
        <w:rPr>
          <w:rFonts w:hint="eastAsia" w:ascii="Times New Roman" w:eastAsia="仿宋_GB2312"/>
          <w:color w:val="auto"/>
          <w:sz w:val="32"/>
          <w:szCs w:val="32"/>
          <w:lang w:val="en-US" w:eastAsia="zh-CN"/>
        </w:rPr>
        <w:t>经费支出合规性</w:t>
      </w:r>
      <w:r>
        <w:rPr>
          <w:rFonts w:ascii="Times New Roman" w:eastAsia="仿宋_GB2312"/>
          <w:color w:val="auto"/>
          <w:sz w:val="32"/>
          <w:szCs w:val="32"/>
        </w:rPr>
        <w:t>；实际完成情况为</w:t>
      </w:r>
      <w:r>
        <w:rPr>
          <w:rFonts w:hint="eastAsia" w:ascii="Times New Roman" w:eastAsia="仿宋_GB2312"/>
          <w:color w:val="auto"/>
          <w:sz w:val="32"/>
          <w:szCs w:val="32"/>
          <w:lang w:val="en-US" w:eastAsia="zh-CN"/>
        </w:rPr>
        <w:t>合规</w:t>
      </w:r>
      <w:r>
        <w:rPr>
          <w:rFonts w:ascii="Times New Roman" w:hAnsi="Times New Roman" w:eastAsia="仿宋_GB2312"/>
          <w:b/>
          <w:color w:val="auto"/>
          <w:sz w:val="32"/>
          <w:szCs w:val="32"/>
        </w:rPr>
        <w:t>，</w:t>
      </w:r>
      <w:r>
        <w:rPr>
          <w:rFonts w:ascii="Times New Roman" w:eastAsia="仿宋_GB2312"/>
          <w:color w:val="auto"/>
          <w:sz w:val="32"/>
          <w:szCs w:val="32"/>
        </w:rPr>
        <w:t>得分</w:t>
      </w:r>
      <w:r>
        <w:rPr>
          <w:rFonts w:hint="eastAsia" w:ascii="Times New Roman" w:eastAsia="仿宋_GB2312"/>
          <w:color w:val="auto"/>
          <w:sz w:val="32"/>
          <w:szCs w:val="32"/>
          <w:lang w:val="en-US" w:eastAsia="zh-CN"/>
        </w:rPr>
        <w:t>10</w:t>
      </w:r>
      <w:r>
        <w:rPr>
          <w:rFonts w:ascii="Times New Roman" w:eastAsia="仿宋_GB2312"/>
          <w:color w:val="auto"/>
          <w:sz w:val="32"/>
          <w:szCs w:val="32"/>
        </w:rPr>
        <w:t>分。</w:t>
      </w:r>
    </w:p>
    <w:p w14:paraId="3B405ED1">
      <w:pPr>
        <w:spacing w:line="600" w:lineRule="exact"/>
        <w:ind w:firstLine="640" w:firstLineChars="200"/>
        <w:rPr>
          <w:rFonts w:ascii="Times New Roman" w:hAnsi="Times New Roman" w:eastAsia="仿宋_GB2312"/>
          <w:color w:val="auto"/>
          <w:sz w:val="32"/>
          <w:szCs w:val="32"/>
        </w:rPr>
      </w:pPr>
      <w:r>
        <w:rPr>
          <w:rFonts w:ascii="Times New Roman" w:hAnsi="Times New Roman" w:eastAsia="仿宋_GB2312"/>
          <w:color w:val="auto"/>
          <w:sz w:val="32"/>
          <w:szCs w:val="32"/>
        </w:rPr>
        <w:t>3.</w:t>
      </w:r>
      <w:r>
        <w:rPr>
          <w:rFonts w:hint="eastAsia" w:ascii="Times New Roman" w:hAnsi="Times New Roman" w:eastAsia="仿宋_GB2312"/>
          <w:color w:val="auto"/>
          <w:sz w:val="32"/>
          <w:szCs w:val="32"/>
          <w:lang w:val="en-US" w:eastAsia="zh-CN"/>
        </w:rPr>
        <w:t>时效</w:t>
      </w:r>
      <w:r>
        <w:rPr>
          <w:rFonts w:ascii="Times New Roman" w:hAnsi="Times New Roman" w:eastAsia="仿宋_GB2312"/>
          <w:color w:val="auto"/>
          <w:sz w:val="32"/>
          <w:szCs w:val="32"/>
        </w:rPr>
        <w:t>指标（满分</w:t>
      </w:r>
      <w:r>
        <w:rPr>
          <w:rFonts w:hint="eastAsia" w:ascii="Times New Roman" w:hAnsi="Times New Roman" w:eastAsia="仿宋_GB2312"/>
          <w:color w:val="auto"/>
          <w:sz w:val="32"/>
          <w:szCs w:val="32"/>
          <w:lang w:val="en-US" w:eastAsia="zh-CN"/>
        </w:rPr>
        <w:t>10</w:t>
      </w:r>
      <w:r>
        <w:rPr>
          <w:rFonts w:ascii="Times New Roman" w:hAnsi="Times New Roman" w:eastAsia="仿宋_GB2312"/>
          <w:color w:val="auto"/>
          <w:sz w:val="32"/>
          <w:szCs w:val="32"/>
        </w:rPr>
        <w:t>分，实得</w:t>
      </w:r>
      <w:r>
        <w:rPr>
          <w:rFonts w:hint="eastAsia" w:ascii="Times New Roman" w:hAnsi="Times New Roman" w:eastAsia="仿宋_GB2312"/>
          <w:color w:val="auto"/>
          <w:sz w:val="32"/>
          <w:szCs w:val="32"/>
          <w:lang w:val="en-US" w:eastAsia="zh-CN"/>
        </w:rPr>
        <w:t>4</w:t>
      </w:r>
      <w:r>
        <w:rPr>
          <w:rFonts w:ascii="Times New Roman" w:hAnsi="Times New Roman" w:eastAsia="仿宋_GB2312"/>
          <w:color w:val="auto"/>
          <w:sz w:val="32"/>
          <w:szCs w:val="32"/>
        </w:rPr>
        <w:t>分）</w:t>
      </w:r>
    </w:p>
    <w:p w14:paraId="5E9B0A27">
      <w:pPr>
        <w:spacing w:line="600" w:lineRule="exact"/>
        <w:ind w:firstLine="640" w:firstLineChars="200"/>
        <w:rPr>
          <w:rFonts w:ascii="Times New Roman" w:eastAsia="仿宋_GB2312"/>
          <w:color w:val="auto"/>
          <w:sz w:val="32"/>
          <w:szCs w:val="32"/>
        </w:rPr>
      </w:pPr>
      <w:r>
        <w:rPr>
          <w:rFonts w:ascii="Times New Roman" w:eastAsia="仿宋_GB2312"/>
          <w:color w:val="auto"/>
          <w:sz w:val="32"/>
          <w:szCs w:val="32"/>
        </w:rPr>
        <w:t>年度设定的</w:t>
      </w:r>
      <w:r>
        <w:rPr>
          <w:rFonts w:hint="eastAsia" w:ascii="Times New Roman" w:eastAsia="仿宋_GB2312"/>
          <w:color w:val="auto"/>
          <w:sz w:val="32"/>
          <w:szCs w:val="32"/>
          <w:lang w:val="en-US" w:eastAsia="zh-CN"/>
        </w:rPr>
        <w:t>时效指标为经费支出时效性</w:t>
      </w:r>
      <w:r>
        <w:rPr>
          <w:rFonts w:ascii="Times New Roman" w:eastAsia="仿宋_GB2312"/>
          <w:color w:val="auto"/>
          <w:sz w:val="32"/>
          <w:szCs w:val="32"/>
        </w:rPr>
        <w:t>；实际完成情况为</w:t>
      </w:r>
      <w:r>
        <w:rPr>
          <w:rFonts w:hint="eastAsia" w:ascii="Times New Roman" w:eastAsia="仿宋_GB2312"/>
          <w:color w:val="auto"/>
          <w:sz w:val="32"/>
          <w:szCs w:val="32"/>
          <w:lang w:val="en-US" w:eastAsia="zh-CN"/>
        </w:rPr>
        <w:t>未完成预期指标</w:t>
      </w:r>
      <w:r>
        <w:rPr>
          <w:rFonts w:ascii="Times New Roman" w:hAnsi="Times New Roman" w:eastAsia="仿宋_GB2312"/>
          <w:color w:val="auto"/>
          <w:sz w:val="32"/>
          <w:szCs w:val="32"/>
        </w:rPr>
        <w:t>，</w:t>
      </w:r>
      <w:r>
        <w:rPr>
          <w:rFonts w:ascii="Times New Roman" w:eastAsia="仿宋_GB2312"/>
          <w:color w:val="auto"/>
          <w:sz w:val="32"/>
          <w:szCs w:val="32"/>
        </w:rPr>
        <w:t>得分</w:t>
      </w:r>
      <w:r>
        <w:rPr>
          <w:rFonts w:hint="eastAsia" w:ascii="Times New Roman" w:eastAsia="仿宋_GB2312"/>
          <w:color w:val="auto"/>
          <w:sz w:val="32"/>
          <w:szCs w:val="32"/>
          <w:lang w:val="en-US" w:eastAsia="zh-CN"/>
        </w:rPr>
        <w:t>4</w:t>
      </w:r>
      <w:r>
        <w:rPr>
          <w:rFonts w:ascii="Times New Roman" w:eastAsia="仿宋_GB2312"/>
          <w:color w:val="auto"/>
          <w:sz w:val="32"/>
          <w:szCs w:val="32"/>
        </w:rPr>
        <w:t>分。</w:t>
      </w:r>
    </w:p>
    <w:p w14:paraId="5079046B">
      <w:pPr>
        <w:spacing w:line="600" w:lineRule="exact"/>
        <w:ind w:firstLine="640" w:firstLineChars="200"/>
        <w:rPr>
          <w:rFonts w:ascii="Times New Roman" w:hAnsi="Times New Roman" w:eastAsia="仿宋_GB2312"/>
          <w:color w:val="auto"/>
          <w:sz w:val="32"/>
          <w:szCs w:val="32"/>
        </w:rPr>
      </w:pPr>
      <w:r>
        <w:rPr>
          <w:rFonts w:ascii="Times New Roman" w:hAnsi="Times New Roman" w:eastAsia="仿宋_GB2312"/>
          <w:color w:val="auto"/>
          <w:sz w:val="32"/>
          <w:szCs w:val="32"/>
        </w:rPr>
        <w:t>4.成本指标（满分</w:t>
      </w:r>
      <w:r>
        <w:rPr>
          <w:rFonts w:hint="eastAsia" w:ascii="Times New Roman" w:hAnsi="Times New Roman" w:eastAsia="仿宋_GB2312"/>
          <w:color w:val="auto"/>
          <w:sz w:val="32"/>
          <w:szCs w:val="32"/>
          <w:lang w:val="en-US" w:eastAsia="zh-CN"/>
        </w:rPr>
        <w:t>10</w:t>
      </w:r>
      <w:r>
        <w:rPr>
          <w:rFonts w:ascii="Times New Roman" w:hAnsi="Times New Roman" w:eastAsia="仿宋_GB2312"/>
          <w:color w:val="auto"/>
          <w:sz w:val="32"/>
          <w:szCs w:val="32"/>
        </w:rPr>
        <w:t>分，实得</w:t>
      </w:r>
      <w:r>
        <w:rPr>
          <w:rFonts w:hint="eastAsia" w:ascii="Times New Roman" w:hAnsi="Times New Roman" w:eastAsia="仿宋_GB2312"/>
          <w:color w:val="auto"/>
          <w:sz w:val="32"/>
          <w:szCs w:val="32"/>
          <w:lang w:val="en-US" w:eastAsia="zh-CN"/>
        </w:rPr>
        <w:t>0</w:t>
      </w:r>
      <w:r>
        <w:rPr>
          <w:rFonts w:ascii="Times New Roman" w:hAnsi="Times New Roman" w:eastAsia="仿宋_GB2312"/>
          <w:color w:val="auto"/>
          <w:sz w:val="32"/>
          <w:szCs w:val="32"/>
        </w:rPr>
        <w:t>分）</w:t>
      </w:r>
      <w:r>
        <w:rPr>
          <w:rFonts w:ascii="Times New Roman" w:hAnsi="Times New Roman" w:eastAsia="仿宋_GB2312"/>
          <w:color w:val="auto"/>
          <w:sz w:val="32"/>
          <w:szCs w:val="32"/>
        </w:rPr>
        <w:tab/>
      </w:r>
    </w:p>
    <w:p w14:paraId="6EF7BA93">
      <w:pPr>
        <w:spacing w:line="600" w:lineRule="exact"/>
        <w:ind w:firstLine="640" w:firstLineChars="200"/>
        <w:rPr>
          <w:rFonts w:ascii="Times New Roman" w:eastAsia="仿宋_GB2312"/>
          <w:color w:val="auto"/>
          <w:sz w:val="32"/>
          <w:szCs w:val="32"/>
        </w:rPr>
      </w:pPr>
      <w:r>
        <w:rPr>
          <w:rFonts w:ascii="Times New Roman" w:eastAsia="仿宋_GB2312"/>
          <w:color w:val="auto"/>
          <w:sz w:val="32"/>
          <w:szCs w:val="32"/>
        </w:rPr>
        <w:t>年度设定的成本指标为</w:t>
      </w:r>
      <w:r>
        <w:rPr>
          <w:rFonts w:hint="eastAsia" w:ascii="Times New Roman" w:eastAsia="仿宋_GB2312"/>
          <w:color w:val="auto"/>
          <w:sz w:val="32"/>
          <w:szCs w:val="32"/>
        </w:rPr>
        <w:t>项目总成本</w:t>
      </w:r>
      <w:r>
        <w:rPr>
          <w:rFonts w:ascii="Times New Roman" w:eastAsia="仿宋_GB2312"/>
          <w:color w:val="auto"/>
          <w:sz w:val="32"/>
          <w:szCs w:val="32"/>
        </w:rPr>
        <w:t>；实际完成情况为</w:t>
      </w:r>
      <w:r>
        <w:rPr>
          <w:rFonts w:hint="eastAsia" w:ascii="Times New Roman" w:eastAsia="仿宋_GB2312"/>
          <w:color w:val="auto"/>
          <w:sz w:val="32"/>
          <w:szCs w:val="32"/>
          <w:lang w:val="en-US" w:eastAsia="zh-CN"/>
        </w:rPr>
        <w:t>未完成预期指标</w:t>
      </w:r>
      <w:r>
        <w:rPr>
          <w:rFonts w:ascii="Times New Roman" w:hAnsi="Times New Roman" w:eastAsia="仿宋_GB2312"/>
          <w:b/>
          <w:color w:val="auto"/>
          <w:sz w:val="32"/>
          <w:szCs w:val="32"/>
        </w:rPr>
        <w:t>，</w:t>
      </w:r>
      <w:r>
        <w:rPr>
          <w:rFonts w:ascii="Times New Roman" w:eastAsia="仿宋_GB2312"/>
          <w:color w:val="auto"/>
          <w:sz w:val="32"/>
          <w:szCs w:val="32"/>
        </w:rPr>
        <w:t>得分</w:t>
      </w:r>
      <w:r>
        <w:rPr>
          <w:rFonts w:hint="eastAsia" w:ascii="Times New Roman" w:eastAsia="仿宋_GB2312"/>
          <w:color w:val="auto"/>
          <w:sz w:val="32"/>
          <w:szCs w:val="32"/>
          <w:lang w:val="en-US" w:eastAsia="zh-CN"/>
        </w:rPr>
        <w:t>0</w:t>
      </w:r>
      <w:r>
        <w:rPr>
          <w:rFonts w:ascii="Times New Roman" w:eastAsia="仿宋_GB2312"/>
          <w:color w:val="auto"/>
          <w:sz w:val="32"/>
          <w:szCs w:val="32"/>
        </w:rPr>
        <w:t>分。</w:t>
      </w:r>
    </w:p>
    <w:p w14:paraId="7F351C5D">
      <w:pPr>
        <w:widowControl/>
        <w:spacing w:line="600" w:lineRule="exact"/>
        <w:ind w:right="-283" w:firstLine="643" w:firstLineChars="200"/>
        <w:rPr>
          <w:rFonts w:ascii="Times New Roman" w:eastAsia="仿宋_GB2312"/>
          <w:color w:val="auto"/>
          <w:sz w:val="32"/>
          <w:szCs w:val="32"/>
        </w:rPr>
      </w:pPr>
      <w:r>
        <w:rPr>
          <w:rFonts w:ascii="Times New Roman" w:hAnsi="Times New Roman" w:eastAsia="楷体_GB2312"/>
          <w:b/>
          <w:color w:val="auto"/>
          <w:sz w:val="32"/>
          <w:szCs w:val="32"/>
        </w:rPr>
        <w:t>（</w:t>
      </w:r>
      <w:r>
        <w:rPr>
          <w:rFonts w:hint="eastAsia" w:ascii="Times New Roman" w:hAnsi="Times New Roman" w:eastAsia="楷体_GB2312"/>
          <w:b/>
          <w:color w:val="auto"/>
          <w:sz w:val="32"/>
          <w:szCs w:val="32"/>
          <w:lang w:eastAsia="zh-CN"/>
        </w:rPr>
        <w:t>三</w:t>
      </w:r>
      <w:r>
        <w:rPr>
          <w:rFonts w:ascii="Times New Roman" w:hAnsi="Times New Roman" w:eastAsia="楷体_GB2312"/>
          <w:b/>
          <w:color w:val="auto"/>
          <w:sz w:val="32"/>
          <w:szCs w:val="32"/>
        </w:rPr>
        <w:t>）效益指标（满分30分，实得</w:t>
      </w:r>
      <w:r>
        <w:rPr>
          <w:rFonts w:hint="eastAsia" w:ascii="Times New Roman" w:hAnsi="Times New Roman" w:eastAsia="楷体_GB2312"/>
          <w:b/>
          <w:color w:val="auto"/>
          <w:sz w:val="32"/>
          <w:szCs w:val="32"/>
          <w:lang w:val="en-US" w:eastAsia="zh-CN"/>
        </w:rPr>
        <w:t>30</w:t>
      </w:r>
      <w:r>
        <w:rPr>
          <w:rFonts w:ascii="Times New Roman" w:hAnsi="Times New Roman" w:eastAsia="楷体_GB2312"/>
          <w:b/>
          <w:color w:val="auto"/>
          <w:sz w:val="32"/>
          <w:szCs w:val="32"/>
        </w:rPr>
        <w:t>分）</w:t>
      </w:r>
    </w:p>
    <w:p w14:paraId="176E1736">
      <w:pPr>
        <w:spacing w:line="600" w:lineRule="exact"/>
        <w:ind w:firstLine="640" w:firstLineChars="200"/>
        <w:rPr>
          <w:rFonts w:ascii="Times New Roman" w:eastAsia="仿宋_GB2312"/>
          <w:color w:val="auto"/>
          <w:sz w:val="32"/>
          <w:szCs w:val="32"/>
        </w:rPr>
      </w:pPr>
      <w:r>
        <w:rPr>
          <w:rFonts w:hint="eastAsia" w:eastAsia="仿宋_GB2312"/>
          <w:color w:val="auto"/>
          <w:sz w:val="32"/>
          <w:szCs w:val="32"/>
          <w:lang w:val="en-US" w:eastAsia="zh-CN"/>
        </w:rPr>
        <w:t>1</w:t>
      </w:r>
      <w:r>
        <w:rPr>
          <w:rFonts w:hint="eastAsia" w:ascii="Times New Roman" w:eastAsia="仿宋_GB2312"/>
          <w:color w:val="auto"/>
          <w:sz w:val="32"/>
          <w:szCs w:val="32"/>
        </w:rPr>
        <w:t>.</w:t>
      </w:r>
      <w:r>
        <w:rPr>
          <w:rFonts w:hint="eastAsia" w:ascii="Times New Roman" w:eastAsia="仿宋_GB2312"/>
          <w:color w:val="auto"/>
          <w:sz w:val="32"/>
          <w:szCs w:val="32"/>
          <w:lang w:val="en-US" w:eastAsia="zh-CN"/>
        </w:rPr>
        <w:t>经济</w:t>
      </w:r>
      <w:r>
        <w:rPr>
          <w:rFonts w:ascii="Times New Roman" w:eastAsia="仿宋_GB2312"/>
          <w:color w:val="auto"/>
          <w:sz w:val="32"/>
          <w:szCs w:val="32"/>
        </w:rPr>
        <w:t>效益指标（满分</w:t>
      </w:r>
      <w:r>
        <w:rPr>
          <w:rFonts w:hint="eastAsia" w:ascii="Times New Roman" w:eastAsia="仿宋_GB2312"/>
          <w:color w:val="auto"/>
          <w:sz w:val="32"/>
          <w:szCs w:val="32"/>
        </w:rPr>
        <w:t>10</w:t>
      </w:r>
      <w:r>
        <w:rPr>
          <w:rFonts w:ascii="Times New Roman" w:eastAsia="仿宋_GB2312"/>
          <w:color w:val="auto"/>
          <w:sz w:val="32"/>
          <w:szCs w:val="32"/>
        </w:rPr>
        <w:t>分，实得</w:t>
      </w:r>
      <w:r>
        <w:rPr>
          <w:rFonts w:hint="eastAsia" w:ascii="Times New Roman" w:eastAsia="仿宋_GB2312"/>
          <w:color w:val="auto"/>
          <w:sz w:val="32"/>
          <w:szCs w:val="32"/>
        </w:rPr>
        <w:t>10</w:t>
      </w:r>
      <w:r>
        <w:rPr>
          <w:rFonts w:ascii="Times New Roman" w:eastAsia="仿宋_GB2312"/>
          <w:color w:val="auto"/>
          <w:sz w:val="32"/>
          <w:szCs w:val="32"/>
        </w:rPr>
        <w:t>分）</w:t>
      </w:r>
    </w:p>
    <w:p w14:paraId="1FB0E804">
      <w:pPr>
        <w:spacing w:line="600" w:lineRule="exact"/>
        <w:ind w:firstLine="640" w:firstLineChars="200"/>
        <w:rPr>
          <w:rFonts w:ascii="Times New Roman" w:eastAsia="仿宋_GB2312"/>
          <w:color w:val="auto"/>
          <w:sz w:val="32"/>
          <w:szCs w:val="32"/>
        </w:rPr>
      </w:pPr>
      <w:r>
        <w:rPr>
          <w:rFonts w:ascii="Times New Roman" w:eastAsia="仿宋_GB2312"/>
          <w:color w:val="auto"/>
          <w:sz w:val="32"/>
          <w:szCs w:val="32"/>
        </w:rPr>
        <w:t>年度设定的时效指标为</w:t>
      </w:r>
      <w:r>
        <w:rPr>
          <w:rFonts w:hint="eastAsia" w:ascii="Times New Roman" w:eastAsia="仿宋_GB2312"/>
          <w:color w:val="auto"/>
          <w:sz w:val="32"/>
          <w:szCs w:val="32"/>
          <w:lang w:val="en-US" w:eastAsia="zh-CN"/>
        </w:rPr>
        <w:t>提升社区工作能力</w:t>
      </w:r>
      <w:r>
        <w:rPr>
          <w:rFonts w:ascii="Times New Roman" w:eastAsia="仿宋_GB2312"/>
          <w:color w:val="auto"/>
          <w:sz w:val="32"/>
          <w:szCs w:val="32"/>
        </w:rPr>
        <w:t>；实际完成情况为</w:t>
      </w:r>
      <w:r>
        <w:rPr>
          <w:rFonts w:hint="eastAsia" w:ascii="Times New Roman" w:eastAsia="仿宋_GB2312"/>
          <w:color w:val="auto"/>
          <w:sz w:val="32"/>
          <w:szCs w:val="32"/>
          <w:lang w:val="en-US" w:eastAsia="zh-CN"/>
        </w:rPr>
        <w:t>效果明显</w:t>
      </w:r>
      <w:r>
        <w:rPr>
          <w:rFonts w:ascii="Times New Roman" w:hAnsi="Times New Roman" w:eastAsia="仿宋_GB2312"/>
          <w:b/>
          <w:color w:val="auto"/>
          <w:sz w:val="32"/>
          <w:szCs w:val="32"/>
        </w:rPr>
        <w:t>，</w:t>
      </w:r>
      <w:r>
        <w:rPr>
          <w:rFonts w:ascii="Times New Roman" w:eastAsia="仿宋_GB2312"/>
          <w:color w:val="auto"/>
          <w:sz w:val="32"/>
          <w:szCs w:val="32"/>
        </w:rPr>
        <w:t>得分</w:t>
      </w:r>
      <w:r>
        <w:rPr>
          <w:rFonts w:hint="eastAsia" w:ascii="Times New Roman" w:eastAsia="仿宋_GB2312"/>
          <w:color w:val="auto"/>
          <w:sz w:val="32"/>
          <w:szCs w:val="32"/>
        </w:rPr>
        <w:t>10</w:t>
      </w:r>
      <w:r>
        <w:rPr>
          <w:rFonts w:ascii="Times New Roman" w:eastAsia="仿宋_GB2312"/>
          <w:color w:val="auto"/>
          <w:sz w:val="32"/>
          <w:szCs w:val="32"/>
        </w:rPr>
        <w:t>分。</w:t>
      </w:r>
    </w:p>
    <w:p w14:paraId="778644A0">
      <w:pPr>
        <w:spacing w:line="600" w:lineRule="exact"/>
        <w:ind w:firstLine="640" w:firstLineChars="200"/>
        <w:rPr>
          <w:rFonts w:ascii="Times New Roman" w:eastAsia="仿宋_GB2312"/>
          <w:color w:val="auto"/>
          <w:sz w:val="32"/>
          <w:szCs w:val="32"/>
        </w:rPr>
      </w:pPr>
      <w:r>
        <w:rPr>
          <w:rFonts w:hint="eastAsia" w:ascii="Times New Roman" w:eastAsia="仿宋_GB2312"/>
          <w:color w:val="auto"/>
          <w:sz w:val="32"/>
          <w:szCs w:val="32"/>
          <w:lang w:val="en-US" w:eastAsia="zh-CN"/>
        </w:rPr>
        <w:t>2.</w:t>
      </w:r>
      <w:r>
        <w:rPr>
          <w:rFonts w:ascii="Times New Roman" w:eastAsia="仿宋_GB2312"/>
          <w:color w:val="auto"/>
          <w:sz w:val="32"/>
          <w:szCs w:val="32"/>
        </w:rPr>
        <w:t>社会效益指标（满分</w:t>
      </w:r>
      <w:r>
        <w:rPr>
          <w:rFonts w:hint="eastAsia" w:ascii="Times New Roman" w:eastAsia="仿宋_GB2312"/>
          <w:color w:val="auto"/>
          <w:sz w:val="32"/>
          <w:szCs w:val="32"/>
        </w:rPr>
        <w:t>10</w:t>
      </w:r>
      <w:r>
        <w:rPr>
          <w:rFonts w:ascii="Times New Roman" w:eastAsia="仿宋_GB2312"/>
          <w:color w:val="auto"/>
          <w:sz w:val="32"/>
          <w:szCs w:val="32"/>
        </w:rPr>
        <w:t>分，实得</w:t>
      </w:r>
      <w:r>
        <w:rPr>
          <w:rFonts w:hint="eastAsia" w:ascii="Times New Roman" w:eastAsia="仿宋_GB2312"/>
          <w:color w:val="auto"/>
          <w:sz w:val="32"/>
          <w:szCs w:val="32"/>
        </w:rPr>
        <w:t>10</w:t>
      </w:r>
      <w:r>
        <w:rPr>
          <w:rFonts w:ascii="Times New Roman" w:eastAsia="仿宋_GB2312"/>
          <w:color w:val="auto"/>
          <w:sz w:val="32"/>
          <w:szCs w:val="32"/>
        </w:rPr>
        <w:t>分）</w:t>
      </w:r>
    </w:p>
    <w:p w14:paraId="062961E8">
      <w:pPr>
        <w:spacing w:line="600" w:lineRule="exact"/>
        <w:ind w:firstLine="640" w:firstLineChars="200"/>
        <w:rPr>
          <w:rFonts w:hint="default" w:ascii="Times New Roman" w:eastAsia="仿宋_GB2312"/>
          <w:color w:val="auto"/>
          <w:sz w:val="32"/>
          <w:szCs w:val="32"/>
          <w:lang w:val="en-US" w:eastAsia="zh-CN"/>
        </w:rPr>
      </w:pPr>
      <w:r>
        <w:rPr>
          <w:rFonts w:ascii="Times New Roman" w:eastAsia="仿宋_GB2312"/>
          <w:color w:val="auto"/>
          <w:sz w:val="32"/>
          <w:szCs w:val="32"/>
        </w:rPr>
        <w:t>年度设定的时效指标为</w:t>
      </w:r>
      <w:r>
        <w:rPr>
          <w:rFonts w:hint="eastAsia" w:ascii="Times New Roman" w:eastAsia="仿宋_GB2312"/>
          <w:color w:val="auto"/>
          <w:sz w:val="32"/>
          <w:szCs w:val="32"/>
          <w:lang w:val="en-US" w:eastAsia="zh-CN"/>
        </w:rPr>
        <w:t>推动社会全面发展</w:t>
      </w:r>
      <w:r>
        <w:rPr>
          <w:rFonts w:ascii="Times New Roman" w:eastAsia="仿宋_GB2312"/>
          <w:color w:val="auto"/>
          <w:sz w:val="32"/>
          <w:szCs w:val="32"/>
        </w:rPr>
        <w:t>；实际完成情况为</w:t>
      </w:r>
      <w:r>
        <w:rPr>
          <w:rFonts w:hint="eastAsia" w:ascii="Times New Roman" w:eastAsia="仿宋_GB2312"/>
          <w:color w:val="auto"/>
          <w:sz w:val="32"/>
          <w:szCs w:val="32"/>
        </w:rPr>
        <w:t>程度较高</w:t>
      </w:r>
      <w:r>
        <w:rPr>
          <w:rFonts w:ascii="Times New Roman" w:hAnsi="Times New Roman" w:eastAsia="仿宋_GB2312"/>
          <w:b/>
          <w:color w:val="auto"/>
          <w:sz w:val="32"/>
          <w:szCs w:val="32"/>
        </w:rPr>
        <w:t>，</w:t>
      </w:r>
      <w:r>
        <w:rPr>
          <w:rFonts w:ascii="Times New Roman" w:eastAsia="仿宋_GB2312"/>
          <w:color w:val="auto"/>
          <w:sz w:val="32"/>
          <w:szCs w:val="32"/>
        </w:rPr>
        <w:t>得分</w:t>
      </w:r>
      <w:r>
        <w:rPr>
          <w:rFonts w:hint="eastAsia" w:ascii="Times New Roman" w:eastAsia="仿宋_GB2312"/>
          <w:color w:val="auto"/>
          <w:sz w:val="32"/>
          <w:szCs w:val="32"/>
        </w:rPr>
        <w:t>10</w:t>
      </w:r>
      <w:r>
        <w:rPr>
          <w:rFonts w:ascii="Times New Roman" w:eastAsia="仿宋_GB2312"/>
          <w:color w:val="auto"/>
          <w:sz w:val="32"/>
          <w:szCs w:val="32"/>
        </w:rPr>
        <w:t>分。</w:t>
      </w:r>
    </w:p>
    <w:p w14:paraId="3B166909">
      <w:pPr>
        <w:spacing w:line="600" w:lineRule="exact"/>
        <w:ind w:firstLine="640" w:firstLineChars="200"/>
        <w:rPr>
          <w:rFonts w:ascii="Times New Roman" w:eastAsia="仿宋_GB2312"/>
          <w:color w:val="auto"/>
          <w:sz w:val="32"/>
          <w:szCs w:val="32"/>
        </w:rPr>
      </w:pPr>
      <w:r>
        <w:rPr>
          <w:rFonts w:hint="eastAsia" w:eastAsia="仿宋_GB2312"/>
          <w:color w:val="auto"/>
          <w:sz w:val="32"/>
          <w:szCs w:val="32"/>
          <w:lang w:val="en-US" w:eastAsia="zh-CN"/>
        </w:rPr>
        <w:t>3</w:t>
      </w:r>
      <w:r>
        <w:rPr>
          <w:rFonts w:eastAsia="仿宋_GB2312"/>
          <w:color w:val="auto"/>
          <w:sz w:val="32"/>
          <w:szCs w:val="32"/>
        </w:rPr>
        <w:t>.</w:t>
      </w:r>
      <w:r>
        <w:rPr>
          <w:rFonts w:ascii="Times New Roman" w:eastAsia="仿宋_GB2312"/>
          <w:color w:val="auto"/>
          <w:sz w:val="32"/>
          <w:szCs w:val="32"/>
        </w:rPr>
        <w:t>可持续影响指标（满分</w:t>
      </w:r>
      <w:r>
        <w:rPr>
          <w:rFonts w:hint="eastAsia" w:ascii="Times New Roman" w:eastAsia="仿宋_GB2312"/>
          <w:color w:val="auto"/>
          <w:sz w:val="32"/>
          <w:szCs w:val="32"/>
        </w:rPr>
        <w:t>10</w:t>
      </w:r>
      <w:r>
        <w:rPr>
          <w:rFonts w:ascii="Times New Roman" w:eastAsia="仿宋_GB2312"/>
          <w:color w:val="auto"/>
          <w:sz w:val="32"/>
          <w:szCs w:val="32"/>
        </w:rPr>
        <w:t>分，实得</w:t>
      </w:r>
      <w:r>
        <w:rPr>
          <w:rFonts w:hint="eastAsia" w:ascii="Times New Roman" w:eastAsia="仿宋_GB2312"/>
          <w:color w:val="auto"/>
          <w:sz w:val="32"/>
          <w:szCs w:val="32"/>
        </w:rPr>
        <w:t>10</w:t>
      </w:r>
      <w:r>
        <w:rPr>
          <w:rFonts w:ascii="Times New Roman" w:eastAsia="仿宋_GB2312"/>
          <w:color w:val="auto"/>
          <w:sz w:val="32"/>
          <w:szCs w:val="32"/>
        </w:rPr>
        <w:t>分）</w:t>
      </w:r>
    </w:p>
    <w:p w14:paraId="7B38EE06">
      <w:pPr>
        <w:spacing w:line="600" w:lineRule="exact"/>
        <w:ind w:firstLine="640" w:firstLineChars="200"/>
        <w:rPr>
          <w:rFonts w:ascii="Times New Roman" w:eastAsia="仿宋_GB2312"/>
          <w:color w:val="auto"/>
          <w:sz w:val="32"/>
          <w:szCs w:val="32"/>
        </w:rPr>
      </w:pPr>
      <w:r>
        <w:rPr>
          <w:rFonts w:ascii="Times New Roman" w:eastAsia="仿宋_GB2312"/>
          <w:color w:val="auto"/>
          <w:sz w:val="32"/>
          <w:szCs w:val="32"/>
        </w:rPr>
        <w:t>年度设定的时效指标为</w:t>
      </w:r>
      <w:r>
        <w:rPr>
          <w:rFonts w:hint="eastAsia" w:ascii="Times New Roman" w:eastAsia="仿宋_GB2312"/>
          <w:color w:val="auto"/>
          <w:sz w:val="32"/>
          <w:szCs w:val="32"/>
          <w:lang w:val="en-US" w:eastAsia="zh-CN"/>
        </w:rPr>
        <w:t>推动社会可持续发展</w:t>
      </w:r>
      <w:r>
        <w:rPr>
          <w:rFonts w:ascii="Times New Roman" w:eastAsia="仿宋_GB2312"/>
          <w:color w:val="auto"/>
          <w:sz w:val="32"/>
          <w:szCs w:val="32"/>
        </w:rPr>
        <w:t>；实际完成情况为</w:t>
      </w:r>
      <w:r>
        <w:rPr>
          <w:rFonts w:hint="eastAsia" w:ascii="Times New Roman" w:eastAsia="仿宋_GB2312"/>
          <w:color w:val="auto"/>
          <w:sz w:val="32"/>
          <w:szCs w:val="32"/>
        </w:rPr>
        <w:t>程度较高</w:t>
      </w:r>
      <w:r>
        <w:rPr>
          <w:rFonts w:ascii="Times New Roman" w:hAnsi="Times New Roman" w:eastAsia="仿宋_GB2312"/>
          <w:b/>
          <w:color w:val="auto"/>
          <w:sz w:val="32"/>
          <w:szCs w:val="32"/>
        </w:rPr>
        <w:t>，</w:t>
      </w:r>
      <w:r>
        <w:rPr>
          <w:rFonts w:ascii="Times New Roman" w:eastAsia="仿宋_GB2312"/>
          <w:color w:val="auto"/>
          <w:sz w:val="32"/>
          <w:szCs w:val="32"/>
        </w:rPr>
        <w:t>得分</w:t>
      </w:r>
      <w:r>
        <w:rPr>
          <w:rFonts w:hint="eastAsia" w:ascii="Times New Roman" w:eastAsia="仿宋_GB2312"/>
          <w:color w:val="auto"/>
          <w:sz w:val="32"/>
          <w:szCs w:val="32"/>
        </w:rPr>
        <w:t>10</w:t>
      </w:r>
      <w:r>
        <w:rPr>
          <w:rFonts w:ascii="Times New Roman" w:eastAsia="仿宋_GB2312"/>
          <w:color w:val="auto"/>
          <w:sz w:val="32"/>
          <w:szCs w:val="32"/>
        </w:rPr>
        <w:t>分。</w:t>
      </w:r>
    </w:p>
    <w:p w14:paraId="2320F064">
      <w:pPr>
        <w:spacing w:line="600" w:lineRule="exact"/>
        <w:ind w:right="-283" w:firstLine="643" w:firstLineChars="200"/>
        <w:rPr>
          <w:rFonts w:ascii="Times New Roman" w:hAnsi="Times New Roman" w:eastAsia="仿宋_GB2312"/>
          <w:color w:val="auto"/>
          <w:sz w:val="32"/>
          <w:szCs w:val="32"/>
        </w:rPr>
      </w:pPr>
      <w:r>
        <w:rPr>
          <w:rFonts w:ascii="Times New Roman" w:hAnsi="Times New Roman" w:eastAsia="楷体_GB2312"/>
          <w:b/>
          <w:color w:val="auto"/>
          <w:sz w:val="32"/>
          <w:szCs w:val="32"/>
        </w:rPr>
        <w:t>（</w:t>
      </w:r>
      <w:r>
        <w:rPr>
          <w:rFonts w:hint="eastAsia" w:ascii="Times New Roman" w:hAnsi="Times New Roman" w:eastAsia="楷体_GB2312"/>
          <w:b/>
          <w:color w:val="auto"/>
          <w:sz w:val="32"/>
          <w:szCs w:val="32"/>
          <w:lang w:eastAsia="zh-CN"/>
        </w:rPr>
        <w:t>四</w:t>
      </w:r>
      <w:r>
        <w:rPr>
          <w:rFonts w:ascii="Times New Roman" w:hAnsi="Times New Roman" w:eastAsia="楷体_GB2312"/>
          <w:b/>
          <w:color w:val="auto"/>
          <w:sz w:val="32"/>
          <w:szCs w:val="32"/>
        </w:rPr>
        <w:t>）</w:t>
      </w:r>
      <w:r>
        <w:rPr>
          <w:rFonts w:hint="eastAsia" w:ascii="Times New Roman" w:hAnsi="Times New Roman" w:eastAsia="楷体_GB2312"/>
          <w:b/>
          <w:color w:val="auto"/>
          <w:sz w:val="32"/>
          <w:szCs w:val="32"/>
          <w:lang w:eastAsia="zh-CN"/>
        </w:rPr>
        <w:t>满意度</w:t>
      </w:r>
      <w:r>
        <w:rPr>
          <w:rFonts w:ascii="Times New Roman" w:hAnsi="Times New Roman" w:eastAsia="楷体_GB2312"/>
          <w:b/>
          <w:color w:val="auto"/>
          <w:sz w:val="32"/>
          <w:szCs w:val="32"/>
        </w:rPr>
        <w:t>指标（满分</w:t>
      </w:r>
      <w:r>
        <w:rPr>
          <w:rFonts w:hint="eastAsia" w:ascii="Times New Roman" w:hAnsi="Times New Roman" w:eastAsia="楷体_GB2312"/>
          <w:b/>
          <w:color w:val="auto"/>
          <w:sz w:val="32"/>
          <w:szCs w:val="32"/>
          <w:lang w:val="en-US" w:eastAsia="zh-CN"/>
        </w:rPr>
        <w:t>10</w:t>
      </w:r>
      <w:r>
        <w:rPr>
          <w:rFonts w:ascii="Times New Roman" w:hAnsi="Times New Roman" w:eastAsia="楷体_GB2312"/>
          <w:b/>
          <w:color w:val="auto"/>
          <w:sz w:val="32"/>
          <w:szCs w:val="32"/>
        </w:rPr>
        <w:t>分，实得</w:t>
      </w:r>
      <w:r>
        <w:rPr>
          <w:rFonts w:hint="eastAsia" w:ascii="Times New Roman" w:hAnsi="Times New Roman" w:eastAsia="楷体_GB2312"/>
          <w:b/>
          <w:color w:val="auto"/>
          <w:sz w:val="32"/>
          <w:szCs w:val="32"/>
          <w:lang w:val="en-US" w:eastAsia="zh-CN"/>
        </w:rPr>
        <w:t>10</w:t>
      </w:r>
      <w:r>
        <w:rPr>
          <w:rFonts w:ascii="Times New Roman" w:hAnsi="Times New Roman" w:eastAsia="楷体_GB2312"/>
          <w:b/>
          <w:color w:val="auto"/>
          <w:sz w:val="32"/>
          <w:szCs w:val="32"/>
        </w:rPr>
        <w:t>分）</w:t>
      </w:r>
    </w:p>
    <w:p w14:paraId="50750247">
      <w:pPr>
        <w:spacing w:line="60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lang w:eastAsia="zh-CN"/>
        </w:rPr>
        <w:t>满意度</w:t>
      </w:r>
      <w:r>
        <w:rPr>
          <w:rFonts w:ascii="Times New Roman" w:hAnsi="Times New Roman" w:eastAsia="仿宋_GB2312"/>
          <w:color w:val="auto"/>
          <w:sz w:val="32"/>
          <w:szCs w:val="32"/>
        </w:rPr>
        <w:t>指标（满分</w:t>
      </w:r>
      <w:r>
        <w:rPr>
          <w:rFonts w:hint="eastAsia" w:ascii="Times New Roman" w:hAnsi="Times New Roman" w:eastAsia="仿宋_GB2312"/>
          <w:color w:val="auto"/>
          <w:sz w:val="32"/>
          <w:szCs w:val="32"/>
          <w:lang w:val="en-US" w:eastAsia="zh-CN"/>
        </w:rPr>
        <w:t>10</w:t>
      </w:r>
      <w:r>
        <w:rPr>
          <w:rFonts w:ascii="Times New Roman" w:hAnsi="Times New Roman" w:eastAsia="仿宋_GB2312"/>
          <w:color w:val="auto"/>
          <w:sz w:val="32"/>
          <w:szCs w:val="32"/>
        </w:rPr>
        <w:t>分，实得</w:t>
      </w:r>
      <w:r>
        <w:rPr>
          <w:rFonts w:hint="eastAsia" w:ascii="Times New Roman" w:hAnsi="Times New Roman" w:eastAsia="仿宋_GB2312"/>
          <w:color w:val="auto"/>
          <w:sz w:val="32"/>
          <w:szCs w:val="32"/>
          <w:lang w:val="en-US" w:eastAsia="zh-CN"/>
        </w:rPr>
        <w:t>10</w:t>
      </w:r>
      <w:r>
        <w:rPr>
          <w:rFonts w:ascii="Times New Roman" w:hAnsi="Times New Roman" w:eastAsia="仿宋_GB2312"/>
          <w:color w:val="auto"/>
          <w:sz w:val="32"/>
          <w:szCs w:val="32"/>
        </w:rPr>
        <w:t>分）</w:t>
      </w:r>
    </w:p>
    <w:p w14:paraId="4466F16E">
      <w:pPr>
        <w:spacing w:line="600" w:lineRule="exact"/>
        <w:ind w:firstLine="640" w:firstLineChars="200"/>
        <w:rPr>
          <w:rFonts w:ascii="Times New Roman" w:eastAsia="仿宋_GB2312"/>
          <w:color w:val="auto"/>
          <w:sz w:val="32"/>
          <w:szCs w:val="32"/>
        </w:rPr>
      </w:pPr>
      <w:r>
        <w:rPr>
          <w:rFonts w:ascii="Times New Roman" w:eastAsia="仿宋_GB2312"/>
          <w:color w:val="auto"/>
          <w:sz w:val="32"/>
          <w:szCs w:val="32"/>
        </w:rPr>
        <w:t>年度设定的时效指标为</w:t>
      </w:r>
      <w:r>
        <w:rPr>
          <w:rFonts w:hint="eastAsia" w:ascii="Times New Roman" w:eastAsia="仿宋_GB2312"/>
          <w:color w:val="auto"/>
          <w:sz w:val="32"/>
          <w:szCs w:val="32"/>
        </w:rPr>
        <w:t>服务对象满意度</w:t>
      </w:r>
      <w:r>
        <w:rPr>
          <w:rFonts w:ascii="Times New Roman" w:eastAsia="仿宋_GB2312"/>
          <w:color w:val="auto"/>
          <w:sz w:val="32"/>
          <w:szCs w:val="32"/>
        </w:rPr>
        <w:t>；实际完成情况为</w:t>
      </w:r>
      <w:r>
        <w:rPr>
          <w:rFonts w:hint="eastAsia" w:ascii="Times New Roman" w:eastAsia="仿宋_GB2312"/>
          <w:color w:val="auto"/>
          <w:sz w:val="32"/>
          <w:szCs w:val="32"/>
        </w:rPr>
        <w:t>≥9</w:t>
      </w:r>
      <w:r>
        <w:rPr>
          <w:rFonts w:hint="eastAsia" w:ascii="Times New Roman" w:eastAsia="仿宋_GB2312"/>
          <w:color w:val="auto"/>
          <w:sz w:val="32"/>
          <w:szCs w:val="32"/>
          <w:lang w:val="en-US" w:eastAsia="zh-CN"/>
        </w:rPr>
        <w:t>2</w:t>
      </w:r>
      <w:r>
        <w:rPr>
          <w:rFonts w:hint="eastAsia" w:ascii="Times New Roman" w:eastAsia="仿宋_GB2312"/>
          <w:color w:val="auto"/>
          <w:sz w:val="32"/>
          <w:szCs w:val="32"/>
        </w:rPr>
        <w:t>%</w:t>
      </w:r>
      <w:r>
        <w:rPr>
          <w:rFonts w:ascii="Times New Roman" w:hAnsi="Times New Roman" w:eastAsia="仿宋_GB2312"/>
          <w:b/>
          <w:color w:val="auto"/>
          <w:sz w:val="32"/>
          <w:szCs w:val="32"/>
        </w:rPr>
        <w:t>，</w:t>
      </w:r>
      <w:r>
        <w:rPr>
          <w:rFonts w:ascii="Times New Roman" w:eastAsia="仿宋_GB2312"/>
          <w:color w:val="auto"/>
          <w:sz w:val="32"/>
          <w:szCs w:val="32"/>
        </w:rPr>
        <w:t>得分</w:t>
      </w:r>
      <w:r>
        <w:rPr>
          <w:rFonts w:hint="eastAsia" w:ascii="Times New Roman" w:eastAsia="仿宋_GB2312"/>
          <w:color w:val="auto"/>
          <w:sz w:val="32"/>
          <w:szCs w:val="32"/>
        </w:rPr>
        <w:t>10</w:t>
      </w:r>
      <w:r>
        <w:rPr>
          <w:rFonts w:ascii="Times New Roman" w:eastAsia="仿宋_GB2312"/>
          <w:color w:val="auto"/>
          <w:sz w:val="32"/>
          <w:szCs w:val="32"/>
        </w:rPr>
        <w:t>分。</w:t>
      </w:r>
    </w:p>
    <w:p w14:paraId="5D7DA74B">
      <w:pPr>
        <w:spacing w:line="600" w:lineRule="exact"/>
        <w:ind w:firstLine="640" w:firstLineChars="200"/>
        <w:rPr>
          <w:rFonts w:ascii="Times New Roman" w:hAnsi="Times New Roman" w:eastAsia="黑体"/>
          <w:color w:val="auto"/>
          <w:sz w:val="32"/>
          <w:szCs w:val="32"/>
        </w:rPr>
      </w:pPr>
      <w:r>
        <w:rPr>
          <w:rFonts w:ascii="Times New Roman" w:hAnsi="Times New Roman" w:eastAsia="黑体"/>
          <w:color w:val="auto"/>
          <w:sz w:val="32"/>
          <w:szCs w:val="32"/>
        </w:rPr>
        <w:t>四、存在问题</w:t>
      </w:r>
    </w:p>
    <w:p w14:paraId="49EB5C08">
      <w:pPr>
        <w:widowControl/>
        <w:spacing w:line="600" w:lineRule="exact"/>
        <w:ind w:firstLine="640" w:firstLineChars="200"/>
        <w:rPr>
          <w:rFonts w:hint="eastAsia" w:ascii="Times New Roman" w:hAnsi="Times New Roman" w:eastAsia="仿宋_GB2312"/>
          <w:color w:val="auto"/>
          <w:sz w:val="32"/>
          <w:szCs w:val="32"/>
          <w:lang w:val="en" w:eastAsia="zh-CN"/>
        </w:rPr>
      </w:pPr>
      <w:r>
        <w:rPr>
          <w:rFonts w:hint="eastAsia" w:ascii="Times New Roman" w:hAnsi="Times New Roman" w:eastAsia="仿宋_GB2312"/>
          <w:color w:val="auto"/>
          <w:sz w:val="32"/>
          <w:szCs w:val="32"/>
          <w:lang w:val="en-US" w:eastAsia="zh-CN"/>
        </w:rPr>
        <w:t>此项目涉及集体土地征收补偿款，因现在均为城镇居民，村委会已经变为居委会，对征地补偿款的使用途径不太明确，造成资金无法按时支出</w:t>
      </w:r>
      <w:r>
        <w:rPr>
          <w:rFonts w:hint="eastAsia" w:ascii="Times New Roman" w:hAnsi="Times New Roman" w:eastAsia="仿宋_GB2312"/>
          <w:color w:val="auto"/>
          <w:sz w:val="32"/>
          <w:szCs w:val="32"/>
          <w:lang w:val="en" w:eastAsia="zh-CN"/>
        </w:rPr>
        <w:t>。</w:t>
      </w:r>
    </w:p>
    <w:p w14:paraId="5179F717">
      <w:pPr>
        <w:widowControl/>
        <w:spacing w:line="600" w:lineRule="exact"/>
        <w:ind w:firstLine="640" w:firstLineChars="200"/>
        <w:rPr>
          <w:rFonts w:ascii="Times New Roman" w:hAnsi="Times New Roman" w:eastAsia="黑体"/>
          <w:color w:val="auto"/>
          <w:sz w:val="32"/>
          <w:szCs w:val="32"/>
        </w:rPr>
      </w:pPr>
      <w:r>
        <w:rPr>
          <w:rFonts w:ascii="Times New Roman" w:hAnsi="Times New Roman" w:eastAsia="黑体"/>
          <w:color w:val="auto"/>
          <w:sz w:val="32"/>
          <w:szCs w:val="32"/>
        </w:rPr>
        <w:t>五、意见和建议</w:t>
      </w:r>
    </w:p>
    <w:p w14:paraId="2E3A6C76">
      <w:pPr>
        <w:spacing w:line="600" w:lineRule="exact"/>
        <w:ind w:firstLine="640" w:firstLineChars="200"/>
        <w:rPr>
          <w:rFonts w:hint="default"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lang w:val="en-US" w:eastAsia="zh-CN"/>
        </w:rPr>
        <w:t>为进一步提高专项资金使用效益，针对存在的问题，提出如下建议：请市、区相关部门加强业务指导，积极协调解决土地权属资金使用范围和办法，加快推进淮南路项目征迁建设和征地补偿款支付。</w:t>
      </w:r>
    </w:p>
    <w:p w14:paraId="4B40A8A1">
      <w:pPr>
        <w:widowControl/>
        <w:spacing w:line="600" w:lineRule="exact"/>
        <w:ind w:firstLine="640" w:firstLineChars="200"/>
        <w:rPr>
          <w:rFonts w:ascii="Times New Roman" w:hAnsi="Times New Roman" w:eastAsia="黑体"/>
          <w:color w:val="auto"/>
          <w:sz w:val="32"/>
          <w:szCs w:val="32"/>
        </w:rPr>
      </w:pPr>
      <w:r>
        <w:rPr>
          <w:rFonts w:ascii="Times New Roman" w:hAnsi="Times New Roman" w:eastAsia="黑体"/>
          <w:color w:val="auto"/>
          <w:sz w:val="32"/>
          <w:szCs w:val="32"/>
        </w:rPr>
        <w:t>六、</w:t>
      </w:r>
      <w:r>
        <w:rPr>
          <w:rFonts w:hint="eastAsia" w:ascii="Times New Roman" w:hAnsi="Times New Roman" w:eastAsia="黑体"/>
          <w:color w:val="auto"/>
          <w:sz w:val="32"/>
          <w:szCs w:val="32"/>
        </w:rPr>
        <w:t>评价</w:t>
      </w:r>
      <w:r>
        <w:rPr>
          <w:rFonts w:ascii="Times New Roman" w:hAnsi="Times New Roman" w:eastAsia="黑体"/>
          <w:color w:val="auto"/>
          <w:sz w:val="32"/>
          <w:szCs w:val="32"/>
        </w:rPr>
        <w:t>依据</w:t>
      </w:r>
    </w:p>
    <w:p w14:paraId="13EFCD28">
      <w:pPr>
        <w:spacing w:line="60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根据区直相关部门的工作文件。</w:t>
      </w:r>
    </w:p>
    <w:p w14:paraId="794B2DFC">
      <w:pPr>
        <w:widowControl/>
        <w:spacing w:line="600" w:lineRule="exact"/>
        <w:ind w:firstLine="640" w:firstLineChars="200"/>
        <w:rPr>
          <w:rFonts w:ascii="Times New Roman" w:hAnsi="Times New Roman" w:eastAsia="黑体"/>
          <w:color w:val="auto"/>
          <w:sz w:val="32"/>
          <w:szCs w:val="32"/>
        </w:rPr>
      </w:pPr>
      <w:r>
        <w:rPr>
          <w:rFonts w:ascii="Times New Roman" w:hAnsi="Times New Roman" w:eastAsia="黑体"/>
          <w:color w:val="auto"/>
          <w:sz w:val="32"/>
          <w:szCs w:val="32"/>
        </w:rPr>
        <w:t>七、附件</w:t>
      </w:r>
    </w:p>
    <w:p w14:paraId="764D9F68">
      <w:pPr>
        <w:spacing w:line="600" w:lineRule="exact"/>
        <w:ind w:firstLine="640" w:firstLineChars="200"/>
        <w:rPr>
          <w:rFonts w:hint="eastAsia" w:ascii="Times New Roman" w:eastAsia="仿宋_GB2312"/>
          <w:color w:val="auto"/>
          <w:sz w:val="32"/>
          <w:szCs w:val="32"/>
          <w:lang w:eastAsia="zh-CN"/>
        </w:rPr>
      </w:pPr>
      <w:r>
        <w:rPr>
          <w:rFonts w:eastAsia="仿宋_GB2312"/>
          <w:color w:val="auto"/>
          <w:sz w:val="32"/>
          <w:szCs w:val="32"/>
        </w:rPr>
        <w:t>1</w:t>
      </w:r>
      <w:r>
        <w:rPr>
          <w:rFonts w:ascii="Times New Roman" w:eastAsia="仿宋_GB2312"/>
          <w:color w:val="auto"/>
          <w:sz w:val="32"/>
          <w:szCs w:val="32"/>
        </w:rPr>
        <w:t>.项目支出绩效自评表（附后）</w:t>
      </w:r>
      <w:r>
        <w:rPr>
          <w:rFonts w:hint="eastAsia" w:ascii="Times New Roman" w:eastAsia="仿宋_GB2312"/>
          <w:color w:val="auto"/>
          <w:sz w:val="32"/>
          <w:szCs w:val="32"/>
          <w:lang w:eastAsia="zh-CN"/>
        </w:rPr>
        <w:t>。</w:t>
      </w:r>
    </w:p>
    <w:tbl>
      <w:tblPr>
        <w:tblStyle w:val="11"/>
        <w:tblpPr w:leftFromText="180" w:rightFromText="180" w:vertAnchor="text" w:horzAnchor="page" w:tblpX="625" w:tblpY="103"/>
        <w:tblOverlap w:val="never"/>
        <w:tblW w:w="105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93"/>
        <w:gridCol w:w="713"/>
        <w:gridCol w:w="819"/>
        <w:gridCol w:w="793"/>
        <w:gridCol w:w="1063"/>
        <w:gridCol w:w="831"/>
        <w:gridCol w:w="1050"/>
        <w:gridCol w:w="1069"/>
        <w:gridCol w:w="1069"/>
        <w:gridCol w:w="1087"/>
        <w:gridCol w:w="1513"/>
      </w:tblGrid>
      <w:tr w14:paraId="4D8DE3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3" w:hRule="atLeast"/>
        </w:trPr>
        <w:tc>
          <w:tcPr>
            <w:tcW w:w="493" w:type="dxa"/>
            <w:tcBorders>
              <w:top w:val="nil"/>
              <w:left w:val="nil"/>
              <w:bottom w:val="nil"/>
              <w:right w:val="nil"/>
            </w:tcBorders>
            <w:shd w:val="clear" w:color="auto" w:fill="auto"/>
            <w:noWrap/>
            <w:vAlign w:val="center"/>
          </w:tcPr>
          <w:p w14:paraId="3D5A407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附件：</w:t>
            </w:r>
          </w:p>
        </w:tc>
        <w:tc>
          <w:tcPr>
            <w:tcW w:w="713" w:type="dxa"/>
            <w:tcBorders>
              <w:top w:val="nil"/>
              <w:left w:val="nil"/>
              <w:bottom w:val="nil"/>
              <w:right w:val="nil"/>
            </w:tcBorders>
            <w:shd w:val="clear" w:color="auto" w:fill="auto"/>
            <w:noWrap/>
            <w:vAlign w:val="center"/>
          </w:tcPr>
          <w:p w14:paraId="092E124F">
            <w:pPr>
              <w:rPr>
                <w:rFonts w:hint="eastAsia" w:ascii="宋体" w:hAnsi="宋体" w:eastAsia="宋体" w:cs="宋体"/>
                <w:i w:val="0"/>
                <w:iCs w:val="0"/>
                <w:color w:val="000000"/>
                <w:sz w:val="22"/>
                <w:szCs w:val="22"/>
                <w:u w:val="none"/>
              </w:rPr>
            </w:pPr>
          </w:p>
        </w:tc>
        <w:tc>
          <w:tcPr>
            <w:tcW w:w="819" w:type="dxa"/>
            <w:tcBorders>
              <w:top w:val="nil"/>
              <w:left w:val="nil"/>
              <w:bottom w:val="nil"/>
              <w:right w:val="nil"/>
            </w:tcBorders>
            <w:shd w:val="clear" w:color="auto" w:fill="auto"/>
            <w:noWrap/>
            <w:vAlign w:val="center"/>
          </w:tcPr>
          <w:p w14:paraId="6DAC7A94">
            <w:pPr>
              <w:rPr>
                <w:rFonts w:hint="eastAsia" w:ascii="宋体" w:hAnsi="宋体" w:eastAsia="宋体" w:cs="宋体"/>
                <w:i w:val="0"/>
                <w:iCs w:val="0"/>
                <w:color w:val="000000"/>
                <w:sz w:val="22"/>
                <w:szCs w:val="22"/>
                <w:u w:val="none"/>
              </w:rPr>
            </w:pPr>
          </w:p>
        </w:tc>
        <w:tc>
          <w:tcPr>
            <w:tcW w:w="793" w:type="dxa"/>
            <w:tcBorders>
              <w:top w:val="nil"/>
              <w:left w:val="nil"/>
              <w:bottom w:val="nil"/>
              <w:right w:val="nil"/>
            </w:tcBorders>
            <w:shd w:val="clear" w:color="auto" w:fill="auto"/>
            <w:noWrap/>
            <w:vAlign w:val="center"/>
          </w:tcPr>
          <w:p w14:paraId="3984EE8E">
            <w:pPr>
              <w:rPr>
                <w:rFonts w:hint="eastAsia" w:ascii="宋体" w:hAnsi="宋体" w:eastAsia="宋体" w:cs="宋体"/>
                <w:i w:val="0"/>
                <w:iCs w:val="0"/>
                <w:color w:val="000000"/>
                <w:sz w:val="22"/>
                <w:szCs w:val="22"/>
                <w:u w:val="none"/>
              </w:rPr>
            </w:pPr>
          </w:p>
        </w:tc>
        <w:tc>
          <w:tcPr>
            <w:tcW w:w="1063" w:type="dxa"/>
            <w:tcBorders>
              <w:top w:val="nil"/>
              <w:left w:val="nil"/>
              <w:bottom w:val="nil"/>
              <w:right w:val="nil"/>
            </w:tcBorders>
            <w:shd w:val="clear" w:color="auto" w:fill="auto"/>
            <w:noWrap/>
            <w:vAlign w:val="center"/>
          </w:tcPr>
          <w:p w14:paraId="73FEC3E5">
            <w:pPr>
              <w:rPr>
                <w:rFonts w:hint="eastAsia" w:ascii="宋体" w:hAnsi="宋体" w:eastAsia="宋体" w:cs="宋体"/>
                <w:i w:val="0"/>
                <w:iCs w:val="0"/>
                <w:color w:val="000000"/>
                <w:sz w:val="22"/>
                <w:szCs w:val="22"/>
                <w:u w:val="none"/>
              </w:rPr>
            </w:pPr>
          </w:p>
        </w:tc>
        <w:tc>
          <w:tcPr>
            <w:tcW w:w="831" w:type="dxa"/>
            <w:tcBorders>
              <w:top w:val="nil"/>
              <w:left w:val="nil"/>
              <w:bottom w:val="nil"/>
              <w:right w:val="nil"/>
            </w:tcBorders>
            <w:shd w:val="clear" w:color="auto" w:fill="auto"/>
            <w:noWrap/>
            <w:vAlign w:val="center"/>
          </w:tcPr>
          <w:p w14:paraId="75C97DBE">
            <w:pPr>
              <w:rPr>
                <w:rFonts w:hint="eastAsia" w:ascii="宋体" w:hAnsi="宋体" w:eastAsia="宋体" w:cs="宋体"/>
                <w:i w:val="0"/>
                <w:iCs w:val="0"/>
                <w:color w:val="000000"/>
                <w:sz w:val="22"/>
                <w:szCs w:val="22"/>
                <w:u w:val="none"/>
              </w:rPr>
            </w:pPr>
          </w:p>
        </w:tc>
        <w:tc>
          <w:tcPr>
            <w:tcW w:w="1050" w:type="dxa"/>
            <w:tcBorders>
              <w:top w:val="nil"/>
              <w:left w:val="nil"/>
              <w:bottom w:val="nil"/>
              <w:right w:val="nil"/>
            </w:tcBorders>
            <w:shd w:val="clear" w:color="auto" w:fill="auto"/>
            <w:noWrap/>
            <w:vAlign w:val="center"/>
          </w:tcPr>
          <w:p w14:paraId="06202481">
            <w:pPr>
              <w:rPr>
                <w:rFonts w:hint="eastAsia" w:ascii="宋体" w:hAnsi="宋体" w:eastAsia="宋体" w:cs="宋体"/>
                <w:i w:val="0"/>
                <w:iCs w:val="0"/>
                <w:color w:val="000000"/>
                <w:sz w:val="22"/>
                <w:szCs w:val="22"/>
                <w:u w:val="none"/>
              </w:rPr>
            </w:pPr>
          </w:p>
        </w:tc>
        <w:tc>
          <w:tcPr>
            <w:tcW w:w="1069" w:type="dxa"/>
            <w:tcBorders>
              <w:top w:val="nil"/>
              <w:left w:val="nil"/>
              <w:bottom w:val="nil"/>
              <w:right w:val="nil"/>
            </w:tcBorders>
            <w:shd w:val="clear" w:color="auto" w:fill="auto"/>
            <w:noWrap/>
            <w:vAlign w:val="center"/>
          </w:tcPr>
          <w:p w14:paraId="7EB47EF1">
            <w:pPr>
              <w:rPr>
                <w:rFonts w:hint="eastAsia" w:ascii="宋体" w:hAnsi="宋体" w:eastAsia="宋体" w:cs="宋体"/>
                <w:i w:val="0"/>
                <w:iCs w:val="0"/>
                <w:color w:val="000000"/>
                <w:sz w:val="22"/>
                <w:szCs w:val="22"/>
                <w:u w:val="none"/>
              </w:rPr>
            </w:pPr>
          </w:p>
        </w:tc>
        <w:tc>
          <w:tcPr>
            <w:tcW w:w="1069" w:type="dxa"/>
            <w:tcBorders>
              <w:top w:val="nil"/>
              <w:left w:val="nil"/>
              <w:bottom w:val="nil"/>
              <w:right w:val="nil"/>
            </w:tcBorders>
            <w:shd w:val="clear" w:color="auto" w:fill="auto"/>
            <w:noWrap/>
            <w:vAlign w:val="center"/>
          </w:tcPr>
          <w:p w14:paraId="6254D2C7">
            <w:pPr>
              <w:rPr>
                <w:rFonts w:hint="eastAsia" w:ascii="宋体" w:hAnsi="宋体" w:eastAsia="宋体" w:cs="宋体"/>
                <w:i w:val="0"/>
                <w:iCs w:val="0"/>
                <w:color w:val="000000"/>
                <w:sz w:val="22"/>
                <w:szCs w:val="22"/>
                <w:u w:val="none"/>
              </w:rPr>
            </w:pPr>
          </w:p>
        </w:tc>
        <w:tc>
          <w:tcPr>
            <w:tcW w:w="1087" w:type="dxa"/>
            <w:tcBorders>
              <w:top w:val="nil"/>
              <w:left w:val="nil"/>
              <w:bottom w:val="nil"/>
              <w:right w:val="nil"/>
            </w:tcBorders>
            <w:shd w:val="clear" w:color="auto" w:fill="auto"/>
            <w:noWrap/>
            <w:vAlign w:val="center"/>
          </w:tcPr>
          <w:p w14:paraId="0A809C7C">
            <w:pPr>
              <w:rPr>
                <w:rFonts w:hint="eastAsia" w:ascii="宋体" w:hAnsi="宋体" w:eastAsia="宋体" w:cs="宋体"/>
                <w:i w:val="0"/>
                <w:iCs w:val="0"/>
                <w:color w:val="000000"/>
                <w:sz w:val="22"/>
                <w:szCs w:val="22"/>
                <w:u w:val="none"/>
              </w:rPr>
            </w:pPr>
          </w:p>
        </w:tc>
        <w:tc>
          <w:tcPr>
            <w:tcW w:w="1513" w:type="dxa"/>
            <w:tcBorders>
              <w:top w:val="nil"/>
              <w:left w:val="nil"/>
              <w:bottom w:val="nil"/>
              <w:right w:val="nil"/>
            </w:tcBorders>
            <w:shd w:val="clear" w:color="auto" w:fill="auto"/>
            <w:noWrap/>
            <w:vAlign w:val="center"/>
          </w:tcPr>
          <w:p w14:paraId="4D3972C9">
            <w:pPr>
              <w:rPr>
                <w:rFonts w:hint="eastAsia" w:ascii="宋体" w:hAnsi="宋体" w:eastAsia="宋体" w:cs="宋体"/>
                <w:i w:val="0"/>
                <w:iCs w:val="0"/>
                <w:color w:val="000000"/>
                <w:sz w:val="22"/>
                <w:szCs w:val="22"/>
                <w:u w:val="none"/>
              </w:rPr>
            </w:pPr>
          </w:p>
        </w:tc>
      </w:tr>
      <w:tr w14:paraId="650BF2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10500" w:type="dxa"/>
            <w:gridSpan w:val="11"/>
            <w:tcBorders>
              <w:top w:val="nil"/>
              <w:left w:val="nil"/>
              <w:bottom w:val="nil"/>
              <w:right w:val="nil"/>
            </w:tcBorders>
            <w:shd w:val="clear" w:color="auto" w:fill="auto"/>
            <w:vAlign w:val="center"/>
          </w:tcPr>
          <w:p w14:paraId="00DBBD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项目支出绩效自评表 </w:t>
            </w:r>
          </w:p>
        </w:tc>
      </w:tr>
      <w:tr w14:paraId="44B9C4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0500" w:type="dxa"/>
            <w:gridSpan w:val="11"/>
            <w:tcBorders>
              <w:top w:val="nil"/>
              <w:left w:val="nil"/>
              <w:bottom w:val="nil"/>
              <w:right w:val="nil"/>
            </w:tcBorders>
            <w:shd w:val="clear" w:color="auto" w:fill="auto"/>
            <w:vAlign w:val="center"/>
          </w:tcPr>
          <w:p w14:paraId="0A66BB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（2023年度）</w:t>
            </w:r>
          </w:p>
        </w:tc>
      </w:tr>
      <w:tr w14:paraId="01A9D8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93" w:type="dxa"/>
            <w:tcBorders>
              <w:top w:val="nil"/>
              <w:left w:val="nil"/>
              <w:bottom w:val="single" w:color="000000" w:sz="4" w:space="0"/>
              <w:right w:val="nil"/>
            </w:tcBorders>
            <w:shd w:val="clear" w:color="auto" w:fill="auto"/>
            <w:vAlign w:val="center"/>
          </w:tcPr>
          <w:p w14:paraId="01DCD24C">
            <w:pPr>
              <w:rPr>
                <w:rFonts w:hint="eastAsia" w:ascii="宋体" w:hAnsi="宋体" w:eastAsia="宋体" w:cs="宋体"/>
                <w:i w:val="0"/>
                <w:iCs w:val="0"/>
                <w:color w:val="000000"/>
                <w:sz w:val="20"/>
                <w:szCs w:val="20"/>
                <w:u w:val="none"/>
              </w:rPr>
            </w:pPr>
          </w:p>
        </w:tc>
        <w:tc>
          <w:tcPr>
            <w:tcW w:w="713" w:type="dxa"/>
            <w:tcBorders>
              <w:top w:val="nil"/>
              <w:left w:val="nil"/>
              <w:bottom w:val="single" w:color="000000" w:sz="4" w:space="0"/>
              <w:right w:val="nil"/>
            </w:tcBorders>
            <w:shd w:val="clear" w:color="auto" w:fill="auto"/>
            <w:vAlign w:val="center"/>
          </w:tcPr>
          <w:p w14:paraId="338E6BDF">
            <w:pPr>
              <w:rPr>
                <w:rFonts w:hint="eastAsia" w:ascii="宋体" w:hAnsi="宋体" w:eastAsia="宋体" w:cs="宋体"/>
                <w:i w:val="0"/>
                <w:iCs w:val="0"/>
                <w:color w:val="000000"/>
                <w:sz w:val="20"/>
                <w:szCs w:val="20"/>
                <w:u w:val="none"/>
              </w:rPr>
            </w:pPr>
          </w:p>
        </w:tc>
        <w:tc>
          <w:tcPr>
            <w:tcW w:w="819" w:type="dxa"/>
            <w:tcBorders>
              <w:top w:val="nil"/>
              <w:left w:val="nil"/>
              <w:bottom w:val="single" w:color="000000" w:sz="4" w:space="0"/>
              <w:right w:val="nil"/>
            </w:tcBorders>
            <w:shd w:val="clear" w:color="auto" w:fill="auto"/>
            <w:vAlign w:val="center"/>
          </w:tcPr>
          <w:p w14:paraId="2118A5A1">
            <w:pPr>
              <w:rPr>
                <w:rFonts w:hint="eastAsia" w:ascii="宋体" w:hAnsi="宋体" w:eastAsia="宋体" w:cs="宋体"/>
                <w:i w:val="0"/>
                <w:iCs w:val="0"/>
                <w:color w:val="000000"/>
                <w:sz w:val="20"/>
                <w:szCs w:val="20"/>
                <w:u w:val="none"/>
              </w:rPr>
            </w:pPr>
          </w:p>
        </w:tc>
        <w:tc>
          <w:tcPr>
            <w:tcW w:w="793" w:type="dxa"/>
            <w:tcBorders>
              <w:top w:val="nil"/>
              <w:left w:val="nil"/>
              <w:bottom w:val="single" w:color="000000" w:sz="4" w:space="0"/>
              <w:right w:val="nil"/>
            </w:tcBorders>
            <w:shd w:val="clear" w:color="auto" w:fill="auto"/>
            <w:vAlign w:val="center"/>
          </w:tcPr>
          <w:p w14:paraId="06F2CDDF">
            <w:pPr>
              <w:rPr>
                <w:rFonts w:hint="eastAsia" w:ascii="宋体" w:hAnsi="宋体" w:eastAsia="宋体" w:cs="宋体"/>
                <w:i w:val="0"/>
                <w:iCs w:val="0"/>
                <w:color w:val="000000"/>
                <w:sz w:val="20"/>
                <w:szCs w:val="20"/>
                <w:u w:val="none"/>
              </w:rPr>
            </w:pPr>
          </w:p>
        </w:tc>
        <w:tc>
          <w:tcPr>
            <w:tcW w:w="1063" w:type="dxa"/>
            <w:tcBorders>
              <w:top w:val="nil"/>
              <w:left w:val="nil"/>
              <w:bottom w:val="single" w:color="000000" w:sz="4" w:space="0"/>
              <w:right w:val="nil"/>
            </w:tcBorders>
            <w:shd w:val="clear" w:color="auto" w:fill="auto"/>
            <w:vAlign w:val="center"/>
          </w:tcPr>
          <w:p w14:paraId="2AE679C6">
            <w:pPr>
              <w:rPr>
                <w:rFonts w:hint="eastAsia" w:ascii="宋体" w:hAnsi="宋体" w:eastAsia="宋体" w:cs="宋体"/>
                <w:i w:val="0"/>
                <w:iCs w:val="0"/>
                <w:color w:val="000000"/>
                <w:sz w:val="20"/>
                <w:szCs w:val="20"/>
                <w:u w:val="none"/>
              </w:rPr>
            </w:pPr>
          </w:p>
        </w:tc>
        <w:tc>
          <w:tcPr>
            <w:tcW w:w="831" w:type="dxa"/>
            <w:tcBorders>
              <w:top w:val="nil"/>
              <w:left w:val="nil"/>
              <w:bottom w:val="single" w:color="000000" w:sz="4" w:space="0"/>
              <w:right w:val="nil"/>
            </w:tcBorders>
            <w:shd w:val="clear" w:color="auto" w:fill="auto"/>
            <w:vAlign w:val="center"/>
          </w:tcPr>
          <w:p w14:paraId="5827D901">
            <w:pPr>
              <w:rPr>
                <w:rFonts w:hint="eastAsia" w:ascii="宋体" w:hAnsi="宋体" w:eastAsia="宋体" w:cs="宋体"/>
                <w:i w:val="0"/>
                <w:iCs w:val="0"/>
                <w:color w:val="000000"/>
                <w:sz w:val="20"/>
                <w:szCs w:val="20"/>
                <w:u w:val="none"/>
              </w:rPr>
            </w:pPr>
          </w:p>
        </w:tc>
        <w:tc>
          <w:tcPr>
            <w:tcW w:w="1050" w:type="dxa"/>
            <w:tcBorders>
              <w:top w:val="nil"/>
              <w:left w:val="nil"/>
              <w:bottom w:val="single" w:color="000000" w:sz="4" w:space="0"/>
              <w:right w:val="nil"/>
            </w:tcBorders>
            <w:shd w:val="clear" w:color="auto" w:fill="auto"/>
            <w:vAlign w:val="center"/>
          </w:tcPr>
          <w:p w14:paraId="0BA0AE3E">
            <w:pPr>
              <w:rPr>
                <w:rFonts w:hint="eastAsia" w:ascii="宋体" w:hAnsi="宋体" w:eastAsia="宋体" w:cs="宋体"/>
                <w:i w:val="0"/>
                <w:iCs w:val="0"/>
                <w:color w:val="000000"/>
                <w:sz w:val="20"/>
                <w:szCs w:val="20"/>
                <w:u w:val="none"/>
              </w:rPr>
            </w:pPr>
          </w:p>
        </w:tc>
        <w:tc>
          <w:tcPr>
            <w:tcW w:w="1069" w:type="dxa"/>
            <w:tcBorders>
              <w:top w:val="nil"/>
              <w:left w:val="nil"/>
              <w:bottom w:val="single" w:color="000000" w:sz="4" w:space="0"/>
              <w:right w:val="nil"/>
            </w:tcBorders>
            <w:shd w:val="clear" w:color="auto" w:fill="auto"/>
            <w:vAlign w:val="center"/>
          </w:tcPr>
          <w:p w14:paraId="732E5E73">
            <w:pPr>
              <w:rPr>
                <w:rFonts w:hint="eastAsia" w:ascii="宋体" w:hAnsi="宋体" w:eastAsia="宋体" w:cs="宋体"/>
                <w:i w:val="0"/>
                <w:iCs w:val="0"/>
                <w:color w:val="000000"/>
                <w:sz w:val="20"/>
                <w:szCs w:val="20"/>
                <w:u w:val="none"/>
              </w:rPr>
            </w:pPr>
          </w:p>
        </w:tc>
        <w:tc>
          <w:tcPr>
            <w:tcW w:w="1069" w:type="dxa"/>
            <w:tcBorders>
              <w:top w:val="nil"/>
              <w:left w:val="nil"/>
              <w:bottom w:val="single" w:color="000000" w:sz="4" w:space="0"/>
              <w:right w:val="nil"/>
            </w:tcBorders>
            <w:shd w:val="clear" w:color="auto" w:fill="auto"/>
            <w:vAlign w:val="center"/>
          </w:tcPr>
          <w:p w14:paraId="04C4D79E">
            <w:pPr>
              <w:rPr>
                <w:rFonts w:hint="eastAsia" w:ascii="宋体" w:hAnsi="宋体" w:eastAsia="宋体" w:cs="宋体"/>
                <w:i w:val="0"/>
                <w:iCs w:val="0"/>
                <w:color w:val="000000"/>
                <w:sz w:val="20"/>
                <w:szCs w:val="20"/>
                <w:u w:val="none"/>
              </w:rPr>
            </w:pPr>
          </w:p>
        </w:tc>
        <w:tc>
          <w:tcPr>
            <w:tcW w:w="1087" w:type="dxa"/>
            <w:tcBorders>
              <w:top w:val="nil"/>
              <w:left w:val="nil"/>
              <w:bottom w:val="single" w:color="000000" w:sz="4" w:space="0"/>
              <w:right w:val="nil"/>
            </w:tcBorders>
            <w:shd w:val="clear" w:color="auto" w:fill="auto"/>
            <w:vAlign w:val="center"/>
          </w:tcPr>
          <w:p w14:paraId="3DD1B947">
            <w:pPr>
              <w:rPr>
                <w:rFonts w:hint="eastAsia" w:ascii="宋体" w:hAnsi="宋体" w:eastAsia="宋体" w:cs="宋体"/>
                <w:i w:val="0"/>
                <w:iCs w:val="0"/>
                <w:color w:val="000000"/>
                <w:sz w:val="20"/>
                <w:szCs w:val="20"/>
                <w:u w:val="none"/>
              </w:rPr>
            </w:pPr>
          </w:p>
        </w:tc>
        <w:tc>
          <w:tcPr>
            <w:tcW w:w="1513" w:type="dxa"/>
            <w:tcBorders>
              <w:top w:val="nil"/>
              <w:left w:val="nil"/>
              <w:bottom w:val="single" w:color="000000" w:sz="4" w:space="0"/>
              <w:right w:val="nil"/>
            </w:tcBorders>
            <w:shd w:val="clear" w:color="auto" w:fill="auto"/>
            <w:vAlign w:val="center"/>
          </w:tcPr>
          <w:p w14:paraId="09055378">
            <w:pPr>
              <w:rPr>
                <w:rFonts w:hint="eastAsia" w:ascii="宋体" w:hAnsi="宋体" w:eastAsia="宋体" w:cs="宋体"/>
                <w:i w:val="0"/>
                <w:iCs w:val="0"/>
                <w:color w:val="000000"/>
                <w:sz w:val="20"/>
                <w:szCs w:val="20"/>
                <w:u w:val="none"/>
              </w:rPr>
            </w:pPr>
          </w:p>
        </w:tc>
      </w:tr>
      <w:tr w14:paraId="14469E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0" w:hRule="atLeast"/>
        </w:trPr>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950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8475"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F5C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淮南路项目胜利路街道征地预存款</w:t>
            </w:r>
          </w:p>
        </w:tc>
      </w:tr>
      <w:tr w14:paraId="21368C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0" w:hRule="atLeast"/>
        </w:trPr>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5D9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3737"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FE57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530-合肥市瑶海区财政局</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24A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36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CB5D8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051001-合肥市瑶海区胜利路街道办事处</w:t>
            </w:r>
          </w:p>
        </w:tc>
      </w:tr>
      <w:tr w14:paraId="14A9C3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0" w:hRule="atLeast"/>
        </w:trPr>
        <w:tc>
          <w:tcPr>
            <w:tcW w:w="2025" w:type="dxa"/>
            <w:gridSpan w:val="3"/>
            <w:vMerge w:val="restart"/>
            <w:tcBorders>
              <w:top w:val="single" w:color="000000" w:sz="4" w:space="0"/>
              <w:left w:val="single" w:color="000000" w:sz="4" w:space="0"/>
              <w:bottom w:val="nil"/>
              <w:right w:val="single" w:color="000000" w:sz="4" w:space="0"/>
            </w:tcBorders>
            <w:shd w:val="clear" w:color="auto" w:fill="auto"/>
            <w:vAlign w:val="center"/>
          </w:tcPr>
          <w:p w14:paraId="415E63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                    （万元）</w:t>
            </w:r>
          </w:p>
        </w:tc>
        <w:tc>
          <w:tcPr>
            <w:tcW w:w="18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C14CC">
            <w:pPr>
              <w:jc w:val="center"/>
              <w:rPr>
                <w:rFonts w:hint="eastAsia" w:ascii="宋体" w:hAnsi="宋体" w:eastAsia="宋体" w:cs="宋体"/>
                <w:i w:val="0"/>
                <w:iCs w:val="0"/>
                <w:color w:val="000000"/>
                <w:sz w:val="20"/>
                <w:szCs w:val="20"/>
                <w:u w:val="none"/>
              </w:rPr>
            </w:pP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C90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年初预算数</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37E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C3F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17D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分值 </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891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执行率</w:t>
            </w:r>
          </w:p>
        </w:tc>
        <w:tc>
          <w:tcPr>
            <w:tcW w:w="1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F08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r>
      <w:tr w14:paraId="052670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0" w:hRule="atLeast"/>
        </w:trPr>
        <w:tc>
          <w:tcPr>
            <w:tcW w:w="2025" w:type="dxa"/>
            <w:gridSpan w:val="3"/>
            <w:vMerge w:val="continue"/>
            <w:tcBorders>
              <w:top w:val="single" w:color="000000" w:sz="4" w:space="0"/>
              <w:left w:val="single" w:color="000000" w:sz="4" w:space="0"/>
              <w:bottom w:val="nil"/>
              <w:right w:val="single" w:color="000000" w:sz="4" w:space="0"/>
            </w:tcBorders>
            <w:shd w:val="clear" w:color="auto" w:fill="auto"/>
            <w:vAlign w:val="center"/>
          </w:tcPr>
          <w:p w14:paraId="496BDE6B">
            <w:pPr>
              <w:jc w:val="center"/>
              <w:rPr>
                <w:rFonts w:hint="eastAsia" w:ascii="宋体" w:hAnsi="宋体" w:eastAsia="宋体" w:cs="宋体"/>
                <w:i w:val="0"/>
                <w:iCs w:val="0"/>
                <w:color w:val="000000"/>
                <w:sz w:val="20"/>
                <w:szCs w:val="20"/>
                <w:u w:val="none"/>
              </w:rPr>
            </w:pPr>
          </w:p>
        </w:tc>
        <w:tc>
          <w:tcPr>
            <w:tcW w:w="18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108F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831" w:type="dxa"/>
            <w:tcBorders>
              <w:top w:val="single" w:color="000000" w:sz="4" w:space="0"/>
              <w:left w:val="single" w:color="000000" w:sz="4" w:space="0"/>
              <w:bottom w:val="nil"/>
              <w:right w:val="single" w:color="000000" w:sz="4" w:space="0"/>
            </w:tcBorders>
            <w:shd w:val="clear" w:color="auto" w:fill="auto"/>
            <w:noWrap/>
            <w:vAlign w:val="center"/>
          </w:tcPr>
          <w:p w14:paraId="4C95A0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194.63</w:t>
            </w:r>
          </w:p>
        </w:tc>
        <w:tc>
          <w:tcPr>
            <w:tcW w:w="1050" w:type="dxa"/>
            <w:tcBorders>
              <w:top w:val="single" w:color="000000" w:sz="4" w:space="0"/>
              <w:left w:val="single" w:color="000000" w:sz="4" w:space="0"/>
              <w:bottom w:val="nil"/>
              <w:right w:val="single" w:color="000000" w:sz="4" w:space="0"/>
            </w:tcBorders>
            <w:shd w:val="clear" w:color="auto" w:fill="auto"/>
            <w:noWrap/>
            <w:vAlign w:val="center"/>
          </w:tcPr>
          <w:p w14:paraId="579BDA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194.63</w:t>
            </w:r>
          </w:p>
        </w:tc>
        <w:tc>
          <w:tcPr>
            <w:tcW w:w="1069" w:type="dxa"/>
            <w:tcBorders>
              <w:top w:val="single" w:color="000000" w:sz="4" w:space="0"/>
              <w:left w:val="single" w:color="000000" w:sz="4" w:space="0"/>
              <w:bottom w:val="nil"/>
              <w:right w:val="single" w:color="000000" w:sz="4" w:space="0"/>
            </w:tcBorders>
            <w:shd w:val="clear" w:color="auto" w:fill="auto"/>
            <w:noWrap/>
            <w:vAlign w:val="center"/>
          </w:tcPr>
          <w:p w14:paraId="6A14FE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69B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E5A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871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789F64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0" w:hRule="atLeast"/>
        </w:trPr>
        <w:tc>
          <w:tcPr>
            <w:tcW w:w="2025" w:type="dxa"/>
            <w:gridSpan w:val="3"/>
            <w:vMerge w:val="continue"/>
            <w:tcBorders>
              <w:top w:val="single" w:color="000000" w:sz="4" w:space="0"/>
              <w:left w:val="single" w:color="000000" w:sz="4" w:space="0"/>
              <w:bottom w:val="nil"/>
              <w:right w:val="single" w:color="000000" w:sz="4" w:space="0"/>
            </w:tcBorders>
            <w:shd w:val="clear" w:color="auto" w:fill="auto"/>
            <w:vAlign w:val="center"/>
          </w:tcPr>
          <w:p w14:paraId="49062F74">
            <w:pPr>
              <w:jc w:val="center"/>
              <w:rPr>
                <w:rFonts w:hint="eastAsia" w:ascii="宋体" w:hAnsi="宋体" w:eastAsia="宋体" w:cs="宋体"/>
                <w:i w:val="0"/>
                <w:iCs w:val="0"/>
                <w:color w:val="000000"/>
                <w:sz w:val="20"/>
                <w:szCs w:val="20"/>
                <w:u w:val="none"/>
              </w:rPr>
            </w:pPr>
          </w:p>
        </w:tc>
        <w:tc>
          <w:tcPr>
            <w:tcW w:w="18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53B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其中：本年财政拨款</w:t>
            </w:r>
          </w:p>
        </w:tc>
        <w:tc>
          <w:tcPr>
            <w:tcW w:w="831" w:type="dxa"/>
            <w:tcBorders>
              <w:top w:val="single" w:color="000000" w:sz="4" w:space="0"/>
              <w:left w:val="single" w:color="000000" w:sz="4" w:space="0"/>
              <w:bottom w:val="nil"/>
              <w:right w:val="single" w:color="000000" w:sz="4" w:space="0"/>
            </w:tcBorders>
            <w:shd w:val="clear" w:color="auto" w:fill="auto"/>
            <w:noWrap/>
            <w:vAlign w:val="center"/>
          </w:tcPr>
          <w:p w14:paraId="57E28E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194.63</w:t>
            </w:r>
          </w:p>
        </w:tc>
        <w:tc>
          <w:tcPr>
            <w:tcW w:w="1050" w:type="dxa"/>
            <w:tcBorders>
              <w:top w:val="single" w:color="000000" w:sz="4" w:space="0"/>
              <w:left w:val="single" w:color="000000" w:sz="4" w:space="0"/>
              <w:bottom w:val="nil"/>
              <w:right w:val="single" w:color="000000" w:sz="4" w:space="0"/>
            </w:tcBorders>
            <w:shd w:val="clear" w:color="auto" w:fill="auto"/>
            <w:noWrap/>
            <w:vAlign w:val="center"/>
          </w:tcPr>
          <w:p w14:paraId="4D62FC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194.63</w:t>
            </w:r>
          </w:p>
        </w:tc>
        <w:tc>
          <w:tcPr>
            <w:tcW w:w="1069" w:type="dxa"/>
            <w:tcBorders>
              <w:top w:val="single" w:color="000000" w:sz="4" w:space="0"/>
              <w:left w:val="single" w:color="000000" w:sz="4" w:space="0"/>
              <w:bottom w:val="nil"/>
              <w:right w:val="single" w:color="000000" w:sz="4" w:space="0"/>
            </w:tcBorders>
            <w:shd w:val="clear" w:color="auto" w:fill="auto"/>
            <w:noWrap/>
            <w:vAlign w:val="center"/>
          </w:tcPr>
          <w:p w14:paraId="5ED8D4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48A2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2768A">
            <w:pPr>
              <w:jc w:val="center"/>
              <w:rPr>
                <w:rFonts w:hint="eastAsia" w:ascii="宋体" w:hAnsi="宋体" w:eastAsia="宋体" w:cs="宋体"/>
                <w:i w:val="0"/>
                <w:iCs w:val="0"/>
                <w:color w:val="000000"/>
                <w:sz w:val="20"/>
                <w:szCs w:val="20"/>
                <w:u w:val="none"/>
              </w:rPr>
            </w:pPr>
          </w:p>
        </w:tc>
        <w:tc>
          <w:tcPr>
            <w:tcW w:w="1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86A40">
            <w:pPr>
              <w:jc w:val="center"/>
              <w:rPr>
                <w:rFonts w:hint="eastAsia" w:ascii="宋体" w:hAnsi="宋体" w:eastAsia="宋体" w:cs="宋体"/>
                <w:i w:val="0"/>
                <w:iCs w:val="0"/>
                <w:color w:val="000000"/>
                <w:sz w:val="20"/>
                <w:szCs w:val="20"/>
                <w:u w:val="none"/>
              </w:rPr>
            </w:pPr>
          </w:p>
        </w:tc>
      </w:tr>
      <w:tr w14:paraId="680224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0" w:hRule="atLeast"/>
        </w:trPr>
        <w:tc>
          <w:tcPr>
            <w:tcW w:w="2025" w:type="dxa"/>
            <w:gridSpan w:val="3"/>
            <w:vMerge w:val="continue"/>
            <w:tcBorders>
              <w:top w:val="single" w:color="000000" w:sz="4" w:space="0"/>
              <w:left w:val="single" w:color="000000" w:sz="4" w:space="0"/>
              <w:bottom w:val="nil"/>
              <w:right w:val="single" w:color="000000" w:sz="4" w:space="0"/>
            </w:tcBorders>
            <w:shd w:val="clear" w:color="auto" w:fill="auto"/>
            <w:vAlign w:val="center"/>
          </w:tcPr>
          <w:p w14:paraId="3E3F6A96">
            <w:pPr>
              <w:jc w:val="center"/>
              <w:rPr>
                <w:rFonts w:hint="eastAsia" w:ascii="宋体" w:hAnsi="宋体" w:eastAsia="宋体" w:cs="宋体"/>
                <w:i w:val="0"/>
                <w:iCs w:val="0"/>
                <w:color w:val="000000"/>
                <w:sz w:val="20"/>
                <w:szCs w:val="20"/>
                <w:u w:val="none"/>
              </w:rPr>
            </w:pPr>
          </w:p>
        </w:tc>
        <w:tc>
          <w:tcPr>
            <w:tcW w:w="18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6944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上年结转资金</w:t>
            </w:r>
          </w:p>
        </w:tc>
        <w:tc>
          <w:tcPr>
            <w:tcW w:w="831" w:type="dxa"/>
            <w:tcBorders>
              <w:top w:val="single" w:color="000000" w:sz="4" w:space="0"/>
              <w:left w:val="single" w:color="000000" w:sz="4" w:space="0"/>
              <w:bottom w:val="nil"/>
              <w:right w:val="single" w:color="000000" w:sz="4" w:space="0"/>
            </w:tcBorders>
            <w:shd w:val="clear" w:color="auto" w:fill="auto"/>
            <w:noWrap/>
            <w:vAlign w:val="center"/>
          </w:tcPr>
          <w:p w14:paraId="2C4D92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050" w:type="dxa"/>
            <w:tcBorders>
              <w:top w:val="single" w:color="000000" w:sz="4" w:space="0"/>
              <w:left w:val="single" w:color="000000" w:sz="4" w:space="0"/>
              <w:bottom w:val="nil"/>
              <w:right w:val="single" w:color="000000" w:sz="4" w:space="0"/>
            </w:tcBorders>
            <w:shd w:val="clear" w:color="auto" w:fill="auto"/>
            <w:noWrap/>
            <w:vAlign w:val="center"/>
          </w:tcPr>
          <w:p w14:paraId="6865C8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069" w:type="dxa"/>
            <w:tcBorders>
              <w:top w:val="single" w:color="000000" w:sz="4" w:space="0"/>
              <w:left w:val="single" w:color="000000" w:sz="4" w:space="0"/>
              <w:bottom w:val="nil"/>
              <w:right w:val="single" w:color="000000" w:sz="4" w:space="0"/>
            </w:tcBorders>
            <w:shd w:val="clear" w:color="auto" w:fill="auto"/>
            <w:noWrap/>
            <w:vAlign w:val="center"/>
          </w:tcPr>
          <w:p w14:paraId="1B7E85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E93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DEEF6">
            <w:pPr>
              <w:jc w:val="center"/>
              <w:rPr>
                <w:rFonts w:hint="eastAsia" w:ascii="宋体" w:hAnsi="宋体" w:eastAsia="宋体" w:cs="宋体"/>
                <w:i w:val="0"/>
                <w:iCs w:val="0"/>
                <w:color w:val="000000"/>
                <w:sz w:val="20"/>
                <w:szCs w:val="20"/>
                <w:u w:val="none"/>
              </w:rPr>
            </w:pPr>
          </w:p>
        </w:tc>
        <w:tc>
          <w:tcPr>
            <w:tcW w:w="1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E62D5">
            <w:pPr>
              <w:jc w:val="center"/>
              <w:rPr>
                <w:rFonts w:hint="eastAsia" w:ascii="宋体" w:hAnsi="宋体" w:eastAsia="宋体" w:cs="宋体"/>
                <w:i w:val="0"/>
                <w:iCs w:val="0"/>
                <w:color w:val="000000"/>
                <w:sz w:val="20"/>
                <w:szCs w:val="20"/>
                <w:u w:val="none"/>
              </w:rPr>
            </w:pPr>
          </w:p>
        </w:tc>
      </w:tr>
      <w:tr w14:paraId="085A4E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0" w:hRule="atLeast"/>
        </w:trPr>
        <w:tc>
          <w:tcPr>
            <w:tcW w:w="2025" w:type="dxa"/>
            <w:gridSpan w:val="3"/>
            <w:vMerge w:val="continue"/>
            <w:tcBorders>
              <w:top w:val="single" w:color="000000" w:sz="4" w:space="0"/>
              <w:left w:val="single" w:color="000000" w:sz="4" w:space="0"/>
              <w:bottom w:val="nil"/>
              <w:right w:val="single" w:color="000000" w:sz="4" w:space="0"/>
            </w:tcBorders>
            <w:shd w:val="clear" w:color="auto" w:fill="auto"/>
            <w:vAlign w:val="center"/>
          </w:tcPr>
          <w:p w14:paraId="2329D073">
            <w:pPr>
              <w:jc w:val="center"/>
              <w:rPr>
                <w:rFonts w:hint="eastAsia" w:ascii="宋体" w:hAnsi="宋体" w:eastAsia="宋体" w:cs="宋体"/>
                <w:i w:val="0"/>
                <w:iCs w:val="0"/>
                <w:color w:val="000000"/>
                <w:sz w:val="20"/>
                <w:szCs w:val="20"/>
                <w:u w:val="none"/>
              </w:rPr>
            </w:pPr>
          </w:p>
        </w:tc>
        <w:tc>
          <w:tcPr>
            <w:tcW w:w="1856" w:type="dxa"/>
            <w:gridSpan w:val="2"/>
            <w:tcBorders>
              <w:top w:val="single" w:color="000000" w:sz="4" w:space="0"/>
              <w:left w:val="single" w:color="000000" w:sz="4" w:space="0"/>
              <w:bottom w:val="nil"/>
              <w:right w:val="single" w:color="000000" w:sz="4" w:space="0"/>
            </w:tcBorders>
            <w:shd w:val="clear" w:color="auto" w:fill="auto"/>
            <w:noWrap/>
            <w:vAlign w:val="center"/>
          </w:tcPr>
          <w:p w14:paraId="2D58929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其他资金</w:t>
            </w:r>
          </w:p>
        </w:tc>
        <w:tc>
          <w:tcPr>
            <w:tcW w:w="831" w:type="dxa"/>
            <w:tcBorders>
              <w:top w:val="single" w:color="000000" w:sz="4" w:space="0"/>
              <w:left w:val="single" w:color="000000" w:sz="4" w:space="0"/>
              <w:bottom w:val="nil"/>
              <w:right w:val="single" w:color="000000" w:sz="4" w:space="0"/>
            </w:tcBorders>
            <w:shd w:val="clear" w:color="auto" w:fill="auto"/>
            <w:noWrap/>
            <w:vAlign w:val="center"/>
          </w:tcPr>
          <w:p w14:paraId="59A0DF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050" w:type="dxa"/>
            <w:tcBorders>
              <w:top w:val="single" w:color="000000" w:sz="4" w:space="0"/>
              <w:left w:val="single" w:color="000000" w:sz="4" w:space="0"/>
              <w:bottom w:val="nil"/>
              <w:right w:val="single" w:color="000000" w:sz="4" w:space="0"/>
            </w:tcBorders>
            <w:shd w:val="clear" w:color="auto" w:fill="auto"/>
            <w:noWrap/>
            <w:vAlign w:val="center"/>
          </w:tcPr>
          <w:p w14:paraId="01C190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069" w:type="dxa"/>
            <w:tcBorders>
              <w:top w:val="single" w:color="000000" w:sz="4" w:space="0"/>
              <w:left w:val="single" w:color="000000" w:sz="4" w:space="0"/>
              <w:bottom w:val="nil"/>
              <w:right w:val="single" w:color="000000" w:sz="4" w:space="0"/>
            </w:tcBorders>
            <w:shd w:val="clear" w:color="auto" w:fill="auto"/>
            <w:noWrap/>
            <w:vAlign w:val="center"/>
          </w:tcPr>
          <w:p w14:paraId="705330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4FFF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C0F77">
            <w:pPr>
              <w:jc w:val="center"/>
              <w:rPr>
                <w:rFonts w:hint="eastAsia" w:ascii="宋体" w:hAnsi="宋体" w:eastAsia="宋体" w:cs="宋体"/>
                <w:i w:val="0"/>
                <w:iCs w:val="0"/>
                <w:color w:val="000000"/>
                <w:sz w:val="20"/>
                <w:szCs w:val="20"/>
                <w:u w:val="none"/>
              </w:rPr>
            </w:pPr>
          </w:p>
        </w:tc>
        <w:tc>
          <w:tcPr>
            <w:tcW w:w="1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6C6DC">
            <w:pPr>
              <w:jc w:val="center"/>
              <w:rPr>
                <w:rFonts w:hint="eastAsia" w:ascii="宋体" w:hAnsi="宋体" w:eastAsia="宋体" w:cs="宋体"/>
                <w:i w:val="0"/>
                <w:iCs w:val="0"/>
                <w:color w:val="000000"/>
                <w:sz w:val="20"/>
                <w:szCs w:val="20"/>
                <w:u w:val="none"/>
              </w:rPr>
            </w:pPr>
          </w:p>
        </w:tc>
      </w:tr>
      <w:tr w14:paraId="7A88F9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0" w:hRule="atLeast"/>
        </w:trPr>
        <w:tc>
          <w:tcPr>
            <w:tcW w:w="493" w:type="dxa"/>
            <w:vMerge w:val="restart"/>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14:paraId="0CE8EB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526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E904B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473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F83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14:paraId="282974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1" w:hRule="atLeast"/>
        </w:trPr>
        <w:tc>
          <w:tcPr>
            <w:tcW w:w="493" w:type="dxa"/>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14:paraId="5038F767">
            <w:pPr>
              <w:jc w:val="center"/>
              <w:rPr>
                <w:rFonts w:hint="eastAsia" w:ascii="宋体" w:hAnsi="宋体" w:eastAsia="宋体" w:cs="宋体"/>
                <w:i w:val="0"/>
                <w:iCs w:val="0"/>
                <w:color w:val="000000"/>
                <w:sz w:val="20"/>
                <w:szCs w:val="20"/>
                <w:u w:val="none"/>
              </w:rPr>
            </w:pPr>
          </w:p>
        </w:tc>
        <w:tc>
          <w:tcPr>
            <w:tcW w:w="526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6E4BF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申请194万元财政资金，主要用于街道濉溪东路社区及戴安桥社区公共部位维修经费及社区工作人员费用支出。</w:t>
            </w:r>
          </w:p>
        </w:tc>
        <w:tc>
          <w:tcPr>
            <w:tcW w:w="473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4D33C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该项目涉及上海铁路局在拆迁中协调，进度缓慢，资金暂未支付，支付进度0%。</w:t>
            </w:r>
          </w:p>
        </w:tc>
      </w:tr>
      <w:tr w14:paraId="0CB126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493" w:type="dxa"/>
            <w:vMerge w:val="restart"/>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14:paraId="6D2299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绩效指标</w:t>
            </w: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6CE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E0B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26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7F0D8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731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年度指标值</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EB9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实际完成值</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BAE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1D8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6FB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偏差原因分析及改进措施</w:t>
            </w:r>
          </w:p>
        </w:tc>
      </w:tr>
      <w:tr w14:paraId="33807E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0" w:hRule="atLeast"/>
        </w:trPr>
        <w:tc>
          <w:tcPr>
            <w:tcW w:w="493" w:type="dxa"/>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14:paraId="12F25D38">
            <w:pPr>
              <w:jc w:val="center"/>
              <w:rPr>
                <w:rFonts w:hint="eastAsia" w:ascii="宋体" w:hAnsi="宋体" w:eastAsia="宋体" w:cs="宋体"/>
                <w:i w:val="0"/>
                <w:iCs w:val="0"/>
                <w:color w:val="000000"/>
                <w:sz w:val="20"/>
                <w:szCs w:val="20"/>
                <w:u w:val="none"/>
              </w:rPr>
            </w:pPr>
            <w:bookmarkStart w:id="0" w:name="_GoBack" w:colFirst="3" w:colLast="5"/>
          </w:p>
        </w:tc>
        <w:tc>
          <w:tcPr>
            <w:tcW w:w="7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9A8E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产出指标(50分)</w:t>
            </w: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1CA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26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C0BDC7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征收集体土地建设用地面积</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C39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＝8135平方米</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33C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8135</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77B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7C1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B636C">
            <w:pPr>
              <w:jc w:val="center"/>
              <w:rPr>
                <w:rFonts w:hint="eastAsia" w:ascii="宋体" w:hAnsi="宋体" w:eastAsia="宋体" w:cs="宋体"/>
                <w:i w:val="0"/>
                <w:iCs w:val="0"/>
                <w:color w:val="000000"/>
                <w:sz w:val="20"/>
                <w:szCs w:val="20"/>
                <w:u w:val="none"/>
              </w:rPr>
            </w:pPr>
          </w:p>
        </w:tc>
      </w:tr>
      <w:tr w14:paraId="699005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93" w:type="dxa"/>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14:paraId="522CE69B">
            <w:pPr>
              <w:jc w:val="center"/>
              <w:rPr>
                <w:rFonts w:hint="eastAsia" w:ascii="宋体" w:hAnsi="宋体" w:eastAsia="宋体" w:cs="宋体"/>
                <w:i w:val="0"/>
                <w:iCs w:val="0"/>
                <w:color w:val="000000"/>
                <w:sz w:val="20"/>
                <w:szCs w:val="20"/>
                <w:u w:val="none"/>
              </w:rPr>
            </w:pPr>
          </w:p>
        </w:tc>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02704A">
            <w:pPr>
              <w:jc w:val="center"/>
              <w:rPr>
                <w:rFonts w:hint="eastAsia" w:ascii="宋体" w:hAnsi="宋体" w:eastAsia="宋体" w:cs="宋体"/>
                <w:i w:val="0"/>
                <w:iCs w:val="0"/>
                <w:color w:val="000000"/>
                <w:sz w:val="20"/>
                <w:szCs w:val="20"/>
                <w:u w:val="none"/>
              </w:rPr>
            </w:pPr>
          </w:p>
        </w:tc>
        <w:tc>
          <w:tcPr>
            <w:tcW w:w="819" w:type="dxa"/>
            <w:tcBorders>
              <w:top w:val="single" w:color="000000" w:sz="4" w:space="0"/>
              <w:left w:val="single" w:color="000000" w:sz="4" w:space="0"/>
              <w:bottom w:val="nil"/>
              <w:right w:val="single" w:color="000000" w:sz="4" w:space="0"/>
            </w:tcBorders>
            <w:shd w:val="clear" w:color="auto" w:fill="auto"/>
            <w:vAlign w:val="center"/>
          </w:tcPr>
          <w:p w14:paraId="47FC5E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26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5DCC37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经费支出合规性</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D18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合规性</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A4F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达成预期指标</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30F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409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5B8DC">
            <w:pPr>
              <w:jc w:val="center"/>
              <w:rPr>
                <w:rFonts w:hint="eastAsia" w:ascii="宋体" w:hAnsi="宋体" w:eastAsia="宋体" w:cs="宋体"/>
                <w:i w:val="0"/>
                <w:iCs w:val="0"/>
                <w:color w:val="000000"/>
                <w:sz w:val="20"/>
                <w:szCs w:val="20"/>
                <w:u w:val="none"/>
              </w:rPr>
            </w:pPr>
          </w:p>
        </w:tc>
      </w:tr>
      <w:bookmarkEnd w:id="0"/>
      <w:tr w14:paraId="127A49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0" w:hRule="atLeast"/>
        </w:trPr>
        <w:tc>
          <w:tcPr>
            <w:tcW w:w="493" w:type="dxa"/>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14:paraId="0E24C8D1">
            <w:pPr>
              <w:jc w:val="center"/>
              <w:rPr>
                <w:rFonts w:hint="eastAsia" w:ascii="宋体" w:hAnsi="宋体" w:eastAsia="宋体" w:cs="宋体"/>
                <w:i w:val="0"/>
                <w:iCs w:val="0"/>
                <w:color w:val="000000"/>
                <w:sz w:val="20"/>
                <w:szCs w:val="20"/>
                <w:u w:val="none"/>
              </w:rPr>
            </w:pPr>
          </w:p>
        </w:tc>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088D44">
            <w:pPr>
              <w:jc w:val="center"/>
              <w:rPr>
                <w:rFonts w:hint="eastAsia" w:ascii="宋体" w:hAnsi="宋体" w:eastAsia="宋体" w:cs="宋体"/>
                <w:i w:val="0"/>
                <w:iCs w:val="0"/>
                <w:color w:val="000000"/>
                <w:sz w:val="20"/>
                <w:szCs w:val="20"/>
                <w:u w:val="none"/>
              </w:rPr>
            </w:pPr>
          </w:p>
        </w:tc>
        <w:tc>
          <w:tcPr>
            <w:tcW w:w="819" w:type="dxa"/>
            <w:tcBorders>
              <w:top w:val="single" w:color="000000" w:sz="4" w:space="0"/>
              <w:left w:val="single" w:color="000000" w:sz="4" w:space="0"/>
              <w:bottom w:val="nil"/>
              <w:right w:val="single" w:color="000000" w:sz="4" w:space="0"/>
            </w:tcBorders>
            <w:shd w:val="clear" w:color="auto" w:fill="auto"/>
            <w:vAlign w:val="center"/>
          </w:tcPr>
          <w:p w14:paraId="27CFED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26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5834F0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经费支出时效性</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4A9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2023年12月底前完成</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B88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未完成预期指标且效果较差</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3D2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AF4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E45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该项目涉及上海铁路局在拆迁中协调，进度缓慢，资金暂未支付，支付进度0%。</w:t>
            </w:r>
          </w:p>
        </w:tc>
      </w:tr>
      <w:tr w14:paraId="5D595B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00" w:hRule="atLeast"/>
        </w:trPr>
        <w:tc>
          <w:tcPr>
            <w:tcW w:w="493" w:type="dxa"/>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14:paraId="6F447DFF">
            <w:pPr>
              <w:jc w:val="center"/>
              <w:rPr>
                <w:rFonts w:hint="eastAsia" w:ascii="宋体" w:hAnsi="宋体" w:eastAsia="宋体" w:cs="宋体"/>
                <w:i w:val="0"/>
                <w:iCs w:val="0"/>
                <w:color w:val="000000"/>
                <w:sz w:val="20"/>
                <w:szCs w:val="20"/>
                <w:u w:val="none"/>
              </w:rPr>
            </w:pPr>
          </w:p>
        </w:tc>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5423F2">
            <w:pPr>
              <w:jc w:val="center"/>
              <w:rPr>
                <w:rFonts w:hint="eastAsia" w:ascii="宋体" w:hAnsi="宋体" w:eastAsia="宋体" w:cs="宋体"/>
                <w:i w:val="0"/>
                <w:iCs w:val="0"/>
                <w:color w:val="000000"/>
                <w:sz w:val="20"/>
                <w:szCs w:val="20"/>
                <w:u w:val="none"/>
              </w:rPr>
            </w:pPr>
          </w:p>
        </w:tc>
        <w:tc>
          <w:tcPr>
            <w:tcW w:w="819" w:type="dxa"/>
            <w:tcBorders>
              <w:top w:val="single" w:color="000000" w:sz="4" w:space="0"/>
              <w:left w:val="single" w:color="000000" w:sz="4" w:space="0"/>
              <w:bottom w:val="nil"/>
              <w:right w:val="single" w:color="000000" w:sz="4" w:space="0"/>
            </w:tcBorders>
            <w:shd w:val="clear" w:color="auto" w:fill="auto"/>
            <w:vAlign w:val="center"/>
          </w:tcPr>
          <w:p w14:paraId="7D1FF5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26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036A23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项目总成本</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FF6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＝1946298.75元</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425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ABF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8EB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B7E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该项目涉及上海铁路局在拆迁中协调，进度缓慢，资金暂未支付，支付进度0%。</w:t>
            </w:r>
          </w:p>
        </w:tc>
      </w:tr>
      <w:tr w14:paraId="5DF46F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0" w:hRule="atLeast"/>
        </w:trPr>
        <w:tc>
          <w:tcPr>
            <w:tcW w:w="493" w:type="dxa"/>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14:paraId="1E9E88F6">
            <w:pPr>
              <w:jc w:val="center"/>
              <w:rPr>
                <w:rFonts w:hint="eastAsia" w:ascii="宋体" w:hAnsi="宋体" w:eastAsia="宋体" w:cs="宋体"/>
                <w:i w:val="0"/>
                <w:iCs w:val="0"/>
                <w:color w:val="000000"/>
                <w:sz w:val="20"/>
                <w:szCs w:val="20"/>
                <w:u w:val="none"/>
              </w:rPr>
            </w:pPr>
          </w:p>
        </w:tc>
        <w:tc>
          <w:tcPr>
            <w:tcW w:w="7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720F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效益指标(30分)</w:t>
            </w: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850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经济效益指标</w:t>
            </w:r>
          </w:p>
        </w:tc>
        <w:tc>
          <w:tcPr>
            <w:tcW w:w="26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349621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提升社区工作能力</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E7D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效果明显</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EEC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达成预期指标</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96E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A1F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A9EB7">
            <w:pPr>
              <w:jc w:val="center"/>
              <w:rPr>
                <w:rFonts w:hint="eastAsia" w:ascii="宋体" w:hAnsi="宋体" w:eastAsia="宋体" w:cs="宋体"/>
                <w:i w:val="0"/>
                <w:iCs w:val="0"/>
                <w:color w:val="000000"/>
                <w:sz w:val="20"/>
                <w:szCs w:val="20"/>
                <w:u w:val="none"/>
              </w:rPr>
            </w:pPr>
          </w:p>
        </w:tc>
      </w:tr>
      <w:tr w14:paraId="5181A2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93" w:type="dxa"/>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14:paraId="2D8D2CD6">
            <w:pPr>
              <w:jc w:val="center"/>
              <w:rPr>
                <w:rFonts w:hint="eastAsia" w:ascii="宋体" w:hAnsi="宋体" w:eastAsia="宋体" w:cs="宋体"/>
                <w:i w:val="0"/>
                <w:iCs w:val="0"/>
                <w:color w:val="000000"/>
                <w:sz w:val="20"/>
                <w:szCs w:val="20"/>
                <w:u w:val="none"/>
              </w:rPr>
            </w:pPr>
          </w:p>
        </w:tc>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1878B4">
            <w:pPr>
              <w:jc w:val="center"/>
              <w:rPr>
                <w:rFonts w:hint="eastAsia" w:ascii="宋体" w:hAnsi="宋体" w:eastAsia="宋体" w:cs="宋体"/>
                <w:i w:val="0"/>
                <w:iCs w:val="0"/>
                <w:color w:val="000000"/>
                <w:sz w:val="20"/>
                <w:szCs w:val="20"/>
                <w:u w:val="none"/>
              </w:rPr>
            </w:pPr>
          </w:p>
        </w:tc>
        <w:tc>
          <w:tcPr>
            <w:tcW w:w="819" w:type="dxa"/>
            <w:tcBorders>
              <w:top w:val="single" w:color="000000" w:sz="4" w:space="0"/>
              <w:left w:val="single" w:color="000000" w:sz="4" w:space="0"/>
              <w:bottom w:val="nil"/>
              <w:right w:val="single" w:color="000000" w:sz="4" w:space="0"/>
            </w:tcBorders>
            <w:shd w:val="clear" w:color="auto" w:fill="auto"/>
            <w:vAlign w:val="center"/>
          </w:tcPr>
          <w:p w14:paraId="18A765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26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F1FA95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推动社会全面</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336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程度较高</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80F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达成预期指标</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893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EB4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211DA">
            <w:pPr>
              <w:jc w:val="center"/>
              <w:rPr>
                <w:rFonts w:hint="eastAsia" w:ascii="宋体" w:hAnsi="宋体" w:eastAsia="宋体" w:cs="宋体"/>
                <w:i w:val="0"/>
                <w:iCs w:val="0"/>
                <w:color w:val="000000"/>
                <w:sz w:val="20"/>
                <w:szCs w:val="20"/>
                <w:u w:val="none"/>
              </w:rPr>
            </w:pPr>
          </w:p>
        </w:tc>
      </w:tr>
      <w:tr w14:paraId="525FC4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93" w:type="dxa"/>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14:paraId="75189DAC">
            <w:pPr>
              <w:jc w:val="center"/>
              <w:rPr>
                <w:rFonts w:hint="eastAsia" w:ascii="宋体" w:hAnsi="宋体" w:eastAsia="宋体" w:cs="宋体"/>
                <w:i w:val="0"/>
                <w:iCs w:val="0"/>
                <w:color w:val="000000"/>
                <w:sz w:val="20"/>
                <w:szCs w:val="20"/>
                <w:u w:val="none"/>
              </w:rPr>
            </w:pPr>
          </w:p>
        </w:tc>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4622CC">
            <w:pPr>
              <w:jc w:val="center"/>
              <w:rPr>
                <w:rFonts w:hint="eastAsia" w:ascii="宋体" w:hAnsi="宋体" w:eastAsia="宋体" w:cs="宋体"/>
                <w:i w:val="0"/>
                <w:iCs w:val="0"/>
                <w:color w:val="000000"/>
                <w:sz w:val="20"/>
                <w:szCs w:val="20"/>
                <w:u w:val="none"/>
              </w:rPr>
            </w:pPr>
          </w:p>
        </w:tc>
        <w:tc>
          <w:tcPr>
            <w:tcW w:w="819" w:type="dxa"/>
            <w:tcBorders>
              <w:top w:val="single" w:color="000000" w:sz="4" w:space="0"/>
              <w:left w:val="single" w:color="000000" w:sz="4" w:space="0"/>
              <w:bottom w:val="nil"/>
              <w:right w:val="single" w:color="000000" w:sz="4" w:space="0"/>
            </w:tcBorders>
            <w:shd w:val="clear" w:color="auto" w:fill="auto"/>
            <w:vAlign w:val="center"/>
          </w:tcPr>
          <w:p w14:paraId="745D2D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生态效益指标</w:t>
            </w:r>
          </w:p>
        </w:tc>
        <w:tc>
          <w:tcPr>
            <w:tcW w:w="26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195F81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本指标不适用</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EA8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本指标不适用</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208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不适用</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BF5A6">
            <w:pPr>
              <w:jc w:val="center"/>
              <w:rPr>
                <w:rFonts w:hint="eastAsia" w:ascii="宋体" w:hAnsi="宋体" w:eastAsia="宋体" w:cs="宋体"/>
                <w:i w:val="0"/>
                <w:iCs w:val="0"/>
                <w:color w:val="000000"/>
                <w:sz w:val="20"/>
                <w:szCs w:val="20"/>
                <w:u w:val="none"/>
              </w:rPr>
            </w:pP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9BC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95271">
            <w:pPr>
              <w:jc w:val="center"/>
              <w:rPr>
                <w:rFonts w:hint="eastAsia" w:ascii="宋体" w:hAnsi="宋体" w:eastAsia="宋体" w:cs="宋体"/>
                <w:i w:val="0"/>
                <w:iCs w:val="0"/>
                <w:color w:val="000000"/>
                <w:sz w:val="20"/>
                <w:szCs w:val="20"/>
                <w:u w:val="none"/>
              </w:rPr>
            </w:pPr>
          </w:p>
        </w:tc>
      </w:tr>
      <w:tr w14:paraId="769223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493" w:type="dxa"/>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14:paraId="630E062B">
            <w:pPr>
              <w:jc w:val="center"/>
              <w:rPr>
                <w:rFonts w:hint="eastAsia" w:ascii="宋体" w:hAnsi="宋体" w:eastAsia="宋体" w:cs="宋体"/>
                <w:i w:val="0"/>
                <w:iCs w:val="0"/>
                <w:color w:val="000000"/>
                <w:sz w:val="20"/>
                <w:szCs w:val="20"/>
                <w:u w:val="none"/>
              </w:rPr>
            </w:pPr>
          </w:p>
        </w:tc>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451453">
            <w:pPr>
              <w:jc w:val="center"/>
              <w:rPr>
                <w:rFonts w:hint="eastAsia" w:ascii="宋体" w:hAnsi="宋体" w:eastAsia="宋体" w:cs="宋体"/>
                <w:i w:val="0"/>
                <w:iCs w:val="0"/>
                <w:color w:val="000000"/>
                <w:sz w:val="20"/>
                <w:szCs w:val="20"/>
                <w:u w:val="none"/>
              </w:rPr>
            </w:pPr>
          </w:p>
        </w:tc>
        <w:tc>
          <w:tcPr>
            <w:tcW w:w="819" w:type="dxa"/>
            <w:tcBorders>
              <w:top w:val="single" w:color="000000" w:sz="4" w:space="0"/>
              <w:left w:val="single" w:color="000000" w:sz="4" w:space="0"/>
              <w:bottom w:val="nil"/>
              <w:right w:val="single" w:color="000000" w:sz="4" w:space="0"/>
            </w:tcBorders>
            <w:shd w:val="clear" w:color="auto" w:fill="auto"/>
            <w:vAlign w:val="center"/>
          </w:tcPr>
          <w:p w14:paraId="776DA6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可持续影响指标</w:t>
            </w:r>
          </w:p>
        </w:tc>
        <w:tc>
          <w:tcPr>
            <w:tcW w:w="26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09A800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推动社会可持续发展</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AF9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程度较高</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827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达成预期指标</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4F5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70C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D7B59">
            <w:pPr>
              <w:jc w:val="center"/>
              <w:rPr>
                <w:rFonts w:hint="eastAsia" w:ascii="宋体" w:hAnsi="宋体" w:eastAsia="宋体" w:cs="宋体"/>
                <w:i w:val="0"/>
                <w:iCs w:val="0"/>
                <w:color w:val="000000"/>
                <w:sz w:val="20"/>
                <w:szCs w:val="20"/>
                <w:u w:val="none"/>
              </w:rPr>
            </w:pPr>
          </w:p>
        </w:tc>
      </w:tr>
      <w:tr w14:paraId="27C07A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50" w:hRule="atLeast"/>
        </w:trPr>
        <w:tc>
          <w:tcPr>
            <w:tcW w:w="493" w:type="dxa"/>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14:paraId="7E9F5DE6">
            <w:pPr>
              <w:jc w:val="center"/>
              <w:rPr>
                <w:rFonts w:hint="eastAsia" w:ascii="宋体" w:hAnsi="宋体" w:eastAsia="宋体" w:cs="宋体"/>
                <w:i w:val="0"/>
                <w:iCs w:val="0"/>
                <w:color w:val="000000"/>
                <w:sz w:val="20"/>
                <w:szCs w:val="20"/>
                <w:u w:val="none"/>
              </w:rPr>
            </w:pP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0CC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满意度指标(10分)</w:t>
            </w: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709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26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23CA87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509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≥92%</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E76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92</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CF6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48F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4E254">
            <w:pPr>
              <w:jc w:val="center"/>
              <w:rPr>
                <w:rFonts w:hint="eastAsia" w:ascii="宋体" w:hAnsi="宋体" w:eastAsia="宋体" w:cs="宋体"/>
                <w:i w:val="0"/>
                <w:iCs w:val="0"/>
                <w:color w:val="000000"/>
                <w:sz w:val="20"/>
                <w:szCs w:val="20"/>
                <w:u w:val="none"/>
              </w:rPr>
            </w:pPr>
          </w:p>
        </w:tc>
      </w:tr>
      <w:tr w14:paraId="66B6D4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5762"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E4916">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总分</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AF03D5">
            <w:pPr>
              <w:jc w:val="center"/>
              <w:rPr>
                <w:rFonts w:hint="eastAsia" w:ascii="宋体" w:hAnsi="宋体" w:eastAsia="宋体" w:cs="宋体"/>
                <w:b/>
                <w:bCs/>
                <w:i w:val="0"/>
                <w:iCs w:val="0"/>
                <w:color w:val="000000"/>
                <w:sz w:val="20"/>
                <w:szCs w:val="20"/>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C6E4A">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100</w:t>
            </w:r>
          </w:p>
        </w:tc>
        <w:tc>
          <w:tcPr>
            <w:tcW w:w="10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DA4D0C">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74.00</w:t>
            </w:r>
          </w:p>
        </w:tc>
        <w:tc>
          <w:tcPr>
            <w:tcW w:w="1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3B68C">
            <w:pPr>
              <w:jc w:val="center"/>
              <w:rPr>
                <w:rFonts w:hint="eastAsia" w:ascii="宋体" w:hAnsi="宋体" w:eastAsia="宋体" w:cs="宋体"/>
                <w:i w:val="0"/>
                <w:iCs w:val="0"/>
                <w:color w:val="000000"/>
                <w:sz w:val="20"/>
                <w:szCs w:val="20"/>
                <w:u w:val="none"/>
              </w:rPr>
            </w:pPr>
          </w:p>
        </w:tc>
      </w:tr>
    </w:tbl>
    <w:p w14:paraId="38ED107A">
      <w:pPr>
        <w:rPr>
          <w:color w:val="auto"/>
        </w:rPr>
      </w:pPr>
    </w:p>
    <w:p w14:paraId="3B046A68">
      <w:pPr>
        <w:widowControl/>
        <w:jc w:val="left"/>
        <w:rPr>
          <w:color w:val="auto"/>
        </w:rPr>
      </w:pP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7F39E5">
    <w:pPr>
      <w:pStyle w:val="7"/>
      <w:ind w:right="280"/>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w:t>
    </w:r>
    <w:r>
      <w:rPr>
        <w:rFonts w:ascii="宋体" w:hAnsi="宋体"/>
        <w:sz w:val="28"/>
        <w:szCs w:val="28"/>
      </w:rPr>
      <w:fldChar w:fldCharType="end"/>
    </w:r>
  </w:p>
  <w:p w14:paraId="33E0647D">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5354A4">
    <w:pPr>
      <w:pStyle w:val="7"/>
      <w:rPr>
        <w:rFonts w:ascii="宋体" w:hAnsi="宋体"/>
        <w:sz w:val="28"/>
        <w:szCs w:val="28"/>
      </w:rPr>
    </w:pPr>
    <w:r>
      <w:rPr>
        <w:rFonts w:hint="eastAsia"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4 -</w:t>
    </w:r>
    <w:r>
      <w:rPr>
        <w:rFonts w:ascii="宋体" w:hAnsi="宋体"/>
        <w:sz w:val="28"/>
        <w:szCs w:val="28"/>
      </w:rPr>
      <w:fldChar w:fldCharType="end"/>
    </w:r>
  </w:p>
  <w:p w14:paraId="25050AA2">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Y4NGVkY2JkMjVmYjYxZGJmMzBmMGRmM2Q2ZWY1Y2EifQ=="/>
  </w:docVars>
  <w:rsids>
    <w:rsidRoot w:val="00192156"/>
    <w:rsid w:val="0000272A"/>
    <w:rsid w:val="000074DB"/>
    <w:rsid w:val="000101D3"/>
    <w:rsid w:val="000215E7"/>
    <w:rsid w:val="00024B78"/>
    <w:rsid w:val="000333B7"/>
    <w:rsid w:val="000369D0"/>
    <w:rsid w:val="00045A25"/>
    <w:rsid w:val="000466BE"/>
    <w:rsid w:val="00050B99"/>
    <w:rsid w:val="000521A2"/>
    <w:rsid w:val="00060E82"/>
    <w:rsid w:val="000618D5"/>
    <w:rsid w:val="00071A73"/>
    <w:rsid w:val="00087AD9"/>
    <w:rsid w:val="000921B9"/>
    <w:rsid w:val="00094DDF"/>
    <w:rsid w:val="00096024"/>
    <w:rsid w:val="00096BEA"/>
    <w:rsid w:val="000A060D"/>
    <w:rsid w:val="000A0BD2"/>
    <w:rsid w:val="000A2B01"/>
    <w:rsid w:val="000A3270"/>
    <w:rsid w:val="000B05BB"/>
    <w:rsid w:val="000B24DC"/>
    <w:rsid w:val="000C07BA"/>
    <w:rsid w:val="000C3815"/>
    <w:rsid w:val="000C3EFC"/>
    <w:rsid w:val="000C6717"/>
    <w:rsid w:val="000D56B4"/>
    <w:rsid w:val="000E18F6"/>
    <w:rsid w:val="000F77CE"/>
    <w:rsid w:val="001004CC"/>
    <w:rsid w:val="00100BCA"/>
    <w:rsid w:val="001018B2"/>
    <w:rsid w:val="00110A25"/>
    <w:rsid w:val="00111B1D"/>
    <w:rsid w:val="00125A14"/>
    <w:rsid w:val="00130D97"/>
    <w:rsid w:val="00136701"/>
    <w:rsid w:val="00136886"/>
    <w:rsid w:val="001415D0"/>
    <w:rsid w:val="00142159"/>
    <w:rsid w:val="00150D36"/>
    <w:rsid w:val="001536B6"/>
    <w:rsid w:val="001620B3"/>
    <w:rsid w:val="00165688"/>
    <w:rsid w:val="00170D4C"/>
    <w:rsid w:val="001734CA"/>
    <w:rsid w:val="00174CDA"/>
    <w:rsid w:val="0017600E"/>
    <w:rsid w:val="00181564"/>
    <w:rsid w:val="00181FC4"/>
    <w:rsid w:val="00184AD9"/>
    <w:rsid w:val="0019017C"/>
    <w:rsid w:val="00191913"/>
    <w:rsid w:val="00191969"/>
    <w:rsid w:val="00192156"/>
    <w:rsid w:val="00192ACC"/>
    <w:rsid w:val="001940C5"/>
    <w:rsid w:val="001A0A5F"/>
    <w:rsid w:val="001A0D99"/>
    <w:rsid w:val="001A3CC7"/>
    <w:rsid w:val="001A58CB"/>
    <w:rsid w:val="001A5C8B"/>
    <w:rsid w:val="001A694B"/>
    <w:rsid w:val="001C4318"/>
    <w:rsid w:val="001D1E4C"/>
    <w:rsid w:val="001D3226"/>
    <w:rsid w:val="001D4994"/>
    <w:rsid w:val="001D5615"/>
    <w:rsid w:val="001D6B55"/>
    <w:rsid w:val="001E02D9"/>
    <w:rsid w:val="001F1D49"/>
    <w:rsid w:val="001F43A9"/>
    <w:rsid w:val="00204E47"/>
    <w:rsid w:val="002124CD"/>
    <w:rsid w:val="00220B48"/>
    <w:rsid w:val="00225F36"/>
    <w:rsid w:val="00234311"/>
    <w:rsid w:val="00235D77"/>
    <w:rsid w:val="002366F3"/>
    <w:rsid w:val="00237881"/>
    <w:rsid w:val="002422EF"/>
    <w:rsid w:val="00242E8D"/>
    <w:rsid w:val="002508AE"/>
    <w:rsid w:val="002604CF"/>
    <w:rsid w:val="00261501"/>
    <w:rsid w:val="002744D0"/>
    <w:rsid w:val="0029361A"/>
    <w:rsid w:val="002A178C"/>
    <w:rsid w:val="002A2144"/>
    <w:rsid w:val="002B369A"/>
    <w:rsid w:val="002B4F16"/>
    <w:rsid w:val="002C668E"/>
    <w:rsid w:val="002C7793"/>
    <w:rsid w:val="002D275C"/>
    <w:rsid w:val="002D4264"/>
    <w:rsid w:val="002D42FC"/>
    <w:rsid w:val="002D706D"/>
    <w:rsid w:val="002E0890"/>
    <w:rsid w:val="002E0C00"/>
    <w:rsid w:val="002E385F"/>
    <w:rsid w:val="002E5523"/>
    <w:rsid w:val="002F127F"/>
    <w:rsid w:val="003035A5"/>
    <w:rsid w:val="00312D71"/>
    <w:rsid w:val="00313C97"/>
    <w:rsid w:val="003146B2"/>
    <w:rsid w:val="003156F3"/>
    <w:rsid w:val="00315762"/>
    <w:rsid w:val="00320D45"/>
    <w:rsid w:val="00340B74"/>
    <w:rsid w:val="003531EE"/>
    <w:rsid w:val="00361095"/>
    <w:rsid w:val="00363B11"/>
    <w:rsid w:val="003675A0"/>
    <w:rsid w:val="003678D7"/>
    <w:rsid w:val="00371894"/>
    <w:rsid w:val="00371DFA"/>
    <w:rsid w:val="00372401"/>
    <w:rsid w:val="00380174"/>
    <w:rsid w:val="003856EB"/>
    <w:rsid w:val="00387B35"/>
    <w:rsid w:val="003901E3"/>
    <w:rsid w:val="00392656"/>
    <w:rsid w:val="003A49CC"/>
    <w:rsid w:val="003B02B9"/>
    <w:rsid w:val="003B5B2B"/>
    <w:rsid w:val="003B6E6D"/>
    <w:rsid w:val="003B756F"/>
    <w:rsid w:val="003C18CB"/>
    <w:rsid w:val="003C5226"/>
    <w:rsid w:val="003C6FDE"/>
    <w:rsid w:val="003D2AE8"/>
    <w:rsid w:val="003D2CB7"/>
    <w:rsid w:val="003D485F"/>
    <w:rsid w:val="003D4A34"/>
    <w:rsid w:val="003E0F29"/>
    <w:rsid w:val="003E4174"/>
    <w:rsid w:val="003F4B38"/>
    <w:rsid w:val="003F6BFC"/>
    <w:rsid w:val="00404086"/>
    <w:rsid w:val="004076F9"/>
    <w:rsid w:val="00414837"/>
    <w:rsid w:val="004174E4"/>
    <w:rsid w:val="00424B8B"/>
    <w:rsid w:val="00435926"/>
    <w:rsid w:val="004359DB"/>
    <w:rsid w:val="00440DEA"/>
    <w:rsid w:val="00440F97"/>
    <w:rsid w:val="004419E1"/>
    <w:rsid w:val="0044342B"/>
    <w:rsid w:val="004454AB"/>
    <w:rsid w:val="00446658"/>
    <w:rsid w:val="00447963"/>
    <w:rsid w:val="00451915"/>
    <w:rsid w:val="0045354D"/>
    <w:rsid w:val="00454634"/>
    <w:rsid w:val="00454DAA"/>
    <w:rsid w:val="00472677"/>
    <w:rsid w:val="00485168"/>
    <w:rsid w:val="004856D4"/>
    <w:rsid w:val="00495C77"/>
    <w:rsid w:val="004973DF"/>
    <w:rsid w:val="004A0BD6"/>
    <w:rsid w:val="004A1978"/>
    <w:rsid w:val="004A4078"/>
    <w:rsid w:val="004A4AF4"/>
    <w:rsid w:val="004A7640"/>
    <w:rsid w:val="004B1709"/>
    <w:rsid w:val="004B4FEE"/>
    <w:rsid w:val="004B5493"/>
    <w:rsid w:val="004C3A42"/>
    <w:rsid w:val="004D1ABC"/>
    <w:rsid w:val="004D26B9"/>
    <w:rsid w:val="004D40A5"/>
    <w:rsid w:val="004D6527"/>
    <w:rsid w:val="004E1C52"/>
    <w:rsid w:val="004E4A47"/>
    <w:rsid w:val="004E4C61"/>
    <w:rsid w:val="004F4190"/>
    <w:rsid w:val="0051355C"/>
    <w:rsid w:val="00515190"/>
    <w:rsid w:val="005171A0"/>
    <w:rsid w:val="00522049"/>
    <w:rsid w:val="005345A9"/>
    <w:rsid w:val="00535F35"/>
    <w:rsid w:val="005442AC"/>
    <w:rsid w:val="00553264"/>
    <w:rsid w:val="00557D02"/>
    <w:rsid w:val="00560675"/>
    <w:rsid w:val="00560F97"/>
    <w:rsid w:val="00564E0E"/>
    <w:rsid w:val="00570AB0"/>
    <w:rsid w:val="00571627"/>
    <w:rsid w:val="005772D9"/>
    <w:rsid w:val="005848DF"/>
    <w:rsid w:val="0058504B"/>
    <w:rsid w:val="00585324"/>
    <w:rsid w:val="00594322"/>
    <w:rsid w:val="005968DC"/>
    <w:rsid w:val="00597164"/>
    <w:rsid w:val="005A1497"/>
    <w:rsid w:val="005A3389"/>
    <w:rsid w:val="005A3705"/>
    <w:rsid w:val="005B31B8"/>
    <w:rsid w:val="005B6FBE"/>
    <w:rsid w:val="005C40B9"/>
    <w:rsid w:val="005C57DA"/>
    <w:rsid w:val="005D0437"/>
    <w:rsid w:val="005D2B08"/>
    <w:rsid w:val="005D40C0"/>
    <w:rsid w:val="005D654E"/>
    <w:rsid w:val="005D6859"/>
    <w:rsid w:val="005D68D6"/>
    <w:rsid w:val="005E125C"/>
    <w:rsid w:val="005E4262"/>
    <w:rsid w:val="005E55E1"/>
    <w:rsid w:val="005F3419"/>
    <w:rsid w:val="005F3CBA"/>
    <w:rsid w:val="005F5137"/>
    <w:rsid w:val="006355FE"/>
    <w:rsid w:val="00662F34"/>
    <w:rsid w:val="00663774"/>
    <w:rsid w:val="00677348"/>
    <w:rsid w:val="00677646"/>
    <w:rsid w:val="00677834"/>
    <w:rsid w:val="006831EE"/>
    <w:rsid w:val="00685395"/>
    <w:rsid w:val="006948E0"/>
    <w:rsid w:val="006965E7"/>
    <w:rsid w:val="00697520"/>
    <w:rsid w:val="006A14C4"/>
    <w:rsid w:val="006A3FD5"/>
    <w:rsid w:val="006A4236"/>
    <w:rsid w:val="006A45AC"/>
    <w:rsid w:val="006B3063"/>
    <w:rsid w:val="006B46ED"/>
    <w:rsid w:val="006B79CA"/>
    <w:rsid w:val="006B7B07"/>
    <w:rsid w:val="006C0B18"/>
    <w:rsid w:val="006C19E0"/>
    <w:rsid w:val="006C3746"/>
    <w:rsid w:val="006C4310"/>
    <w:rsid w:val="006D502B"/>
    <w:rsid w:val="006D7757"/>
    <w:rsid w:val="006E02E2"/>
    <w:rsid w:val="006E038A"/>
    <w:rsid w:val="006E0AD0"/>
    <w:rsid w:val="006E26BC"/>
    <w:rsid w:val="006E4B18"/>
    <w:rsid w:val="006F22E5"/>
    <w:rsid w:val="006F51A9"/>
    <w:rsid w:val="006F58EC"/>
    <w:rsid w:val="006F695F"/>
    <w:rsid w:val="006F7CAD"/>
    <w:rsid w:val="007000CC"/>
    <w:rsid w:val="00701870"/>
    <w:rsid w:val="00722E7A"/>
    <w:rsid w:val="00735BB1"/>
    <w:rsid w:val="007402AB"/>
    <w:rsid w:val="0074108F"/>
    <w:rsid w:val="00752C25"/>
    <w:rsid w:val="00754E89"/>
    <w:rsid w:val="0075594B"/>
    <w:rsid w:val="00761524"/>
    <w:rsid w:val="00761D96"/>
    <w:rsid w:val="00761E26"/>
    <w:rsid w:val="00767873"/>
    <w:rsid w:val="00767FE9"/>
    <w:rsid w:val="00770481"/>
    <w:rsid w:val="007707B8"/>
    <w:rsid w:val="00776D2C"/>
    <w:rsid w:val="00780B10"/>
    <w:rsid w:val="0078356B"/>
    <w:rsid w:val="00784FB4"/>
    <w:rsid w:val="0079117B"/>
    <w:rsid w:val="0079327B"/>
    <w:rsid w:val="0079799B"/>
    <w:rsid w:val="007A06D9"/>
    <w:rsid w:val="007A090C"/>
    <w:rsid w:val="007A102C"/>
    <w:rsid w:val="007A32A4"/>
    <w:rsid w:val="007A5CDE"/>
    <w:rsid w:val="007A5E2F"/>
    <w:rsid w:val="007B23E7"/>
    <w:rsid w:val="007B4F28"/>
    <w:rsid w:val="007B718E"/>
    <w:rsid w:val="007B7D9A"/>
    <w:rsid w:val="007C2C6A"/>
    <w:rsid w:val="007C3293"/>
    <w:rsid w:val="007C414E"/>
    <w:rsid w:val="007C78D7"/>
    <w:rsid w:val="007D1928"/>
    <w:rsid w:val="007D54F8"/>
    <w:rsid w:val="007D78C2"/>
    <w:rsid w:val="007E2AE4"/>
    <w:rsid w:val="007E67F8"/>
    <w:rsid w:val="007E7F05"/>
    <w:rsid w:val="007F2134"/>
    <w:rsid w:val="007F2698"/>
    <w:rsid w:val="007F5F7E"/>
    <w:rsid w:val="0080213C"/>
    <w:rsid w:val="008031B2"/>
    <w:rsid w:val="00806E3D"/>
    <w:rsid w:val="00807923"/>
    <w:rsid w:val="008134B8"/>
    <w:rsid w:val="008177FE"/>
    <w:rsid w:val="008205EA"/>
    <w:rsid w:val="00820E94"/>
    <w:rsid w:val="00823B83"/>
    <w:rsid w:val="00824785"/>
    <w:rsid w:val="00832AB1"/>
    <w:rsid w:val="00835200"/>
    <w:rsid w:val="00835705"/>
    <w:rsid w:val="00842350"/>
    <w:rsid w:val="00845612"/>
    <w:rsid w:val="00853410"/>
    <w:rsid w:val="00856E3F"/>
    <w:rsid w:val="00857795"/>
    <w:rsid w:val="00867CFD"/>
    <w:rsid w:val="00873446"/>
    <w:rsid w:val="00876C69"/>
    <w:rsid w:val="00881C34"/>
    <w:rsid w:val="00881C4F"/>
    <w:rsid w:val="00890C89"/>
    <w:rsid w:val="008A0412"/>
    <w:rsid w:val="008A10FF"/>
    <w:rsid w:val="008A5F56"/>
    <w:rsid w:val="008B05BA"/>
    <w:rsid w:val="008B24DA"/>
    <w:rsid w:val="008B4131"/>
    <w:rsid w:val="008B4B5B"/>
    <w:rsid w:val="008C59DC"/>
    <w:rsid w:val="008D0D42"/>
    <w:rsid w:val="008D28BC"/>
    <w:rsid w:val="008D5B68"/>
    <w:rsid w:val="008D7C61"/>
    <w:rsid w:val="008E1FE0"/>
    <w:rsid w:val="008E495C"/>
    <w:rsid w:val="008F48A2"/>
    <w:rsid w:val="009065BE"/>
    <w:rsid w:val="00907379"/>
    <w:rsid w:val="00907AA8"/>
    <w:rsid w:val="00910BC3"/>
    <w:rsid w:val="0091165E"/>
    <w:rsid w:val="00911A94"/>
    <w:rsid w:val="009130CE"/>
    <w:rsid w:val="00924F87"/>
    <w:rsid w:val="00927967"/>
    <w:rsid w:val="00931F35"/>
    <w:rsid w:val="00932F06"/>
    <w:rsid w:val="00934E8E"/>
    <w:rsid w:val="00935C4C"/>
    <w:rsid w:val="00936045"/>
    <w:rsid w:val="0094070D"/>
    <w:rsid w:val="00944814"/>
    <w:rsid w:val="0094537C"/>
    <w:rsid w:val="00947C62"/>
    <w:rsid w:val="00951B0E"/>
    <w:rsid w:val="0095617D"/>
    <w:rsid w:val="00957C1C"/>
    <w:rsid w:val="00962DFE"/>
    <w:rsid w:val="0096782D"/>
    <w:rsid w:val="0097214E"/>
    <w:rsid w:val="00977AAC"/>
    <w:rsid w:val="00977C29"/>
    <w:rsid w:val="00983B74"/>
    <w:rsid w:val="009861E0"/>
    <w:rsid w:val="009946D6"/>
    <w:rsid w:val="009969DA"/>
    <w:rsid w:val="009A3615"/>
    <w:rsid w:val="009A365D"/>
    <w:rsid w:val="009A77F1"/>
    <w:rsid w:val="009B1385"/>
    <w:rsid w:val="009B1866"/>
    <w:rsid w:val="009C2658"/>
    <w:rsid w:val="009C27D3"/>
    <w:rsid w:val="009C2F66"/>
    <w:rsid w:val="009C3BD3"/>
    <w:rsid w:val="009C7648"/>
    <w:rsid w:val="009D4128"/>
    <w:rsid w:val="009D76CB"/>
    <w:rsid w:val="009F2544"/>
    <w:rsid w:val="009F32A9"/>
    <w:rsid w:val="009F35ED"/>
    <w:rsid w:val="009F4C85"/>
    <w:rsid w:val="009F72A7"/>
    <w:rsid w:val="00A01EE0"/>
    <w:rsid w:val="00A051B8"/>
    <w:rsid w:val="00A06889"/>
    <w:rsid w:val="00A11B4B"/>
    <w:rsid w:val="00A11DD2"/>
    <w:rsid w:val="00A17ADE"/>
    <w:rsid w:val="00A20AEF"/>
    <w:rsid w:val="00A21E90"/>
    <w:rsid w:val="00A2377B"/>
    <w:rsid w:val="00A40563"/>
    <w:rsid w:val="00A42F87"/>
    <w:rsid w:val="00A47824"/>
    <w:rsid w:val="00A54D46"/>
    <w:rsid w:val="00A62D7B"/>
    <w:rsid w:val="00A652B8"/>
    <w:rsid w:val="00A65E7A"/>
    <w:rsid w:val="00A66374"/>
    <w:rsid w:val="00A72594"/>
    <w:rsid w:val="00A760E9"/>
    <w:rsid w:val="00A81393"/>
    <w:rsid w:val="00A843D0"/>
    <w:rsid w:val="00AB036A"/>
    <w:rsid w:val="00AB3763"/>
    <w:rsid w:val="00AD6367"/>
    <w:rsid w:val="00AE0561"/>
    <w:rsid w:val="00AE2143"/>
    <w:rsid w:val="00AE49CA"/>
    <w:rsid w:val="00AE6ADC"/>
    <w:rsid w:val="00AE7672"/>
    <w:rsid w:val="00AF7D29"/>
    <w:rsid w:val="00B042D2"/>
    <w:rsid w:val="00B052BA"/>
    <w:rsid w:val="00B14E30"/>
    <w:rsid w:val="00B161F6"/>
    <w:rsid w:val="00B21D9F"/>
    <w:rsid w:val="00B300D2"/>
    <w:rsid w:val="00B433D1"/>
    <w:rsid w:val="00B45278"/>
    <w:rsid w:val="00B47BE4"/>
    <w:rsid w:val="00B5185E"/>
    <w:rsid w:val="00B607B6"/>
    <w:rsid w:val="00B666F5"/>
    <w:rsid w:val="00B734FE"/>
    <w:rsid w:val="00B76AC0"/>
    <w:rsid w:val="00B8253B"/>
    <w:rsid w:val="00B8783F"/>
    <w:rsid w:val="00B87C65"/>
    <w:rsid w:val="00B91337"/>
    <w:rsid w:val="00B97927"/>
    <w:rsid w:val="00B97CEE"/>
    <w:rsid w:val="00BA5279"/>
    <w:rsid w:val="00BA76C2"/>
    <w:rsid w:val="00BB1245"/>
    <w:rsid w:val="00BB298E"/>
    <w:rsid w:val="00BB73C4"/>
    <w:rsid w:val="00BC24BB"/>
    <w:rsid w:val="00BC6CCB"/>
    <w:rsid w:val="00BC7AA8"/>
    <w:rsid w:val="00BD0690"/>
    <w:rsid w:val="00BD158F"/>
    <w:rsid w:val="00BD3423"/>
    <w:rsid w:val="00BD3BDF"/>
    <w:rsid w:val="00BD710A"/>
    <w:rsid w:val="00BE2410"/>
    <w:rsid w:val="00BE34E9"/>
    <w:rsid w:val="00BE483F"/>
    <w:rsid w:val="00BE61EF"/>
    <w:rsid w:val="00BE6DD0"/>
    <w:rsid w:val="00BE7D69"/>
    <w:rsid w:val="00BF5A3E"/>
    <w:rsid w:val="00C01D7E"/>
    <w:rsid w:val="00C026C4"/>
    <w:rsid w:val="00C04BD1"/>
    <w:rsid w:val="00C06DCA"/>
    <w:rsid w:val="00C1163A"/>
    <w:rsid w:val="00C14858"/>
    <w:rsid w:val="00C17E10"/>
    <w:rsid w:val="00C25820"/>
    <w:rsid w:val="00C36AEA"/>
    <w:rsid w:val="00C50A56"/>
    <w:rsid w:val="00C64664"/>
    <w:rsid w:val="00C666BF"/>
    <w:rsid w:val="00C67850"/>
    <w:rsid w:val="00C7077F"/>
    <w:rsid w:val="00C81FD2"/>
    <w:rsid w:val="00C8454B"/>
    <w:rsid w:val="00C87B9F"/>
    <w:rsid w:val="00C9306D"/>
    <w:rsid w:val="00CB0E8B"/>
    <w:rsid w:val="00CB0FE6"/>
    <w:rsid w:val="00CB2CB4"/>
    <w:rsid w:val="00CB7AAF"/>
    <w:rsid w:val="00CC3CB9"/>
    <w:rsid w:val="00CD48DE"/>
    <w:rsid w:val="00CE385C"/>
    <w:rsid w:val="00CE57DC"/>
    <w:rsid w:val="00CE72E4"/>
    <w:rsid w:val="00CF2D06"/>
    <w:rsid w:val="00CF414E"/>
    <w:rsid w:val="00CF645D"/>
    <w:rsid w:val="00D00BB2"/>
    <w:rsid w:val="00D01D8C"/>
    <w:rsid w:val="00D04DEB"/>
    <w:rsid w:val="00D058E5"/>
    <w:rsid w:val="00D1016B"/>
    <w:rsid w:val="00D131B6"/>
    <w:rsid w:val="00D13985"/>
    <w:rsid w:val="00D163A5"/>
    <w:rsid w:val="00D16413"/>
    <w:rsid w:val="00D204AE"/>
    <w:rsid w:val="00D24532"/>
    <w:rsid w:val="00D24BD9"/>
    <w:rsid w:val="00D355DA"/>
    <w:rsid w:val="00D41C31"/>
    <w:rsid w:val="00D4335B"/>
    <w:rsid w:val="00D462B4"/>
    <w:rsid w:val="00D468DD"/>
    <w:rsid w:val="00D471E3"/>
    <w:rsid w:val="00D47347"/>
    <w:rsid w:val="00D4775B"/>
    <w:rsid w:val="00D525E0"/>
    <w:rsid w:val="00D547F2"/>
    <w:rsid w:val="00D6134E"/>
    <w:rsid w:val="00D65E96"/>
    <w:rsid w:val="00D66E4B"/>
    <w:rsid w:val="00D71FA2"/>
    <w:rsid w:val="00D7444C"/>
    <w:rsid w:val="00D769DD"/>
    <w:rsid w:val="00D83E63"/>
    <w:rsid w:val="00D8556B"/>
    <w:rsid w:val="00D85EEF"/>
    <w:rsid w:val="00D86643"/>
    <w:rsid w:val="00D918E0"/>
    <w:rsid w:val="00D9492B"/>
    <w:rsid w:val="00D94C8F"/>
    <w:rsid w:val="00DA00B7"/>
    <w:rsid w:val="00DA0B12"/>
    <w:rsid w:val="00DA2DB4"/>
    <w:rsid w:val="00DA4411"/>
    <w:rsid w:val="00DA4CDC"/>
    <w:rsid w:val="00DA6DFB"/>
    <w:rsid w:val="00DB028F"/>
    <w:rsid w:val="00DC2FB6"/>
    <w:rsid w:val="00DD0035"/>
    <w:rsid w:val="00DD1FB9"/>
    <w:rsid w:val="00DD515E"/>
    <w:rsid w:val="00DE358A"/>
    <w:rsid w:val="00DF0606"/>
    <w:rsid w:val="00DF2A89"/>
    <w:rsid w:val="00DF42D7"/>
    <w:rsid w:val="00E03BEA"/>
    <w:rsid w:val="00E1797D"/>
    <w:rsid w:val="00E21407"/>
    <w:rsid w:val="00E216D3"/>
    <w:rsid w:val="00E21D70"/>
    <w:rsid w:val="00E24B64"/>
    <w:rsid w:val="00E360E7"/>
    <w:rsid w:val="00E3787E"/>
    <w:rsid w:val="00E43C5C"/>
    <w:rsid w:val="00E46AB6"/>
    <w:rsid w:val="00E54696"/>
    <w:rsid w:val="00E550F4"/>
    <w:rsid w:val="00E56F20"/>
    <w:rsid w:val="00E675BC"/>
    <w:rsid w:val="00E67788"/>
    <w:rsid w:val="00E72083"/>
    <w:rsid w:val="00E735AC"/>
    <w:rsid w:val="00E9257E"/>
    <w:rsid w:val="00E95998"/>
    <w:rsid w:val="00EA06A4"/>
    <w:rsid w:val="00EB77C9"/>
    <w:rsid w:val="00EC7E99"/>
    <w:rsid w:val="00ED5B06"/>
    <w:rsid w:val="00EE003E"/>
    <w:rsid w:val="00EE180A"/>
    <w:rsid w:val="00EE242C"/>
    <w:rsid w:val="00EE301D"/>
    <w:rsid w:val="00EE4D22"/>
    <w:rsid w:val="00EF78BC"/>
    <w:rsid w:val="00F031B3"/>
    <w:rsid w:val="00F068E0"/>
    <w:rsid w:val="00F11311"/>
    <w:rsid w:val="00F12AC9"/>
    <w:rsid w:val="00F13DB6"/>
    <w:rsid w:val="00F168DE"/>
    <w:rsid w:val="00F16DF3"/>
    <w:rsid w:val="00F27FBA"/>
    <w:rsid w:val="00F33D0D"/>
    <w:rsid w:val="00F42C4A"/>
    <w:rsid w:val="00F4495A"/>
    <w:rsid w:val="00F46070"/>
    <w:rsid w:val="00F47D94"/>
    <w:rsid w:val="00F53E48"/>
    <w:rsid w:val="00F61B60"/>
    <w:rsid w:val="00F62210"/>
    <w:rsid w:val="00F67DCF"/>
    <w:rsid w:val="00F835A3"/>
    <w:rsid w:val="00F8480F"/>
    <w:rsid w:val="00FA133C"/>
    <w:rsid w:val="00FA1C4B"/>
    <w:rsid w:val="00FB08F6"/>
    <w:rsid w:val="00FC23C7"/>
    <w:rsid w:val="00FC7560"/>
    <w:rsid w:val="00FD5131"/>
    <w:rsid w:val="00FD5EB9"/>
    <w:rsid w:val="00FE02A9"/>
    <w:rsid w:val="00FE2DAA"/>
    <w:rsid w:val="00FE4D3A"/>
    <w:rsid w:val="00FE721E"/>
    <w:rsid w:val="00FF13A9"/>
    <w:rsid w:val="00FF1A73"/>
    <w:rsid w:val="00FF4300"/>
    <w:rsid w:val="013F4189"/>
    <w:rsid w:val="03B37019"/>
    <w:rsid w:val="06225558"/>
    <w:rsid w:val="09176642"/>
    <w:rsid w:val="098530FB"/>
    <w:rsid w:val="102D3B48"/>
    <w:rsid w:val="1580063C"/>
    <w:rsid w:val="16F716AA"/>
    <w:rsid w:val="1BD792BA"/>
    <w:rsid w:val="20617CE4"/>
    <w:rsid w:val="238241FC"/>
    <w:rsid w:val="23EF1892"/>
    <w:rsid w:val="241A50E9"/>
    <w:rsid w:val="27FA6A3D"/>
    <w:rsid w:val="2F1B4A9E"/>
    <w:rsid w:val="2FC40521"/>
    <w:rsid w:val="2FFC4CEE"/>
    <w:rsid w:val="31D94970"/>
    <w:rsid w:val="39EC3A8B"/>
    <w:rsid w:val="3CEA09F1"/>
    <w:rsid w:val="3CFE57A8"/>
    <w:rsid w:val="3D1617E6"/>
    <w:rsid w:val="3D17003D"/>
    <w:rsid w:val="3D2F28A7"/>
    <w:rsid w:val="3EB75BFF"/>
    <w:rsid w:val="3F2C4E2B"/>
    <w:rsid w:val="41FF10FA"/>
    <w:rsid w:val="435C016E"/>
    <w:rsid w:val="436A4639"/>
    <w:rsid w:val="44C06BEE"/>
    <w:rsid w:val="46661B04"/>
    <w:rsid w:val="46712183"/>
    <w:rsid w:val="49BA174B"/>
    <w:rsid w:val="4A443E36"/>
    <w:rsid w:val="4DEB6BF3"/>
    <w:rsid w:val="50836D3A"/>
    <w:rsid w:val="52D7511B"/>
    <w:rsid w:val="54AB3C68"/>
    <w:rsid w:val="5B2737C9"/>
    <w:rsid w:val="5C736320"/>
    <w:rsid w:val="5C9A5B38"/>
    <w:rsid w:val="5E8F794D"/>
    <w:rsid w:val="5F8C7774"/>
    <w:rsid w:val="5F9C8719"/>
    <w:rsid w:val="5FF43F05"/>
    <w:rsid w:val="64266808"/>
    <w:rsid w:val="6D0D5EB2"/>
    <w:rsid w:val="6DF8D820"/>
    <w:rsid w:val="6E8C6821"/>
    <w:rsid w:val="6FE1107A"/>
    <w:rsid w:val="6FED328C"/>
    <w:rsid w:val="703D260A"/>
    <w:rsid w:val="709216B9"/>
    <w:rsid w:val="70E37655"/>
    <w:rsid w:val="71373859"/>
    <w:rsid w:val="732453BC"/>
    <w:rsid w:val="779BD1C3"/>
    <w:rsid w:val="78F41CD4"/>
    <w:rsid w:val="79B85328"/>
    <w:rsid w:val="7BBCDE22"/>
    <w:rsid w:val="7F5C12DA"/>
    <w:rsid w:val="7F7D9BD7"/>
    <w:rsid w:val="7FFE9D0A"/>
    <w:rsid w:val="7FFFD1BD"/>
    <w:rsid w:val="9AFFE7AB"/>
    <w:rsid w:val="A3B3654A"/>
    <w:rsid w:val="AFFFF606"/>
    <w:rsid w:val="B7DF99F3"/>
    <w:rsid w:val="D3FF4F83"/>
    <w:rsid w:val="D6C765C5"/>
    <w:rsid w:val="DE7B9CEE"/>
    <w:rsid w:val="F35C17EF"/>
    <w:rsid w:val="F3DEDF06"/>
    <w:rsid w:val="F589066F"/>
    <w:rsid w:val="F5C7AFFE"/>
    <w:rsid w:val="F7CE0DBF"/>
    <w:rsid w:val="FD75544E"/>
    <w:rsid w:val="FDDA0E1A"/>
    <w:rsid w:val="FF5BABE2"/>
    <w:rsid w:val="FFC670E8"/>
    <w:rsid w:val="FFD6E599"/>
    <w:rsid w:val="FFDF5F2A"/>
    <w:rsid w:val="FFF31F54"/>
    <w:rsid w:val="FFFF69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6"/>
    <w:qFormat/>
    <w:uiPriority w:val="0"/>
    <w:pPr>
      <w:keepNext/>
      <w:keepLines/>
      <w:spacing w:before="340" w:after="330" w:line="578" w:lineRule="auto"/>
      <w:outlineLvl w:val="0"/>
    </w:pPr>
    <w:rPr>
      <w:rFonts w:ascii="Times New Roman" w:hAnsi="Times New Roman" w:eastAsia="MS Gothic"/>
      <w:b/>
      <w:bCs/>
      <w:kern w:val="44"/>
      <w:sz w:val="44"/>
      <w:szCs w:val="44"/>
      <w:lang w:val="zh-CN" w:eastAsia="zh-CN"/>
    </w:rPr>
  </w:style>
  <w:style w:type="paragraph" w:styleId="3">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3">
    <w:name w:val="Default Paragraph Font"/>
    <w:unhideWhenUsed/>
    <w:qFormat/>
    <w:uiPriority w:val="1"/>
  </w:style>
  <w:style w:type="table" w:default="1" w:styleId="11">
    <w:name w:val="Normal Table"/>
    <w:unhideWhenUsed/>
    <w:qFormat/>
    <w:uiPriority w:val="99"/>
    <w:tblPr>
      <w:tblCellMar>
        <w:top w:w="0" w:type="dxa"/>
        <w:left w:w="108" w:type="dxa"/>
        <w:bottom w:w="0" w:type="dxa"/>
        <w:right w:w="108" w:type="dxa"/>
      </w:tblCellMar>
    </w:tblPr>
  </w:style>
  <w:style w:type="paragraph" w:styleId="4">
    <w:name w:val="Normal Indent"/>
    <w:basedOn w:val="1"/>
    <w:link w:val="20"/>
    <w:qFormat/>
    <w:uiPriority w:val="0"/>
    <w:pPr>
      <w:spacing w:line="560" w:lineRule="atLeast"/>
      <w:ind w:firstLine="567"/>
    </w:pPr>
    <w:rPr>
      <w:rFonts w:asciiTheme="minorHAnsi" w:hAnsiTheme="minorHAnsi" w:eastAsiaTheme="minorEastAsia" w:cstheme="minorBidi"/>
      <w:sz w:val="28"/>
    </w:rPr>
  </w:style>
  <w:style w:type="paragraph" w:styleId="5">
    <w:name w:val="Date"/>
    <w:basedOn w:val="1"/>
    <w:next w:val="1"/>
    <w:link w:val="25"/>
    <w:qFormat/>
    <w:uiPriority w:val="0"/>
    <w:pPr>
      <w:ind w:left="100" w:leftChars="2500"/>
    </w:pPr>
    <w:rPr>
      <w:rFonts w:ascii="Times New Roman" w:hAnsi="Times New Roman"/>
      <w:szCs w:val="24"/>
    </w:rPr>
  </w:style>
  <w:style w:type="paragraph" w:styleId="6">
    <w:name w:val="Balloon Text"/>
    <w:basedOn w:val="1"/>
    <w:link w:val="24"/>
    <w:autoRedefine/>
    <w:unhideWhenUsed/>
    <w:qFormat/>
    <w:uiPriority w:val="99"/>
    <w:rPr>
      <w:rFonts w:ascii="Times New Roman" w:hAnsi="Times New Roman"/>
      <w:sz w:val="18"/>
      <w:szCs w:val="18"/>
      <w:lang w:val="zh-CN" w:eastAsia="zh-CN"/>
    </w:rPr>
  </w:style>
  <w:style w:type="paragraph" w:styleId="7">
    <w:name w:val="footer"/>
    <w:basedOn w:val="1"/>
    <w:link w:val="17"/>
    <w:qFormat/>
    <w:uiPriority w:val="99"/>
    <w:pPr>
      <w:tabs>
        <w:tab w:val="center" w:pos="4153"/>
        <w:tab w:val="right" w:pos="8306"/>
      </w:tabs>
      <w:snapToGrid w:val="0"/>
      <w:jc w:val="left"/>
    </w:pPr>
    <w:rPr>
      <w:rFonts w:ascii="Times New Roman" w:hAnsi="Times New Roman"/>
      <w:sz w:val="18"/>
      <w:szCs w:val="18"/>
    </w:rPr>
  </w:style>
  <w:style w:type="paragraph" w:styleId="8">
    <w:name w:val="header"/>
    <w:basedOn w:val="1"/>
    <w:link w:val="18"/>
    <w:qFormat/>
    <w:uiPriority w:val="0"/>
    <w:pPr>
      <w:pBdr>
        <w:bottom w:val="single" w:color="auto" w:sz="6" w:space="1"/>
      </w:pBdr>
      <w:tabs>
        <w:tab w:val="center" w:pos="4153"/>
        <w:tab w:val="right" w:pos="8306"/>
      </w:tabs>
      <w:snapToGrid w:val="0"/>
      <w:jc w:val="center"/>
    </w:pPr>
    <w:rPr>
      <w:rFonts w:ascii="Times New Roman" w:hAnsi="Times New Roman"/>
      <w:sz w:val="18"/>
      <w:szCs w:val="18"/>
    </w:rPr>
  </w:style>
  <w:style w:type="paragraph" w:styleId="9">
    <w:name w:val="toc 1"/>
    <w:basedOn w:val="1"/>
    <w:next w:val="1"/>
    <w:autoRedefine/>
    <w:qFormat/>
    <w:uiPriority w:val="0"/>
    <w:pPr>
      <w:tabs>
        <w:tab w:val="right" w:leader="dot" w:pos="9135"/>
      </w:tabs>
      <w:spacing w:line="480" w:lineRule="auto"/>
      <w:ind w:left="105" w:leftChars="50"/>
      <w:jc w:val="center"/>
    </w:pPr>
    <w:rPr>
      <w:rFonts w:ascii="黑体" w:hAnsi="宋体" w:eastAsia="黑体" w:cs="宋体"/>
      <w:color w:val="000000"/>
      <w:kern w:val="0"/>
      <w:sz w:val="32"/>
      <w:szCs w:val="32"/>
    </w:rPr>
  </w:style>
  <w:style w:type="paragraph" w:styleId="10">
    <w:name w:val="Normal (Web)"/>
    <w:basedOn w:val="1"/>
    <w:autoRedefine/>
    <w:unhideWhenUsed/>
    <w:qFormat/>
    <w:uiPriority w:val="99"/>
    <w:pPr>
      <w:widowControl/>
      <w:spacing w:before="100" w:beforeAutospacing="1" w:after="100" w:afterAutospacing="1"/>
      <w:jc w:val="left"/>
    </w:pPr>
    <w:rPr>
      <w:rFonts w:ascii="宋体" w:hAnsi="宋体" w:cs="宋体"/>
      <w:kern w:val="0"/>
      <w:sz w:val="24"/>
      <w:szCs w:val="24"/>
    </w:rPr>
  </w:style>
  <w:style w:type="table" w:styleId="12">
    <w:name w:val="Table Grid"/>
    <w:basedOn w:val="11"/>
    <w:autoRedefine/>
    <w:qFormat/>
    <w:uiPriority w:val="5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page number"/>
    <w:basedOn w:val="13"/>
    <w:autoRedefine/>
    <w:qFormat/>
    <w:uiPriority w:val="0"/>
  </w:style>
  <w:style w:type="character" w:styleId="15">
    <w:name w:val="Hyperlink"/>
    <w:autoRedefine/>
    <w:qFormat/>
    <w:uiPriority w:val="0"/>
    <w:rPr>
      <w:color w:val="0000FF"/>
      <w:u w:val="single"/>
    </w:rPr>
  </w:style>
  <w:style w:type="character" w:customStyle="1" w:styleId="16">
    <w:name w:val="标题 1 Char"/>
    <w:basedOn w:val="13"/>
    <w:link w:val="2"/>
    <w:qFormat/>
    <w:uiPriority w:val="0"/>
    <w:rPr>
      <w:rFonts w:ascii="Times New Roman" w:hAnsi="Times New Roman" w:eastAsia="MS Gothic" w:cs="Times New Roman"/>
      <w:b/>
      <w:bCs/>
      <w:kern w:val="44"/>
      <w:sz w:val="44"/>
      <w:szCs w:val="44"/>
      <w:lang w:val="zh-CN" w:eastAsia="zh-CN"/>
    </w:rPr>
  </w:style>
  <w:style w:type="character" w:customStyle="1" w:styleId="17">
    <w:name w:val="页脚 Char"/>
    <w:basedOn w:val="13"/>
    <w:link w:val="7"/>
    <w:autoRedefine/>
    <w:qFormat/>
    <w:uiPriority w:val="99"/>
    <w:rPr>
      <w:rFonts w:ascii="Times New Roman" w:hAnsi="Times New Roman" w:eastAsia="宋体" w:cs="Times New Roman"/>
      <w:sz w:val="18"/>
      <w:szCs w:val="18"/>
    </w:rPr>
  </w:style>
  <w:style w:type="character" w:customStyle="1" w:styleId="18">
    <w:name w:val="页眉 Char"/>
    <w:basedOn w:val="13"/>
    <w:link w:val="8"/>
    <w:autoRedefine/>
    <w:qFormat/>
    <w:uiPriority w:val="0"/>
    <w:rPr>
      <w:rFonts w:ascii="Times New Roman" w:hAnsi="Times New Roman" w:eastAsia="宋体" w:cs="Times New Roman"/>
      <w:sz w:val="18"/>
      <w:szCs w:val="18"/>
    </w:rPr>
  </w:style>
  <w:style w:type="character" w:customStyle="1" w:styleId="19">
    <w:name w:val="页脚 Char Char"/>
    <w:autoRedefine/>
    <w:qFormat/>
    <w:uiPriority w:val="0"/>
    <w:rPr>
      <w:rFonts w:ascii="Times New Roman" w:hAnsi="Times New Roman" w:eastAsia="宋体" w:cs="Times New Roman"/>
      <w:sz w:val="18"/>
      <w:szCs w:val="18"/>
    </w:rPr>
  </w:style>
  <w:style w:type="character" w:customStyle="1" w:styleId="20">
    <w:name w:val="正文缩进 Char"/>
    <w:link w:val="4"/>
    <w:autoRedefine/>
    <w:qFormat/>
    <w:uiPriority w:val="0"/>
    <w:rPr>
      <w:sz w:val="28"/>
    </w:rPr>
  </w:style>
  <w:style w:type="character" w:customStyle="1" w:styleId="21">
    <w:name w:val="正文啊 Char Char"/>
    <w:link w:val="22"/>
    <w:autoRedefine/>
    <w:qFormat/>
    <w:uiPriority w:val="0"/>
    <w:rPr>
      <w:rFonts w:ascii="仿宋_GB2312" w:hAnsi="宋体" w:eastAsia="仿宋_GB2312"/>
      <w:bCs/>
      <w:sz w:val="30"/>
      <w:szCs w:val="30"/>
    </w:rPr>
  </w:style>
  <w:style w:type="paragraph" w:customStyle="1" w:styleId="22">
    <w:name w:val="正文啊"/>
    <w:basedOn w:val="1"/>
    <w:link w:val="21"/>
    <w:qFormat/>
    <w:uiPriority w:val="0"/>
    <w:pPr>
      <w:spacing w:line="560" w:lineRule="exact"/>
      <w:ind w:firstLine="600" w:firstLineChars="200"/>
    </w:pPr>
    <w:rPr>
      <w:rFonts w:ascii="仿宋_GB2312" w:hAnsi="宋体" w:eastAsia="仿宋_GB2312" w:cstheme="minorBidi"/>
      <w:bCs/>
      <w:sz w:val="30"/>
      <w:szCs w:val="30"/>
    </w:rPr>
  </w:style>
  <w:style w:type="paragraph" w:customStyle="1" w:styleId="23">
    <w:name w:val="Char"/>
    <w:basedOn w:val="1"/>
    <w:next w:val="1"/>
    <w:autoRedefine/>
    <w:qFormat/>
    <w:uiPriority w:val="0"/>
    <w:pPr>
      <w:widowControl/>
      <w:spacing w:line="360" w:lineRule="auto"/>
      <w:jc w:val="left"/>
    </w:pPr>
    <w:rPr>
      <w:rFonts w:ascii="Times New Roman" w:hAnsi="Times New Roman"/>
      <w:kern w:val="0"/>
      <w:szCs w:val="20"/>
      <w:lang w:eastAsia="en-US"/>
    </w:rPr>
  </w:style>
  <w:style w:type="character" w:customStyle="1" w:styleId="24">
    <w:name w:val="批注框文本 Char"/>
    <w:basedOn w:val="13"/>
    <w:link w:val="6"/>
    <w:qFormat/>
    <w:uiPriority w:val="99"/>
    <w:rPr>
      <w:rFonts w:ascii="Times New Roman" w:hAnsi="Times New Roman" w:eastAsia="宋体" w:cs="Times New Roman"/>
      <w:sz w:val="18"/>
      <w:szCs w:val="18"/>
      <w:lang w:val="zh-CN" w:eastAsia="zh-CN"/>
    </w:rPr>
  </w:style>
  <w:style w:type="character" w:customStyle="1" w:styleId="25">
    <w:name w:val="日期 Char"/>
    <w:basedOn w:val="13"/>
    <w:link w:val="5"/>
    <w:autoRedefine/>
    <w:qFormat/>
    <w:uiPriority w:val="0"/>
    <w:rPr>
      <w:rFonts w:ascii="Times New Roman" w:hAnsi="Times New Roman" w:eastAsia="宋体" w:cs="Times New Roman"/>
      <w:szCs w:val="24"/>
    </w:rPr>
  </w:style>
  <w:style w:type="paragraph" w:customStyle="1" w:styleId="26">
    <w:name w:val="Default Paragraph Char Char Char Char"/>
    <w:basedOn w:val="1"/>
    <w:next w:val="1"/>
    <w:qFormat/>
    <w:uiPriority w:val="0"/>
    <w:pPr>
      <w:widowControl/>
      <w:spacing w:line="360" w:lineRule="auto"/>
      <w:jc w:val="center"/>
    </w:pPr>
    <w:rPr>
      <w:rFonts w:ascii="Times New Roman" w:hAnsi="Times New Roman" w:eastAsia="方正小标宋简体"/>
      <w:kern w:val="0"/>
      <w:sz w:val="44"/>
      <w:szCs w:val="20"/>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1444</Words>
  <Characters>1549</Characters>
  <Lines>102</Lines>
  <Paragraphs>28</Paragraphs>
  <TotalTime>5</TotalTime>
  <ScaleCrop>false</ScaleCrop>
  <LinksUpToDate>false</LinksUpToDate>
  <CharactersWithSpaces>1682</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2020-12-26T02:41:00Z</dcterms:created>
  <dc:creator>王焱</dc:creator>
  <cp:lastModifiedBy>云淡风清</cp:lastModifiedBy>
  <cp:lastPrinted>2022-12-06T16:18:00Z</cp:lastPrinted>
  <dcterms:modified xsi:type="dcterms:W3CDTF">2024-09-05T03:12:48Z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7B45C6C20F594344800612F439F6E69D_13</vt:lpwstr>
  </property>
</Properties>
</file>