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FF533">
      <w:pPr>
        <w:spacing w:line="600" w:lineRule="exact"/>
        <w:rPr>
          <w:rFonts w:hint="eastAsia" w:ascii="Times New Roman" w:hAnsi="Times New Roman" w:eastAsia="黑体"/>
          <w:bCs/>
          <w:sz w:val="32"/>
          <w:szCs w:val="32"/>
        </w:rPr>
      </w:pPr>
    </w:p>
    <w:p w14:paraId="6FED2EE5">
      <w:pPr>
        <w:spacing w:line="600" w:lineRule="exact"/>
        <w:rPr>
          <w:rFonts w:hint="eastAsia" w:ascii="Times New Roman" w:hAnsi="Times New Roman" w:eastAsia="黑体"/>
          <w:bCs/>
          <w:sz w:val="32"/>
          <w:szCs w:val="32"/>
        </w:rPr>
      </w:pPr>
    </w:p>
    <w:p w14:paraId="500E0B3F">
      <w:pPr>
        <w:spacing w:line="600" w:lineRule="exact"/>
        <w:rPr>
          <w:rFonts w:hint="eastAsia" w:ascii="Times New Roman" w:hAnsi="Times New Roman" w:eastAsia="黑体"/>
          <w:bCs/>
          <w:sz w:val="32"/>
          <w:szCs w:val="32"/>
        </w:rPr>
      </w:pPr>
    </w:p>
    <w:p w14:paraId="582488AD">
      <w:pPr>
        <w:spacing w:line="600" w:lineRule="exact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</w:rPr>
        <w:t>2</w:t>
      </w:r>
    </w:p>
    <w:p w14:paraId="566DC414">
      <w:pPr>
        <w:spacing w:before="120" w:line="600" w:lineRule="exact"/>
        <w:ind w:right="119"/>
        <w:jc w:val="right"/>
        <w:rPr>
          <w:rFonts w:ascii="Times New Roman" w:hAnsi="Times New Roman" w:eastAsia="华文楷体"/>
          <w:bCs/>
          <w:sz w:val="18"/>
          <w:szCs w:val="18"/>
        </w:rPr>
      </w:pPr>
    </w:p>
    <w:p w14:paraId="08CB3FFB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374E0452">
      <w:pPr>
        <w:jc w:val="center"/>
        <w:rPr>
          <w:rFonts w:ascii="Times New Roman" w:hAnsi="Times New Roman" w:eastAsia="黑体"/>
          <w:bCs/>
          <w:sz w:val="44"/>
        </w:rPr>
      </w:pPr>
    </w:p>
    <w:p w14:paraId="5041FB45">
      <w:pPr>
        <w:jc w:val="center"/>
        <w:rPr>
          <w:rFonts w:ascii="Times New Roman" w:hAnsi="Times New Roman" w:eastAsia="黑体"/>
          <w:bCs/>
          <w:sz w:val="44"/>
        </w:rPr>
      </w:pPr>
    </w:p>
    <w:p w14:paraId="39180821">
      <w:pPr>
        <w:jc w:val="center"/>
        <w:rPr>
          <w:rFonts w:ascii="Times New Roman" w:hAnsi="Times New Roman" w:eastAsia="黑体"/>
          <w:bCs/>
          <w:sz w:val="44"/>
        </w:rPr>
      </w:pPr>
    </w:p>
    <w:p w14:paraId="4D47E5FB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ascii="Times New Roman" w:hAnsi="Times New Roman" w:eastAsia="方正小标宋简体"/>
          <w:bCs/>
          <w:sz w:val="44"/>
          <w:szCs w:val="44"/>
        </w:rPr>
        <w:t>合肥市部门整体支出绩效自评报告</w:t>
      </w:r>
    </w:p>
    <w:p w14:paraId="522E7469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0E67393F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2592FFC3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58773BAD">
      <w:pPr>
        <w:spacing w:beforeLines="50" w:afterLines="50"/>
        <w:ind w:left="1887" w:leftChars="289" w:hanging="1280" w:hangingChars="400"/>
        <w:rPr>
          <w:rFonts w:ascii="Times New Roman" w:hAnsi="Times New Roman" w:eastAsia="楷体_GB2312"/>
          <w:sz w:val="32"/>
        </w:rPr>
      </w:pPr>
    </w:p>
    <w:p w14:paraId="227E4E1B">
      <w:pPr>
        <w:spacing w:beforeLines="50" w:afterLines="50"/>
        <w:ind w:left="1887" w:leftChars="289" w:hanging="1280" w:hangingChars="400"/>
        <w:rPr>
          <w:rFonts w:hint="eastAsia" w:ascii="Times New Roman" w:hAnsi="Times New Roman" w:eastAsia="楷体_GB2312"/>
          <w:sz w:val="32"/>
          <w:u w:val="single"/>
          <w:lang w:val="en-US" w:eastAsia="zh-CN"/>
        </w:rPr>
      </w:pPr>
      <w:r>
        <w:rPr>
          <w:rFonts w:ascii="Times New Roman" w:hAnsi="Times New Roman" w:eastAsia="楷体_GB2312"/>
          <w:sz w:val="32"/>
        </w:rPr>
        <w:t>部 门 负 责 人（签字）：</w:t>
      </w:r>
      <w:r>
        <w:rPr>
          <w:rFonts w:hint="eastAsia" w:ascii="Times New Roman" w:hAnsi="Times New Roman" w:eastAsia="楷体_GB2312"/>
          <w:sz w:val="32"/>
          <w:lang w:val="en-US" w:eastAsia="zh-CN"/>
        </w:rPr>
        <w:t>丁明</w:t>
      </w:r>
    </w:p>
    <w:p w14:paraId="0027B951">
      <w:pPr>
        <w:spacing w:beforeLines="50" w:afterLines="50"/>
        <w:ind w:firstLine="460" w:firstLineChars="192"/>
        <w:rPr>
          <w:rFonts w:ascii="Times New Roman" w:hAnsi="Times New Roman" w:eastAsia="楷体_GB2312"/>
          <w:sz w:val="24"/>
        </w:rPr>
      </w:pPr>
    </w:p>
    <w:p w14:paraId="76290232">
      <w:pPr>
        <w:spacing w:beforeLines="50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 管  部  门（盖章）：</w:t>
      </w:r>
    </w:p>
    <w:p w14:paraId="3E2A2ABE">
      <w:pPr>
        <w:spacing w:beforeLines="50" w:afterLines="50"/>
        <w:ind w:left="1887" w:leftChars="289" w:hanging="1280" w:hangingChars="400"/>
        <w:rPr>
          <w:rFonts w:ascii="Times New Roman" w:hAnsi="Times New Roman" w:eastAsia="楷体_GB2312"/>
          <w:sz w:val="32"/>
        </w:rPr>
      </w:pPr>
    </w:p>
    <w:p w14:paraId="464DC4D9">
      <w:pPr>
        <w:spacing w:beforeLines="50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</w:p>
    <w:p w14:paraId="4A39FFF8">
      <w:pPr>
        <w:ind w:firstLine="614" w:firstLineChars="192"/>
        <w:rPr>
          <w:rFonts w:ascii="Times New Roman" w:hAnsi="Times New Roman" w:eastAsia="楷体_GB2312"/>
          <w:sz w:val="32"/>
        </w:rPr>
      </w:pPr>
    </w:p>
    <w:p w14:paraId="6EF9382C">
      <w:pPr>
        <w:jc w:val="center"/>
        <w:rPr>
          <w:rFonts w:ascii="Times New Roman" w:hAnsi="Times New Roman" w:eastAsia="楷体_GB2312"/>
          <w:sz w:val="32"/>
        </w:rPr>
      </w:pPr>
      <w:r>
        <w:rPr>
          <w:rFonts w:ascii="Times New Roman" w:hAnsi="Times New Roman" w:eastAsia="楷体_GB2312"/>
          <w:sz w:val="32"/>
        </w:rPr>
        <w:t>202</w:t>
      </w:r>
      <w:r>
        <w:rPr>
          <w:rFonts w:hint="eastAsia" w:ascii="Times New Roman" w:hAnsi="Times New Roman" w:eastAsia="楷体_GB2312"/>
          <w:sz w:val="32"/>
        </w:rPr>
        <w:t>4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_GB2312"/>
          <w:sz w:val="32"/>
        </w:rPr>
        <w:t>3</w:t>
      </w:r>
      <w:r>
        <w:rPr>
          <w:rFonts w:ascii="Times New Roman" w:hAnsi="Times New Roman" w:eastAsia="楷体_GB2312"/>
          <w:sz w:val="32"/>
        </w:rPr>
        <w:t>月</w:t>
      </w:r>
    </w:p>
    <w:p w14:paraId="65F841DC">
      <w:pPr>
        <w:jc w:val="center"/>
        <w:rPr>
          <w:rFonts w:ascii="Times New Roman" w:hAnsi="Times New Roman" w:eastAsia="楷体_GB2312"/>
          <w:sz w:val="32"/>
        </w:rPr>
      </w:pPr>
    </w:p>
    <w:p w14:paraId="460C612C">
      <w:pPr>
        <w:jc w:val="center"/>
        <w:rPr>
          <w:rFonts w:ascii="Times New Roman" w:hAnsi="Times New Roman" w:eastAsia="楷体_GB2312"/>
          <w:sz w:val="32"/>
        </w:rPr>
      </w:pPr>
    </w:p>
    <w:p w14:paraId="27EF5D63">
      <w:pPr>
        <w:jc w:val="center"/>
        <w:rPr>
          <w:rFonts w:ascii="Times New Roman" w:hAnsi="Times New Roman" w:eastAsia="楷体_GB2312"/>
          <w:sz w:val="32"/>
        </w:rPr>
      </w:pPr>
    </w:p>
    <w:p w14:paraId="5200BAC6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瑶海区胜利路街道2023年度部门整体支出绩效自评报告</w:t>
      </w:r>
    </w:p>
    <w:p w14:paraId="6820B92E">
      <w:pPr>
        <w:spacing w:line="560" w:lineRule="exact"/>
        <w:ind w:left="640"/>
        <w:outlineLvl w:val="0"/>
        <w:rPr>
          <w:rFonts w:ascii="黑体" w:eastAsia="黑体"/>
          <w:bCs/>
          <w:color w:val="000000"/>
          <w:sz w:val="32"/>
          <w:szCs w:val="32"/>
        </w:rPr>
      </w:pPr>
    </w:p>
    <w:p w14:paraId="2181C06A">
      <w:pPr>
        <w:numPr>
          <w:ilvl w:val="0"/>
          <w:numId w:val="1"/>
        </w:numPr>
        <w:spacing w:line="560" w:lineRule="exact"/>
        <w:ind w:left="640"/>
        <w:outlineLvl w:val="0"/>
        <w:rPr>
          <w:rFonts w:ascii="黑体" w:eastAsia="黑体"/>
          <w:bCs/>
          <w:color w:val="000000"/>
          <w:sz w:val="32"/>
          <w:szCs w:val="32"/>
        </w:rPr>
      </w:pPr>
      <w:r>
        <w:rPr>
          <w:rFonts w:hint="eastAsia" w:ascii="黑体" w:eastAsia="黑体"/>
          <w:bCs/>
          <w:color w:val="000000"/>
          <w:sz w:val="32"/>
          <w:szCs w:val="32"/>
        </w:rPr>
        <w:t>部门基本情况</w:t>
      </w:r>
    </w:p>
    <w:p w14:paraId="3A8E551A">
      <w:pPr>
        <w:spacing w:line="592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sz w:val="32"/>
        </w:rPr>
        <w:t>胜利路街道</w:t>
      </w:r>
      <w:r>
        <w:rPr>
          <w:rFonts w:ascii="Times New Roman" w:hAnsi="Times New Roman" w:eastAsia="仿宋_GB2312"/>
          <w:bCs/>
          <w:sz w:val="32"/>
        </w:rPr>
        <w:t>为</w:t>
      </w:r>
      <w:r>
        <w:rPr>
          <w:rFonts w:hint="eastAsia" w:ascii="Times New Roman" w:hAnsi="Times New Roman" w:eastAsia="仿宋_GB2312"/>
          <w:bCs/>
          <w:sz w:val="32"/>
        </w:rPr>
        <w:t>区</w:t>
      </w:r>
      <w:r>
        <w:rPr>
          <w:rFonts w:ascii="Times New Roman" w:hAnsi="Times New Roman" w:eastAsia="仿宋_GB2312"/>
          <w:bCs/>
          <w:sz w:val="32"/>
        </w:rPr>
        <w:t>级财政一级预算单位，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内设机构实行“大部门制”，设置“一办七部”，即党政办公室、党群工作部、城市管理部、城市建设部、社会事务部、社区建设部、平安建设部、发展服务部</w:t>
      </w:r>
      <w:r>
        <w:rPr>
          <w:rFonts w:ascii="Times New Roman" w:hAnsi="Times New Roman" w:eastAsia="仿宋_GB2312"/>
          <w:bCs/>
          <w:sz w:val="32"/>
        </w:rPr>
        <w:t>。截至202</w:t>
      </w:r>
      <w:r>
        <w:rPr>
          <w:rFonts w:hint="eastAsia" w:ascii="Times New Roman" w:hAnsi="Times New Roman" w:eastAsia="仿宋_GB2312"/>
          <w:bCs/>
          <w:sz w:val="32"/>
        </w:rPr>
        <w:t>3</w:t>
      </w:r>
      <w:r>
        <w:rPr>
          <w:rFonts w:ascii="Times New Roman" w:hAnsi="Times New Roman" w:eastAsia="仿宋_GB2312"/>
          <w:bCs/>
          <w:sz w:val="32"/>
        </w:rPr>
        <w:t>年底，</w:t>
      </w:r>
      <w:r>
        <w:rPr>
          <w:rFonts w:hint="eastAsia" w:ascii="Times New Roman" w:hAnsi="Times New Roman" w:eastAsia="仿宋_GB2312"/>
          <w:bCs/>
          <w:sz w:val="32"/>
        </w:rPr>
        <w:t>胜利路街道</w:t>
      </w:r>
      <w:r>
        <w:rPr>
          <w:rFonts w:ascii="Times New Roman" w:hAnsi="Times New Roman" w:eastAsia="仿宋_GB2312"/>
          <w:bCs/>
          <w:sz w:val="32"/>
        </w:rPr>
        <w:t>编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制共</w:t>
      </w:r>
      <w:r>
        <w:rPr>
          <w:rFonts w:hint="eastAsia" w:ascii="仿宋" w:hAnsi="仿宋" w:eastAsia="仿宋" w:cs="仿宋"/>
          <w:sz w:val="32"/>
          <w:szCs w:val="32"/>
        </w:rPr>
        <w:t>58人，实有在编57人，离退休人员3人；区委编办核定的编外聘用人员控制数143人，实际编外聘用人员数120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人。</w:t>
      </w:r>
    </w:p>
    <w:p w14:paraId="19C202DC">
      <w:pPr>
        <w:spacing w:line="560" w:lineRule="exact"/>
        <w:ind w:left="640"/>
        <w:outlineLvl w:val="0"/>
        <w:rPr>
          <w:rFonts w:ascii="楷体_GB2312" w:hAnsi="楷体_GB2312" w:eastAsia="楷体_GB2312" w:cs="楷体_GB2312"/>
          <w:b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  <w:t>（一）部门主要职责</w:t>
      </w:r>
    </w:p>
    <w:p w14:paraId="62D2813C">
      <w:pPr>
        <w:spacing w:line="560" w:lineRule="exact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1、加强党的建设。落实基层党建工作责任制，严格抓好新时代基层党组织建设，推进街道社区党建与单位党建、行业党建、新兴领域党建互联互动，统筹抓好辖区内新业态新群体党建工作。</w:t>
      </w:r>
    </w:p>
    <w:p w14:paraId="235C82D0">
      <w:pPr>
        <w:spacing w:line="560" w:lineRule="exact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2、统筹区域发展。统筹落实社区发展的重大决策和社区建设规划，参与辖区经济社会发展和公共服务设施建设规划，配合做好城市有机更新，优化经济发展环境。</w:t>
      </w:r>
    </w:p>
    <w:p w14:paraId="30F6B038">
      <w:pPr>
        <w:spacing w:line="560" w:lineRule="exact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3、组织公共服务。组织实施与居民生活密切相关的各项公共服务，落实人力资源和社会保障、民政、教育、文化、体育、卫生健康等方面相关政策。</w:t>
      </w:r>
    </w:p>
    <w:p w14:paraId="7D1E4247">
      <w:pPr>
        <w:spacing w:line="560" w:lineRule="exact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4、实施综合管理。组织领导、推进实施、综合协调辖区内城市管理、人口管理、社会管理等工作；对区域内各类专业执法工作组织开展群众监督和社会监督，协调做好监督检查等事中事后监管工作。</w:t>
      </w:r>
    </w:p>
    <w:p w14:paraId="49916ACB">
      <w:pPr>
        <w:spacing w:line="560" w:lineRule="exact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5、指导基层自治。指导社区居委会、小区业委会建设，组织社区居民和驻区单位参与社区建设和管理，健全完善自治、法治、德治相结合的城市基层治理体系。</w:t>
      </w:r>
    </w:p>
    <w:p w14:paraId="4492FC31">
      <w:pPr>
        <w:spacing w:line="560" w:lineRule="exact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6、动员社会参与。动员辖区各类单位、社会组织、志愿组织和社区居民等社会力量参与基层治理，引导辖区单位履行社会责任，整合辖区各种社会力量为街道社区发展服务。</w:t>
      </w:r>
    </w:p>
    <w:p w14:paraId="2E88BC89">
      <w:pPr>
        <w:spacing w:line="560" w:lineRule="exact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7、维护平安稳定。推进网格化管理和服务，承担辖区平安建设、社会治安综合治理、公共安全、应急管理等相关工作，处理群众来信来访，反映社情民意，化解矛盾纠纷，推动群众安全感和政法满意度“双提升”。</w:t>
      </w:r>
    </w:p>
    <w:p w14:paraId="716ECA26">
      <w:pPr>
        <w:spacing w:line="560" w:lineRule="exact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</w:rPr>
        <w:t>8、完成区委、区政府交办的其他任务。</w:t>
      </w:r>
    </w:p>
    <w:p w14:paraId="163970A3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（二）部门预算执行情况</w:t>
      </w:r>
    </w:p>
    <w:p w14:paraId="73649A2C">
      <w:pPr>
        <w:widowControl/>
        <w:spacing w:line="592" w:lineRule="exact"/>
        <w:ind w:firstLine="640" w:firstLineChars="200"/>
        <w:rPr>
          <w:rFonts w:ascii="Times New Roman" w:hAnsi="Times New Roman" w:eastAsia="仿宋_GB2312"/>
          <w:bCs/>
          <w:sz w:val="32"/>
        </w:rPr>
      </w:pPr>
      <w:r>
        <w:rPr>
          <w:rFonts w:ascii="Times New Roman" w:hAnsi="Times New Roman" w:eastAsia="仿宋_GB2312"/>
          <w:bCs/>
          <w:sz w:val="32"/>
        </w:rPr>
        <w:t>202</w:t>
      </w:r>
      <w:r>
        <w:rPr>
          <w:rFonts w:hint="eastAsia" w:ascii="Times New Roman" w:hAnsi="Times New Roman" w:eastAsia="仿宋_GB2312"/>
          <w:bCs/>
          <w:sz w:val="32"/>
        </w:rPr>
        <w:t>3</w:t>
      </w:r>
      <w:r>
        <w:rPr>
          <w:rFonts w:ascii="Times New Roman" w:hAnsi="Times New Roman" w:eastAsia="仿宋_GB2312"/>
          <w:bCs/>
          <w:sz w:val="32"/>
        </w:rPr>
        <w:t>年</w:t>
      </w:r>
      <w:r>
        <w:rPr>
          <w:rFonts w:hint="eastAsia" w:ascii="Times New Roman" w:hAnsi="Times New Roman" w:eastAsia="仿宋_GB2312"/>
          <w:bCs/>
          <w:sz w:val="32"/>
        </w:rPr>
        <w:t>胜利路街道</w:t>
      </w:r>
      <w:r>
        <w:rPr>
          <w:rFonts w:ascii="Times New Roman" w:hAnsi="Times New Roman" w:eastAsia="仿宋_GB2312"/>
          <w:bCs/>
          <w:sz w:val="32"/>
        </w:rPr>
        <w:t>年初部门</w:t>
      </w:r>
      <w:r>
        <w:rPr>
          <w:rFonts w:hint="eastAsia" w:ascii="Times New Roman" w:hAnsi="Times New Roman" w:eastAsia="仿宋_GB2312"/>
          <w:bCs/>
          <w:sz w:val="32"/>
        </w:rPr>
        <w:t>预算安排5479.89万元，调整后预算为4769.53万元，全年执行4769.53万元，其中，基本支出2812.61万元，项目支出1956.92万元。</w:t>
      </w:r>
    </w:p>
    <w:p w14:paraId="03644331">
      <w:pPr>
        <w:spacing w:line="600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（三）部门年度预算绩效目标任务及完成情况</w:t>
      </w:r>
    </w:p>
    <w:p w14:paraId="705112E5">
      <w:pPr>
        <w:spacing w:line="600" w:lineRule="exact"/>
        <w:ind w:firstLine="640" w:firstLineChars="200"/>
        <w:rPr>
          <w:rFonts w:ascii="Times New Roman" w:hAnsi="Times New Roman" w:eastAsia="仿宋_GB2312"/>
          <w:bCs/>
          <w:sz w:val="32"/>
        </w:rPr>
      </w:pPr>
      <w:r>
        <w:rPr>
          <w:rFonts w:ascii="Times New Roman" w:hAnsi="Times New Roman" w:eastAsia="仿宋_GB2312"/>
          <w:bCs/>
          <w:sz w:val="32"/>
        </w:rPr>
        <w:t>1.部门年度总体目标</w:t>
      </w:r>
    </w:p>
    <w:p w14:paraId="31C45005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（一）全面加强新时代党的建设：强抓三基建设、推动责任落实、全面从严治党。</w:t>
      </w:r>
    </w:p>
    <w:p w14:paraId="07D651B7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（二）全速推动经济高质量发展：围绕区委“三大行动”，加快产业提档升级、全力做好协税护税，营造良好的营商环境，着力打造“书香胜利”。</w:t>
      </w:r>
    </w:p>
    <w:p w14:paraId="155E38BA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（三）全员参与基层治理新模式：完善治理体系、改善片区环境、加快改革创新。</w:t>
      </w:r>
    </w:p>
    <w:p w14:paraId="0C01DF70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（四）全力聚焦百姓民生新福祉：孝老爱亲主题服务、科教文卫全线发展，民生保障全线兜底、特色品牌全速推广，和谐社区全速建成。</w:t>
      </w:r>
    </w:p>
    <w:p w14:paraId="060F725A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2.总体目标完成情况</w:t>
      </w:r>
    </w:p>
    <w:p w14:paraId="7DCB9916">
      <w:pPr>
        <w:adjustRightInd w:val="0"/>
        <w:snapToGrid w:val="0"/>
        <w:spacing w:line="540" w:lineRule="atLeast"/>
        <w:ind w:firstLine="57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2023年我街道部门整体支出情况良好，资金主要用于保证机关正常运转、职工工资、民生保障等方面，对于项目资金，严格按照街道财务管理制度，并由专人具体负责项目实施，取得了较好的经济效益和社会效益。</w:t>
      </w:r>
    </w:p>
    <w:p w14:paraId="27771941">
      <w:pPr>
        <w:spacing w:line="560" w:lineRule="exact"/>
        <w:ind w:firstLine="960" w:firstLineChars="300"/>
        <w:outlineLvl w:val="0"/>
        <w:rPr>
          <w:rFonts w:ascii="黑体" w:eastAsia="黑体"/>
          <w:bCs/>
          <w:color w:val="000000"/>
          <w:sz w:val="32"/>
          <w:szCs w:val="32"/>
        </w:rPr>
      </w:pPr>
      <w:r>
        <w:rPr>
          <w:rFonts w:hint="eastAsia" w:ascii="黑体" w:eastAsia="黑体"/>
          <w:bCs/>
          <w:color w:val="000000"/>
          <w:sz w:val="32"/>
          <w:szCs w:val="32"/>
        </w:rPr>
        <w:t>二、绩效自评结论</w:t>
      </w:r>
    </w:p>
    <w:p w14:paraId="04081F59">
      <w:pPr>
        <w:spacing w:line="560" w:lineRule="exact"/>
        <w:ind w:firstLine="643" w:firstLineChars="200"/>
        <w:outlineLvl w:val="0"/>
        <w:rPr>
          <w:rFonts w:ascii="楷体_GB2312" w:hAnsi="楷体_GB2312" w:eastAsia="楷体_GB2312" w:cs="楷体_GB2312"/>
          <w:b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  <w:t>（一）总体结论</w:t>
      </w:r>
    </w:p>
    <w:p w14:paraId="1EE96980">
      <w:pPr>
        <w:spacing w:line="600" w:lineRule="exact"/>
        <w:ind w:firstLine="640" w:firstLineChars="200"/>
        <w:rPr>
          <w:rFonts w:ascii="楷体_GB2312" w:hAnsi="楷体_GB2312" w:eastAsia="楷体_GB2312" w:cs="楷体_GB2312"/>
          <w:b/>
          <w:color w:val="000000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</w:rPr>
        <w:t>202</w:t>
      </w:r>
      <w:r>
        <w:rPr>
          <w:rFonts w:hint="eastAsia" w:ascii="Times New Roman" w:hAnsi="Times New Roman" w:eastAsia="仿宋_GB2312"/>
          <w:bCs/>
          <w:sz w:val="32"/>
        </w:rPr>
        <w:t>3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胜利路街道</w:t>
      </w:r>
      <w:r>
        <w:rPr>
          <w:rFonts w:ascii="Times New Roman" w:hAnsi="Times New Roman" w:eastAsia="仿宋_GB2312"/>
          <w:sz w:val="32"/>
          <w:szCs w:val="32"/>
        </w:rPr>
        <w:t>预算执行良好，年初设定的部门整体支出绩效目标全部完成，部门整体支出效益良好，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资金主要用于保证机关正常运转、职工福利、民生保障等方面，对于项目资金，严格按照街道财务管理制度，并由专人具体负责项目实施，取得了较好的经济效益和社会效益。</w:t>
      </w:r>
      <w:r>
        <w:rPr>
          <w:rFonts w:ascii="Times New Roman" w:hAnsi="Times New Roman" w:eastAsia="仿宋_GB2312"/>
          <w:color w:val="000000"/>
          <w:sz w:val="32"/>
          <w:szCs w:val="32"/>
        </w:rPr>
        <w:t>已完成年度设定的绩效目标，达到项目预期效果。</w:t>
      </w:r>
    </w:p>
    <w:p w14:paraId="79762DA4">
      <w:pPr>
        <w:spacing w:line="560" w:lineRule="exact"/>
        <w:ind w:firstLine="643" w:firstLineChars="200"/>
        <w:outlineLvl w:val="0"/>
        <w:rPr>
          <w:rFonts w:ascii="楷体_GB2312" w:hAnsi="楷体_GB2312" w:eastAsia="楷体_GB2312" w:cs="楷体_GB2312"/>
          <w:b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  <w:t>（二）自评结果</w:t>
      </w:r>
    </w:p>
    <w:p w14:paraId="450CFBC2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经自评，2023年度部门整体支出绩效自评综合得分为99.7分，自评结果为“优”。</w:t>
      </w:r>
    </w:p>
    <w:p w14:paraId="2A09BD00">
      <w:pPr>
        <w:numPr>
          <w:ilvl w:val="0"/>
          <w:numId w:val="2"/>
        </w:numPr>
        <w:spacing w:line="560" w:lineRule="exact"/>
        <w:ind w:firstLine="960" w:firstLineChars="300"/>
        <w:outlineLvl w:val="0"/>
        <w:rPr>
          <w:rFonts w:ascii="黑体" w:eastAsia="黑体"/>
          <w:bCs/>
          <w:color w:val="000000"/>
          <w:sz w:val="32"/>
          <w:szCs w:val="32"/>
        </w:rPr>
      </w:pPr>
      <w:r>
        <w:rPr>
          <w:rFonts w:hint="eastAsia" w:ascii="黑体" w:eastAsia="黑体"/>
          <w:bCs/>
          <w:color w:val="000000"/>
          <w:sz w:val="32"/>
          <w:szCs w:val="32"/>
        </w:rPr>
        <w:t>指标分析</w:t>
      </w:r>
    </w:p>
    <w:p w14:paraId="70BBDC9F">
      <w:pPr>
        <w:spacing w:line="600" w:lineRule="exact"/>
        <w:ind w:firstLine="640" w:firstLineChars="200"/>
        <w:rPr>
          <w:rFonts w:ascii="黑体" w:eastAsia="黑体"/>
          <w:bCs/>
          <w:color w:val="000000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</w:rPr>
        <w:t>202</w:t>
      </w:r>
      <w:r>
        <w:rPr>
          <w:rFonts w:hint="eastAsia" w:ascii="Times New Roman" w:hAnsi="Times New Roman" w:eastAsia="仿宋_GB2312"/>
          <w:bCs/>
          <w:sz w:val="32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，胜利路街道</w:t>
      </w:r>
      <w:r>
        <w:rPr>
          <w:rFonts w:ascii="Times New Roman" w:hAnsi="Times New Roman" w:eastAsia="仿宋_GB2312"/>
          <w:color w:val="000000"/>
          <w:sz w:val="32"/>
          <w:szCs w:val="32"/>
        </w:rPr>
        <w:t>部门整体支出绩效自评指标体系设置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预算执行率和</w:t>
      </w:r>
      <w:r>
        <w:rPr>
          <w:rFonts w:ascii="Times New Roman" w:hAnsi="Times New Roman" w:eastAsia="仿宋_GB2312"/>
          <w:bCs/>
          <w:sz w:val="32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2A3BDF1E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041C1ABA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，胜利路街道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bCs/>
          <w:sz w:val="32"/>
        </w:rPr>
        <w:t>4769.53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bCs/>
          <w:sz w:val="32"/>
        </w:rPr>
        <w:t>4769.53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334E86F9">
      <w:pPr>
        <w:spacing w:line="600" w:lineRule="exact"/>
        <w:ind w:firstLine="643" w:firstLineChars="200"/>
        <w:rPr>
          <w:rFonts w:ascii="Times New Roman" w:hAnsi="Times New Roman" w:eastAsia="楷体_GB2312"/>
          <w:b/>
          <w:bCs/>
          <w:sz w:val="32"/>
          <w:szCs w:val="24"/>
        </w:rPr>
      </w:pPr>
      <w:r>
        <w:rPr>
          <w:rFonts w:ascii="Times New Roman" w:hAnsi="Times New Roman" w:eastAsia="楷体_GB2312"/>
          <w:b/>
          <w:bCs/>
          <w:sz w:val="32"/>
          <w:szCs w:val="24"/>
        </w:rPr>
        <w:t>（</w:t>
      </w:r>
      <w:r>
        <w:rPr>
          <w:rFonts w:ascii="Times New Roman" w:hAnsi="Times New Roman" w:eastAsia="楷体_GB2312"/>
          <w:b/>
          <w:bCs/>
          <w:sz w:val="32"/>
        </w:rPr>
        <w:t>二</w:t>
      </w:r>
      <w:r>
        <w:rPr>
          <w:rFonts w:ascii="Times New Roman" w:hAnsi="Times New Roman" w:eastAsia="楷体_GB2312"/>
          <w:b/>
          <w:bCs/>
          <w:sz w:val="32"/>
          <w:szCs w:val="24"/>
        </w:rPr>
        <w:t>）产出指标（满分</w:t>
      </w:r>
      <w:r>
        <w:rPr>
          <w:rFonts w:ascii="Times New Roman" w:hAnsi="Times New Roman" w:eastAsia="楷体_GB2312"/>
          <w:b/>
          <w:bCs/>
          <w:sz w:val="32"/>
        </w:rPr>
        <w:t>5</w:t>
      </w:r>
      <w:r>
        <w:rPr>
          <w:rFonts w:ascii="Times New Roman" w:hAnsi="Times New Roman" w:eastAsia="楷体_GB2312"/>
          <w:b/>
          <w:bCs/>
          <w:sz w:val="32"/>
          <w:szCs w:val="24"/>
        </w:rPr>
        <w:t>0分，实得</w:t>
      </w:r>
      <w:r>
        <w:rPr>
          <w:rFonts w:hint="eastAsia" w:ascii="Times New Roman" w:hAnsi="Times New Roman" w:eastAsia="楷体_GB2312"/>
          <w:b/>
          <w:bCs/>
          <w:sz w:val="32"/>
          <w:szCs w:val="24"/>
        </w:rPr>
        <w:t>49.7</w:t>
      </w:r>
      <w:r>
        <w:rPr>
          <w:rFonts w:ascii="Times New Roman" w:hAnsi="Times New Roman" w:eastAsia="楷体_GB2312"/>
          <w:b/>
          <w:bCs/>
          <w:sz w:val="32"/>
          <w:szCs w:val="24"/>
        </w:rPr>
        <w:t>分）</w:t>
      </w:r>
    </w:p>
    <w:p w14:paraId="453D36D1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1.数量指标（满分20分，实得19.9分）</w:t>
      </w:r>
    </w:p>
    <w:p w14:paraId="6482CF2A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年度设定的数量指标为保障街道本级和社区人员数量；年初预算数为2848.67万元，截至2023年底已支付4769.53万元，超额部分为区直各部门拨付的专项资金。</w:t>
      </w:r>
    </w:p>
    <w:p w14:paraId="711971C6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2.质量指标（满分10分，实得10分）</w:t>
      </w:r>
    </w:p>
    <w:p w14:paraId="22111718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年度设定的质量指标为总体目标完成情况较好；实际完成情况为已完成。</w:t>
      </w:r>
    </w:p>
    <w:p w14:paraId="35C02AD6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3.时效指标（满分10分，实得10分）</w:t>
      </w:r>
    </w:p>
    <w:p w14:paraId="20CF4CBC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年度设定的时效指标为总体目标完成进度及时完成；实际完成情况为已完成。</w:t>
      </w:r>
    </w:p>
    <w:p w14:paraId="0940DCDB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4.成本指标（满分10分，实得9.8分）</w:t>
      </w:r>
    </w:p>
    <w:p w14:paraId="7381C826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年度设定的成本指标为项目总成本，年度指标值为3497.48万元，实际完成值为4769.53万元，超额部分为区直各部门拨付的专项资金。</w:t>
      </w:r>
    </w:p>
    <w:p w14:paraId="39058385">
      <w:pPr>
        <w:spacing w:line="560" w:lineRule="exact"/>
        <w:ind w:firstLine="643" w:firstLineChars="200"/>
        <w:outlineLvl w:val="0"/>
        <w:rPr>
          <w:rFonts w:ascii="楷体_GB2312" w:hAnsi="楷体_GB2312" w:eastAsia="楷体_GB2312" w:cs="楷体_GB2312"/>
          <w:b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  <w:t>（三）效益指标（满分30分，实得30分）</w:t>
      </w:r>
    </w:p>
    <w:p w14:paraId="027D1A64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1.经济效益指标（满分10分，实得10分）</w:t>
      </w:r>
    </w:p>
    <w:p w14:paraId="3677C6CC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</w:t>
      </w:r>
      <w:r>
        <w:rPr>
          <w:rFonts w:hint="eastAsia" w:ascii="Times New Roman" w:eastAsia="仿宋_GB2312"/>
          <w:color w:val="000000"/>
          <w:sz w:val="32"/>
          <w:szCs w:val="32"/>
        </w:rPr>
        <w:t>经济效益</w:t>
      </w:r>
      <w:r>
        <w:rPr>
          <w:rFonts w:ascii="Times New Roman" w:eastAsia="仿宋_GB2312"/>
          <w:color w:val="000000"/>
          <w:sz w:val="32"/>
          <w:szCs w:val="32"/>
        </w:rPr>
        <w:t>指标为</w:t>
      </w:r>
      <w:r>
        <w:rPr>
          <w:rFonts w:hint="eastAsia" w:ascii="Times New Roman" w:eastAsia="仿宋_GB2312"/>
          <w:color w:val="000000"/>
          <w:sz w:val="32"/>
          <w:szCs w:val="32"/>
        </w:rPr>
        <w:t>：全年各项经济指标对辖区经济发展的影响较好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；实际完成情况为已完成。</w:t>
      </w:r>
    </w:p>
    <w:p w14:paraId="5ACB2A05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2.社会效益指标（满分10分，实得10分）</w:t>
      </w:r>
    </w:p>
    <w:p w14:paraId="485CB66B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</w:t>
      </w:r>
      <w:r>
        <w:rPr>
          <w:rFonts w:hint="eastAsia" w:ascii="Times New Roman" w:eastAsia="仿宋_GB2312"/>
          <w:color w:val="000000"/>
          <w:sz w:val="32"/>
          <w:szCs w:val="32"/>
        </w:rPr>
        <w:t>社会效益</w:t>
      </w:r>
      <w:r>
        <w:rPr>
          <w:rFonts w:ascii="Times New Roman" w:eastAsia="仿宋_GB2312"/>
          <w:color w:val="000000"/>
          <w:sz w:val="32"/>
          <w:szCs w:val="32"/>
        </w:rPr>
        <w:t>指标为</w:t>
      </w:r>
      <w:r>
        <w:rPr>
          <w:rFonts w:hint="eastAsia" w:ascii="Times New Roman" w:eastAsia="仿宋_GB2312"/>
          <w:color w:val="000000"/>
          <w:sz w:val="32"/>
          <w:szCs w:val="32"/>
        </w:rPr>
        <w:t>：基层政府服务群众和治理社区的能力提升较明显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；实际完成情况为已完成。</w:t>
      </w:r>
    </w:p>
    <w:p w14:paraId="769CD1D1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3.生态效益指标（满分0分，实得0分）</w:t>
      </w:r>
    </w:p>
    <w:p w14:paraId="62D3F638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</w:t>
      </w:r>
      <w:r>
        <w:rPr>
          <w:rFonts w:hint="eastAsia" w:ascii="Times New Roman" w:eastAsia="仿宋_GB2312"/>
          <w:color w:val="000000"/>
          <w:sz w:val="32"/>
          <w:szCs w:val="32"/>
        </w:rPr>
        <w:t>生态效益</w:t>
      </w:r>
      <w:r>
        <w:rPr>
          <w:rFonts w:ascii="Times New Roman" w:eastAsia="仿宋_GB2312"/>
          <w:color w:val="000000"/>
          <w:sz w:val="32"/>
          <w:szCs w:val="32"/>
        </w:rPr>
        <w:t>指标为</w:t>
      </w:r>
      <w:r>
        <w:rPr>
          <w:rFonts w:hint="eastAsia" w:ascii="Times New Roman" w:eastAsia="仿宋_GB2312"/>
          <w:color w:val="000000"/>
          <w:sz w:val="32"/>
          <w:szCs w:val="32"/>
        </w:rPr>
        <w:t>本指标不适用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</w:t>
      </w:r>
    </w:p>
    <w:p w14:paraId="1D2A5EA0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4.可持续影响指标（满分10分，实得10分）</w:t>
      </w:r>
    </w:p>
    <w:p w14:paraId="30275B82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可持续影响</w:t>
      </w:r>
      <w:r>
        <w:rPr>
          <w:rFonts w:ascii="Times New Roman" w:eastAsia="仿宋_GB2312"/>
          <w:color w:val="000000"/>
          <w:sz w:val="32"/>
          <w:szCs w:val="32"/>
        </w:rPr>
        <w:t>指标为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对基层各项工作的影响较高；实际完成情况为已完成。</w:t>
      </w:r>
    </w:p>
    <w:p w14:paraId="10E25A32">
      <w:pPr>
        <w:spacing w:line="560" w:lineRule="exact"/>
        <w:ind w:firstLine="643" w:firstLineChars="200"/>
        <w:outlineLvl w:val="0"/>
        <w:rPr>
          <w:rFonts w:ascii="楷体_GB2312" w:hAnsi="楷体_GB2312" w:eastAsia="楷体_GB2312" w:cs="楷体_GB2312"/>
          <w:b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  <w:t>（四）满意度指标（满分10分，实得10分）</w:t>
      </w:r>
    </w:p>
    <w:p w14:paraId="1EA26D6F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1.服务对象满意度指标（满分10分，实得10分）</w:t>
      </w:r>
    </w:p>
    <w:p w14:paraId="4BF8B3E3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000000"/>
          <w:sz w:val="32"/>
          <w:szCs w:val="32"/>
        </w:rPr>
        <w:t>服务对象满意度</w:t>
      </w:r>
      <w:r>
        <w:rPr>
          <w:rFonts w:asci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000000"/>
          <w:sz w:val="32"/>
          <w:szCs w:val="32"/>
        </w:rPr>
        <w:t>≥95%。</w:t>
      </w:r>
    </w:p>
    <w:p w14:paraId="389151A5">
      <w:pPr>
        <w:numPr>
          <w:ilvl w:val="0"/>
          <w:numId w:val="2"/>
        </w:numPr>
        <w:spacing w:line="560" w:lineRule="exact"/>
        <w:ind w:firstLine="960" w:firstLineChars="300"/>
        <w:outlineLvl w:val="0"/>
        <w:rPr>
          <w:rFonts w:ascii="黑体" w:eastAsia="黑体"/>
          <w:bCs/>
          <w:color w:val="000000"/>
          <w:sz w:val="32"/>
          <w:szCs w:val="32"/>
        </w:rPr>
      </w:pPr>
      <w:r>
        <w:rPr>
          <w:rFonts w:hint="eastAsia" w:ascii="黑体" w:eastAsia="黑体"/>
          <w:bCs/>
          <w:color w:val="000000"/>
          <w:sz w:val="32"/>
          <w:szCs w:val="32"/>
        </w:rPr>
        <w:t>存在问题</w:t>
      </w:r>
    </w:p>
    <w:p w14:paraId="76AAFCBD">
      <w:pPr>
        <w:spacing w:line="560" w:lineRule="exact"/>
        <w:ind w:firstLine="640" w:firstLineChars="200"/>
        <w:outlineLvl w:val="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通过自评发现，</w:t>
      </w:r>
      <w:r>
        <w:rPr>
          <w:rFonts w:hint="eastAsia" w:ascii="Times New Roman" w:eastAsia="仿宋_GB2312"/>
          <w:color w:val="000000"/>
          <w:sz w:val="32"/>
          <w:szCs w:val="32"/>
        </w:rPr>
        <w:t>2023</w:t>
      </w:r>
      <w:r>
        <w:rPr>
          <w:rFonts w:asci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eastAsia="仿宋_GB2312"/>
          <w:color w:val="000000"/>
          <w:sz w:val="32"/>
          <w:szCs w:val="32"/>
        </w:rPr>
        <w:t>胜利路街道</w:t>
      </w:r>
      <w:r>
        <w:rPr>
          <w:rFonts w:ascii="Times New Roman" w:eastAsia="仿宋_GB2312"/>
          <w:color w:val="000000"/>
          <w:sz w:val="32"/>
          <w:szCs w:val="32"/>
        </w:rPr>
        <w:t>在加强预算资金绩效管理方面虽取得了一定的成效，但还存在一些问题和不足，主要表现在：</w:t>
      </w:r>
    </w:p>
    <w:p w14:paraId="74CA8D05">
      <w:pPr>
        <w:adjustRightInd w:val="0"/>
        <w:snapToGrid w:val="0"/>
        <w:spacing w:line="540" w:lineRule="atLeas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1、绩效评价工作机制有待进一步完善，由于在平时工作中未加强对绩效监控工作的重视，绩效监控工作容易滞后，未形成对绩效目标进行监控的习惯。</w:t>
      </w:r>
    </w:p>
    <w:p w14:paraId="2ADE1644">
      <w:pPr>
        <w:numPr>
          <w:ilvl w:val="0"/>
          <w:numId w:val="3"/>
        </w:numPr>
        <w:adjustRightInd w:val="0"/>
        <w:snapToGrid w:val="0"/>
        <w:spacing w:line="540" w:lineRule="atLeas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预算编制工作有待细化。预算编制不够明确和细化，预算编制的合理性需要提高，预算执行力度还要进一步加强。</w:t>
      </w:r>
    </w:p>
    <w:p w14:paraId="20ADD739">
      <w:pPr>
        <w:spacing w:line="560" w:lineRule="exact"/>
        <w:ind w:left="630" w:leftChars="300"/>
        <w:outlineLvl w:val="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五、下一步工作举措</w:t>
      </w:r>
    </w:p>
    <w:p w14:paraId="61DFEF8F">
      <w:pPr>
        <w:adjustRightInd w:val="0"/>
        <w:snapToGrid w:val="0"/>
        <w:spacing w:line="540" w:lineRule="atLeas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1、制定合理的年度工作计划和年度经费支出预算，确保全年经费支出均衡。</w:t>
      </w:r>
    </w:p>
    <w:p w14:paraId="0D4EF9B5">
      <w:pPr>
        <w:adjustRightInd w:val="0"/>
        <w:snapToGrid w:val="0"/>
        <w:spacing w:line="540" w:lineRule="atLeas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2、建立和完善内部控制建设，形成系统的内部财务管理制度。加强对专项资金的管理，按工作要求加快专项资金下达及使用进度，切实发挥资金效益。</w:t>
      </w:r>
    </w:p>
    <w:p w14:paraId="14B3893A">
      <w:pPr>
        <w:adjustRightInd w:val="0"/>
        <w:snapToGrid w:val="0"/>
        <w:spacing w:line="540" w:lineRule="atLeas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3、在今后的日常预算管理过程中，进一步加强对资金的管控能力，加强预算资金的审核及预算执行情况的分析等。</w:t>
      </w:r>
    </w:p>
    <w:p w14:paraId="7203C17B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六、自评依据</w:t>
      </w:r>
    </w:p>
    <w:p w14:paraId="5568C4B6">
      <w:pPr>
        <w:adjustRightInd w:val="0"/>
        <w:snapToGrid w:val="0"/>
        <w:spacing w:line="540" w:lineRule="atLeas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无。</w:t>
      </w:r>
    </w:p>
    <w:p w14:paraId="728A35DA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048AF5D3">
      <w:pPr>
        <w:spacing w:line="600" w:lineRule="exact"/>
        <w:ind w:firstLine="640" w:firstLineChars="200"/>
        <w:rPr>
          <w:rFonts w:ascii="Times New Roman" w:hAnsi="Times New Roman" w:eastAsia="楷体_GB2312"/>
          <w:sz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</w:t>
      </w:r>
      <w:r>
        <w:rPr>
          <w:rFonts w:ascii="Times New Roman" w:hAnsi="Times New Roman" w:eastAsia="仿宋_GB2312"/>
          <w:color w:val="000000"/>
          <w:w w:val="90"/>
          <w:sz w:val="32"/>
          <w:szCs w:val="32"/>
        </w:rPr>
        <w:t>部门整体支出绩效自评表（</w:t>
      </w:r>
      <w:r>
        <w:rPr>
          <w:rFonts w:hint="eastAsia" w:ascii="Times New Roman" w:hAnsi="Times New Roman" w:eastAsia="仿宋_GB2312"/>
          <w:color w:val="000000"/>
          <w:w w:val="90"/>
          <w:sz w:val="32"/>
          <w:szCs w:val="32"/>
        </w:rPr>
        <w:t>从预算管理一体化系统导出</w:t>
      </w:r>
      <w:r>
        <w:rPr>
          <w:rFonts w:ascii="Times New Roman" w:hAnsi="Times New Roman" w:eastAsia="仿宋_GB2312"/>
          <w:color w:val="000000"/>
          <w:w w:val="90"/>
          <w:sz w:val="32"/>
          <w:szCs w:val="32"/>
        </w:rPr>
        <w:t>）</w:t>
      </w:r>
      <w:r>
        <w:rPr>
          <w:rFonts w:hint="eastAsia" w:ascii="Times New Roman" w:hAnsi="Times New Roman" w:eastAsia="仿宋_GB2312"/>
          <w:color w:val="000000"/>
          <w:w w:val="90"/>
          <w:sz w:val="32"/>
          <w:szCs w:val="32"/>
        </w:rPr>
        <w:t>。</w:t>
      </w:r>
    </w:p>
    <w:tbl>
      <w:tblPr>
        <w:tblStyle w:val="6"/>
        <w:tblpPr w:leftFromText="180" w:rightFromText="180" w:vertAnchor="text" w:horzAnchor="page" w:tblpX="494" w:tblpY="813"/>
        <w:tblOverlap w:val="never"/>
        <w:tblW w:w="109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33"/>
        <w:gridCol w:w="222"/>
        <w:gridCol w:w="348"/>
        <w:gridCol w:w="1875"/>
        <w:gridCol w:w="1133"/>
        <w:gridCol w:w="1049"/>
        <w:gridCol w:w="1144"/>
        <w:gridCol w:w="960"/>
        <w:gridCol w:w="604"/>
        <w:gridCol w:w="1095"/>
        <w:gridCol w:w="719"/>
      </w:tblGrid>
      <w:tr w14:paraId="584F3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09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D6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部门（单位）整体支出绩效自评表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（2023年度）</w:t>
            </w:r>
          </w:p>
        </w:tc>
      </w:tr>
      <w:tr w14:paraId="5CFEF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8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F2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部门（单位）名称</w:t>
            </w:r>
          </w:p>
        </w:tc>
        <w:tc>
          <w:tcPr>
            <w:tcW w:w="914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74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051-合肥市瑶海区胜利路街道办事处</w:t>
            </w:r>
          </w:p>
        </w:tc>
      </w:tr>
      <w:tr w14:paraId="6C63F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92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情况</w:t>
            </w:r>
          </w:p>
        </w:tc>
        <w:tc>
          <w:tcPr>
            <w:tcW w:w="10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B8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任务名称</w:t>
            </w:r>
          </w:p>
        </w:tc>
        <w:tc>
          <w:tcPr>
            <w:tcW w:w="244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D9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完成情况</w:t>
            </w:r>
          </w:p>
        </w:tc>
        <w:tc>
          <w:tcPr>
            <w:tcW w:w="11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4F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（A，万元）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B8F3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00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（B，万元）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531E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6D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9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（B/A)</w:t>
            </w:r>
          </w:p>
        </w:tc>
        <w:tc>
          <w:tcPr>
            <w:tcW w:w="7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0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231CA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592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004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4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AA3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DAC2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01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财政拨款</w:t>
            </w:r>
          </w:p>
        </w:tc>
        <w:tc>
          <w:tcPr>
            <w:tcW w:w="11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879F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25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财政拨款</w:t>
            </w:r>
          </w:p>
        </w:tc>
        <w:tc>
          <w:tcPr>
            <w:tcW w:w="6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6EE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F178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752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E73F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E50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7F35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本年财政拨款</w:t>
            </w:r>
          </w:p>
        </w:tc>
        <w:tc>
          <w:tcPr>
            <w:tcW w:w="24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7D4FC5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3E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4769.53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8D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12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4769.53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DF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0764B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3240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C4CE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 w14:paraId="4BFAB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770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1B95C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F6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4769.53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6C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5D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4769.53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D5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0A04A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5F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DD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</w:t>
            </w:r>
          </w:p>
        </w:tc>
      </w:tr>
      <w:tr w14:paraId="07FB3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8696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情况</w:t>
            </w:r>
          </w:p>
        </w:tc>
        <w:tc>
          <w:tcPr>
            <w:tcW w:w="56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92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45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05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年度总体目标完成情况综述</w:t>
            </w:r>
          </w:p>
        </w:tc>
      </w:tr>
      <w:tr w14:paraId="67500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E900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60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28137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完成区委、区政府下达的各类指标和任务，更好的服务辖区居民和企业。改善居住环境和营商环境，提升群众的满意度和幸福感。</w:t>
            </w:r>
          </w:p>
        </w:tc>
        <w:tc>
          <w:tcPr>
            <w:tcW w:w="45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B6111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已完成全年目标任务。</w:t>
            </w:r>
          </w:p>
        </w:tc>
      </w:tr>
      <w:tr w14:paraId="7F762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38916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6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C7F18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A818A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整改的措施与建议:</w:t>
            </w:r>
          </w:p>
        </w:tc>
      </w:tr>
      <w:tr w14:paraId="7E37F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70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情况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25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19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1E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81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86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25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E2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F6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评价得分说明</w:t>
            </w:r>
          </w:p>
        </w:tc>
      </w:tr>
      <w:tr w14:paraId="71932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E59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60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产出指标(50分)</w:t>
            </w:r>
          </w:p>
        </w:tc>
        <w:tc>
          <w:tcPr>
            <w:tcW w:w="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30B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量指标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5B79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保障街道本级和社区人员数量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C0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71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≤2848.67万元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71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4769.53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AE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19.9</w:t>
            </w:r>
          </w:p>
        </w:tc>
        <w:tc>
          <w:tcPr>
            <w:tcW w:w="2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1C21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指标值为年初预算数，实际完成值含区直各部门拨付的专项资金</w:t>
            </w:r>
          </w:p>
        </w:tc>
      </w:tr>
      <w:tr w14:paraId="4B825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162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41288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4F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3341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经费支出合规性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02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6A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合规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28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9E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23237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653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6B6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D2E9D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3FA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C27B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经费支出时效性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90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92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2023年12月底前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3D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8F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61AC7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C81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7A1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A3730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16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2BE1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F4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4A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＝3497.48万元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E7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4769.53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5F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</w:t>
            </w:r>
          </w:p>
        </w:tc>
        <w:tc>
          <w:tcPr>
            <w:tcW w:w="2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F45B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指标值为年初预算数，实际完成值含区直各部门拨付的专项资金</w:t>
            </w:r>
          </w:p>
        </w:tc>
      </w:tr>
      <w:tr w14:paraId="5BF0F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5B5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D6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效益指标(30分)</w:t>
            </w:r>
          </w:p>
        </w:tc>
        <w:tc>
          <w:tcPr>
            <w:tcW w:w="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FAC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7569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保障辖区经济持续有力发展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0D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73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程度明显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98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2F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8C3853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F1B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BF2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B1E02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A29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26D9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对维护城市市容环境秩序，树立城市形象的提升度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5B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A2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程度明显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D0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81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C51C2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4DD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F62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9669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91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3B96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本指标不适用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CE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E6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本指标不适用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B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不适用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82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0435B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862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6AA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B847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CA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0DD1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对增强商户和市民爱护环境、遵守城市管理秩序意识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A8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BF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程度明显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1C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7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909C70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743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34C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F78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满意度指标(10分)</w:t>
            </w:r>
          </w:p>
        </w:tc>
        <w:tc>
          <w:tcPr>
            <w:tcW w:w="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9D7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698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3D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8A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BA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C5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82F94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B5A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5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35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CA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DB7A59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F1C694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E1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99.70</w:t>
            </w:r>
          </w:p>
        </w:tc>
        <w:tc>
          <w:tcPr>
            <w:tcW w:w="2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40A1E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E31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13A3FF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B20351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9C9003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16323D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3D714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3F9CB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D2A8C8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659472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E1363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A27E33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FA4703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3E9CA8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418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CC8E1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13C432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012195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F76F20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69B30A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0E060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52ED5F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B44608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8BD26B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F32E7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8FE694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D20CA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AF1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68449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321F1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B0693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C342D1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49D9D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94E1D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327BC8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3A899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FE9FD2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D005C2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339A6B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CED151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134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4EB441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BC6FA8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B7FD6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80F0FB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C105B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A6934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75CD2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374DF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E5B810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2DE490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412CBF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F97170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0D2D0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1F9B82"/>
    <w:multiLevelType w:val="singleLevel"/>
    <w:tmpl w:val="951F9B8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2136701"/>
    <w:multiLevelType w:val="singleLevel"/>
    <w:tmpl w:val="D213670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E0E896A"/>
    <w:multiLevelType w:val="singleLevel"/>
    <w:tmpl w:val="0E0E896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Y4NGVkY2JkMjVmYjYxZGJmMzBmMGRmM2Q2ZWY1Y2EifQ=="/>
  </w:docVars>
  <w:rsids>
    <w:rsidRoot w:val="070A0D00"/>
    <w:rsid w:val="00083A09"/>
    <w:rsid w:val="003A42C7"/>
    <w:rsid w:val="004653B0"/>
    <w:rsid w:val="0057280B"/>
    <w:rsid w:val="00637E3C"/>
    <w:rsid w:val="00754692"/>
    <w:rsid w:val="00783272"/>
    <w:rsid w:val="00920C86"/>
    <w:rsid w:val="009463C1"/>
    <w:rsid w:val="00AD119D"/>
    <w:rsid w:val="00BA7A24"/>
    <w:rsid w:val="00CC7114"/>
    <w:rsid w:val="00F07DC9"/>
    <w:rsid w:val="00F75A8A"/>
    <w:rsid w:val="070A0D00"/>
    <w:rsid w:val="08852948"/>
    <w:rsid w:val="107256A7"/>
    <w:rsid w:val="13AC5B97"/>
    <w:rsid w:val="14BD7AE5"/>
    <w:rsid w:val="17FF0AEC"/>
    <w:rsid w:val="1C7F7983"/>
    <w:rsid w:val="22BE6D2B"/>
    <w:rsid w:val="26013AFE"/>
    <w:rsid w:val="2E3B56D4"/>
    <w:rsid w:val="31F03E72"/>
    <w:rsid w:val="32B20AAA"/>
    <w:rsid w:val="3EF06066"/>
    <w:rsid w:val="432971DB"/>
    <w:rsid w:val="48DB1B35"/>
    <w:rsid w:val="4AE42F23"/>
    <w:rsid w:val="4BD27220"/>
    <w:rsid w:val="4D022FAA"/>
    <w:rsid w:val="50373AF5"/>
    <w:rsid w:val="55E00570"/>
    <w:rsid w:val="5F5515FA"/>
    <w:rsid w:val="67900263"/>
    <w:rsid w:val="6AAC1445"/>
    <w:rsid w:val="74C34D42"/>
    <w:rsid w:val="7A035414"/>
    <w:rsid w:val="7A0C530A"/>
    <w:rsid w:val="7A456C8B"/>
    <w:rsid w:val="7AFB3820"/>
    <w:rsid w:val="7ECD54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3065</Words>
  <Characters>3340</Characters>
  <Lines>19</Lines>
  <Paragraphs>5</Paragraphs>
  <TotalTime>4</TotalTime>
  <ScaleCrop>false</ScaleCrop>
  <LinksUpToDate>false</LinksUpToDate>
  <CharactersWithSpaces>3350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2023-03-13T02:45:00Z</dcterms:created>
  <dc:creator>の、 优酪乳</dc:creator>
  <cp:lastModifiedBy>云淡风清</cp:lastModifiedBy>
  <dcterms:modified xsi:type="dcterms:W3CDTF">2024-09-05T06:33:47Z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5E0CC567813F4267B58C9D0A9FBD4179_13</vt:lpwstr>
  </property>
</Properties>
</file>