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jc w:val="center"/>
        <w:rPr>
          <w:rFonts w:ascii="Times New Roman" w:hAnsi="Times New Roman" w:eastAsia="黑体"/>
          <w:bCs/>
          <w:sz w:val="44"/>
        </w:rPr>
      </w:pPr>
    </w:p>
    <w:p>
      <w:pPr>
        <w:jc w:val="center"/>
        <w:rPr>
          <w:rFonts w:ascii="Times New Roman" w:hAnsi="Times New Roman" w:eastAsia="黑体"/>
          <w:bCs/>
          <w:sz w:val="44"/>
        </w:rPr>
      </w:pPr>
    </w:p>
    <w:p>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spacing w:line="600" w:lineRule="exact"/>
        <w:jc w:val="center"/>
        <w:rPr>
          <w:rFonts w:ascii="Times New Roman" w:hAnsi="Times New Roman" w:eastAsia="方正小标宋简体"/>
          <w:bCs/>
          <w:sz w:val="32"/>
        </w:rPr>
      </w:pPr>
      <w:r>
        <w:rPr>
          <w:rFonts w:ascii="Times New Roman" w:hAnsi="Times New Roman" w:eastAsia="方正小标宋简体"/>
          <w:bCs/>
          <w:sz w:val="32"/>
        </w:rPr>
        <w:t>（参考格式）</w:t>
      </w:r>
    </w:p>
    <w:p>
      <w:pPr>
        <w:jc w:val="center"/>
        <w:rPr>
          <w:rFonts w:ascii="Times New Roman" w:hAnsi="Times New Roman" w:eastAsia="楷体_GB2312"/>
          <w:b/>
          <w:bCs/>
          <w:sz w:val="32"/>
        </w:rPr>
      </w:pPr>
    </w:p>
    <w:p>
      <w:pPr>
        <w:spacing w:before="156" w:beforeLines="50" w:after="156" w:afterLines="50"/>
        <w:ind w:firstLine="614" w:firstLineChars="192"/>
        <w:rPr>
          <w:rFonts w:ascii="Times New Roman" w:hAnsi="Times New Roman" w:eastAsia="楷体_GB2312"/>
          <w:sz w:val="32"/>
        </w:rPr>
      </w:pPr>
    </w:p>
    <w:p>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征迁补偿款     </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城东街道</w:t>
      </w:r>
      <w:r>
        <w:rPr>
          <w:rFonts w:hint="eastAsia" w:ascii="Times New Roman" w:hAnsi="Times New Roman" w:eastAsia="楷体_GB2312"/>
          <w:sz w:val="32"/>
          <w:u w:val="single"/>
          <w:lang w:val="en-US" w:eastAsia="zh-CN"/>
        </w:rPr>
        <w:t xml:space="preserve">办事处   </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张磊</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rPr>
      </w:pPr>
    </w:p>
    <w:p>
      <w:pPr>
        <w:ind w:firstLine="614" w:firstLineChars="192"/>
        <w:jc w:val="center"/>
        <w:rPr>
          <w:rFonts w:ascii="Times New Roman" w:hAnsi="Times New Roman" w:eastAsia="楷体_GB2312"/>
          <w:sz w:val="32"/>
        </w:rPr>
      </w:pPr>
    </w:p>
    <w:p>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4</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2023</w:t>
      </w:r>
      <w:r>
        <w:rPr>
          <w:rFonts w:ascii="Times New Roman" w:hAnsi="Times New Roman" w:eastAsia="方正小标宋简体"/>
          <w:bCs/>
          <w:sz w:val="44"/>
          <w:szCs w:val="24"/>
        </w:rPr>
        <w:t>年</w:t>
      </w:r>
      <w:r>
        <w:rPr>
          <w:rFonts w:hint="eastAsia" w:ascii="Times New Roman" w:hAnsi="Times New Roman" w:eastAsia="方正小标宋简体"/>
          <w:bCs/>
          <w:sz w:val="44"/>
          <w:szCs w:val="24"/>
          <w:lang w:val="en-US" w:eastAsia="zh-CN"/>
        </w:rPr>
        <w:t>征迁补偿款</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pPr>
        <w:spacing w:line="580" w:lineRule="exact"/>
        <w:jc w:val="center"/>
        <w:rPr>
          <w:rFonts w:ascii="Times New Roman" w:hAnsi="Times New Roman" w:eastAsia="仿宋_GB2312"/>
          <w:bCs/>
          <w:sz w:val="32"/>
          <w:szCs w:val="32"/>
        </w:rPr>
      </w:pPr>
    </w:p>
    <w:p>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pPr>
        <w:widowControl/>
        <w:spacing w:line="560" w:lineRule="exact"/>
        <w:ind w:firstLine="640" w:firstLineChars="200"/>
        <w:rPr>
          <w:rFonts w:hint="eastAsia" w:ascii="Times New Roman" w:hAnsi="Times New Roman" w:eastAsia="仿宋_GB2312"/>
          <w:snapToGrid w:val="0"/>
          <w:color w:val="000000"/>
          <w:sz w:val="32"/>
          <w:szCs w:val="32"/>
          <w:lang w:eastAsia="zh-CN"/>
        </w:rPr>
      </w:pPr>
      <w:r>
        <w:rPr>
          <w:rFonts w:hint="eastAsia" w:ascii="Times New Roman" w:hAnsi="Times New Roman" w:eastAsia="仿宋_GB2312"/>
          <w:snapToGrid w:val="0"/>
          <w:color w:val="000000"/>
          <w:sz w:val="32"/>
          <w:szCs w:val="32"/>
          <w:lang w:eastAsia="zh-CN"/>
        </w:rPr>
        <w:t>区长办公会议通过城东街道集体土地城中村征迁实施方案。</w:t>
      </w:r>
    </w:p>
    <w:p>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pPr>
        <w:widowControl/>
        <w:spacing w:line="56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区征收办确认城东街道集体土地城中村改造征收范围内房屋按照集体土地上房屋征收规定执行。</w:t>
      </w:r>
      <w:r>
        <w:rPr>
          <w:rFonts w:hint="eastAsia" w:ascii="Times New Roman" w:hAnsi="Times New Roman" w:eastAsia="仿宋_GB2312" w:cs="Times New Roman"/>
          <w:snapToGrid w:val="0"/>
          <w:color w:val="000000"/>
          <w:sz w:val="32"/>
          <w:szCs w:val="32"/>
          <w:lang w:val="en-US" w:eastAsia="zh-CN"/>
        </w:rPr>
        <w:t>征迁补偿款</w:t>
      </w:r>
      <w:r>
        <w:rPr>
          <w:rFonts w:hint="eastAsia" w:ascii="Times New Roman" w:hAnsi="Times New Roman" w:eastAsia="仿宋_GB2312" w:cs="Times New Roman"/>
          <w:snapToGrid w:val="0"/>
          <w:color w:val="000000"/>
          <w:sz w:val="32"/>
          <w:szCs w:val="32"/>
        </w:rPr>
        <w:t>项目202</w:t>
      </w:r>
      <w:r>
        <w:rPr>
          <w:rFonts w:ascii="Times New Roman" w:hAnsi="Times New Roman" w:eastAsia="仿宋_GB2312" w:cs="Times New Roman"/>
          <w:snapToGrid w:val="0"/>
          <w:color w:val="000000"/>
          <w:sz w:val="32"/>
          <w:szCs w:val="32"/>
        </w:rPr>
        <w:t>3</w:t>
      </w:r>
      <w:r>
        <w:rPr>
          <w:rFonts w:hint="eastAsia" w:ascii="Times New Roman" w:hAnsi="Times New Roman" w:eastAsia="仿宋_GB2312" w:cs="Times New Roman"/>
          <w:snapToGrid w:val="0"/>
          <w:color w:val="000000"/>
          <w:sz w:val="32"/>
          <w:szCs w:val="32"/>
        </w:rPr>
        <w:t>年度预算批复为</w:t>
      </w:r>
      <w:r>
        <w:rPr>
          <w:rFonts w:hint="eastAsia" w:ascii="Times New Roman" w:hAnsi="Times New Roman" w:eastAsia="仿宋_GB2312" w:cs="Times New Roman"/>
          <w:snapToGrid w:val="0"/>
          <w:color w:val="000000"/>
          <w:sz w:val="32"/>
          <w:szCs w:val="32"/>
          <w:lang w:val="en-US" w:eastAsia="zh-CN"/>
        </w:rPr>
        <w:t>12612.287</w:t>
      </w:r>
      <w:r>
        <w:rPr>
          <w:rFonts w:hint="eastAsia" w:ascii="Times New Roman" w:hAnsi="Times New Roman" w:eastAsia="仿宋_GB2312" w:cs="Times New Roman"/>
          <w:snapToGrid w:val="0"/>
          <w:color w:val="000000"/>
          <w:sz w:val="32"/>
          <w:szCs w:val="32"/>
        </w:rPr>
        <w:t>万元，年中预算调整</w:t>
      </w:r>
      <w:r>
        <w:rPr>
          <w:rFonts w:ascii="Times New Roman" w:hAnsi="Times New Roman" w:eastAsia="仿宋_GB2312" w:cs="Times New Roman"/>
          <w:snapToGrid w:val="0"/>
          <w:color w:val="000000"/>
          <w:sz w:val="32"/>
          <w:szCs w:val="32"/>
        </w:rPr>
        <w:t>0</w:t>
      </w:r>
      <w:r>
        <w:rPr>
          <w:rFonts w:hint="eastAsia" w:ascii="Times New Roman" w:hAnsi="Times New Roman" w:eastAsia="仿宋_GB2312" w:cs="Times New Roman"/>
          <w:snapToGrid w:val="0"/>
          <w:color w:val="000000"/>
          <w:sz w:val="32"/>
          <w:szCs w:val="32"/>
        </w:rPr>
        <w:t>万元,实际支出总额为</w:t>
      </w:r>
      <w:r>
        <w:rPr>
          <w:rFonts w:hint="eastAsia" w:ascii="Times New Roman" w:hAnsi="Times New Roman" w:eastAsia="仿宋_GB2312" w:cs="Times New Roman"/>
          <w:snapToGrid w:val="0"/>
          <w:color w:val="000000"/>
          <w:sz w:val="32"/>
          <w:szCs w:val="32"/>
          <w:lang w:val="en-US" w:eastAsia="zh-CN"/>
        </w:rPr>
        <w:t>12612.287</w:t>
      </w:r>
      <w:r>
        <w:rPr>
          <w:rFonts w:hint="eastAsia" w:ascii="Times New Roman" w:hAnsi="Times New Roman" w:eastAsia="仿宋_GB2312" w:cs="Times New Roman"/>
          <w:snapToGrid w:val="0"/>
          <w:color w:val="000000"/>
          <w:sz w:val="32"/>
          <w:szCs w:val="32"/>
        </w:rPr>
        <w:t>万元，预算执行率为100%。</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pPr>
        <w:spacing w:line="560" w:lineRule="exact"/>
        <w:ind w:firstLine="646" w:firstLineChars="202"/>
        <w:rPr>
          <w:rFonts w:hint="eastAsia" w:ascii="Times New Roman" w:hAnsi="Times New Roman" w:eastAsia="仿宋_GB2312"/>
          <w:snapToGrid w:val="0"/>
          <w:color w:val="000000"/>
          <w:sz w:val="32"/>
          <w:szCs w:val="32"/>
        </w:rPr>
      </w:pPr>
      <w:r>
        <w:rPr>
          <w:rFonts w:hint="eastAsia" w:ascii="Times New Roman" w:hAnsi="Times New Roman" w:eastAsia="仿宋_GB2312"/>
          <w:snapToGrid w:val="0"/>
          <w:color w:val="000000"/>
          <w:sz w:val="32"/>
          <w:szCs w:val="32"/>
        </w:rPr>
        <w:t>1.项目年度总体目标</w:t>
      </w:r>
    </w:p>
    <w:p>
      <w:pPr>
        <w:spacing w:line="560" w:lineRule="exact"/>
        <w:ind w:firstLine="646" w:firstLineChars="202"/>
        <w:rPr>
          <w:rFonts w:hint="eastAsia" w:ascii="Times New Roman" w:hAnsi="Times New Roman" w:eastAsia="仿宋_GB2312"/>
          <w:snapToGrid w:val="0"/>
          <w:color w:val="000000"/>
          <w:sz w:val="32"/>
          <w:szCs w:val="32"/>
          <w:lang w:val="en-US" w:eastAsia="zh-CN"/>
        </w:rPr>
      </w:pPr>
      <w:r>
        <w:rPr>
          <w:rFonts w:hint="eastAsia" w:ascii="Times New Roman" w:hAnsi="Times New Roman" w:eastAsia="仿宋_GB2312"/>
          <w:snapToGrid w:val="0"/>
          <w:color w:val="000000"/>
          <w:sz w:val="32"/>
          <w:szCs w:val="32"/>
          <w:lang w:val="en-US"/>
        </w:rPr>
        <w:t>申请财政资金用于</w:t>
      </w:r>
      <w:r>
        <w:rPr>
          <w:rFonts w:hint="eastAsia" w:ascii="Times New Roman" w:hAnsi="Times New Roman" w:eastAsia="仿宋_GB2312"/>
          <w:snapToGrid w:val="0"/>
          <w:color w:val="000000"/>
          <w:sz w:val="32"/>
          <w:szCs w:val="32"/>
          <w:lang w:val="en-US" w:eastAsia="zh-CN"/>
        </w:rPr>
        <w:t>拆迁户货币化补偿及相关费用</w:t>
      </w:r>
      <w:r>
        <w:rPr>
          <w:rFonts w:hint="eastAsia" w:ascii="Times New Roman" w:hAnsi="Times New Roman" w:eastAsia="仿宋_GB2312"/>
          <w:snapToGrid w:val="0"/>
          <w:color w:val="000000"/>
          <w:sz w:val="32"/>
          <w:szCs w:val="32"/>
          <w:lang w:val="en-US"/>
        </w:rPr>
        <w:t>发放</w:t>
      </w:r>
      <w:r>
        <w:rPr>
          <w:rFonts w:hint="eastAsia" w:ascii="Times New Roman" w:hAnsi="Times New Roman" w:eastAsia="仿宋_GB2312"/>
          <w:snapToGrid w:val="0"/>
          <w:color w:val="000000"/>
          <w:sz w:val="32"/>
          <w:szCs w:val="32"/>
          <w:lang w:val="en-US" w:eastAsia="zh-CN"/>
        </w:rPr>
        <w:t>，该项目消除了城中村基础设差、存在安全隐患的问题</w:t>
      </w:r>
      <w:r>
        <w:rPr>
          <w:rFonts w:hint="eastAsia" w:ascii="Times New Roman" w:hAnsi="Times New Roman" w:eastAsia="仿宋_GB2312"/>
          <w:snapToGrid w:val="0"/>
          <w:color w:val="000000"/>
          <w:sz w:val="32"/>
          <w:szCs w:val="32"/>
          <w:lang w:val="en-US"/>
        </w:rPr>
        <w:t>，为提高</w:t>
      </w:r>
      <w:r>
        <w:rPr>
          <w:rFonts w:hint="eastAsia" w:ascii="Times New Roman" w:hAnsi="Times New Roman" w:eastAsia="仿宋_GB2312"/>
          <w:snapToGrid w:val="0"/>
          <w:color w:val="000000"/>
          <w:sz w:val="32"/>
          <w:szCs w:val="32"/>
          <w:lang w:val="en-US" w:eastAsia="zh-CN"/>
        </w:rPr>
        <w:t>周边居住环境和改善城市面貌</w:t>
      </w:r>
      <w:r>
        <w:rPr>
          <w:rFonts w:hint="eastAsia" w:ascii="Times New Roman" w:hAnsi="Times New Roman" w:eastAsia="仿宋_GB2312"/>
          <w:snapToGrid w:val="0"/>
          <w:color w:val="000000"/>
          <w:sz w:val="32"/>
          <w:szCs w:val="32"/>
          <w:lang w:val="en-US"/>
        </w:rPr>
        <w:t>起到积极的促进作用</w:t>
      </w:r>
      <w:r>
        <w:rPr>
          <w:rFonts w:hint="eastAsia" w:ascii="Times New Roman" w:hAnsi="Times New Roman" w:eastAsia="仿宋_GB2312"/>
          <w:snapToGrid w:val="0"/>
          <w:color w:val="000000"/>
          <w:sz w:val="32"/>
          <w:szCs w:val="32"/>
          <w:lang w:val="en-US" w:eastAsia="zh-CN"/>
        </w:rPr>
        <w:t>。</w:t>
      </w:r>
    </w:p>
    <w:p>
      <w:pPr>
        <w:spacing w:line="560" w:lineRule="exact"/>
        <w:ind w:firstLine="646" w:firstLineChars="202"/>
        <w:rPr>
          <w:rFonts w:hint="eastAsia" w:ascii="Times New Roman" w:hAnsi="Times New Roman" w:eastAsia="仿宋_GB2312"/>
          <w:snapToGrid w:val="0"/>
          <w:color w:val="000000"/>
          <w:sz w:val="32"/>
          <w:szCs w:val="32"/>
        </w:rPr>
      </w:pPr>
      <w:r>
        <w:rPr>
          <w:rFonts w:hint="eastAsia" w:ascii="Times New Roman" w:hAnsi="Times New Roman" w:eastAsia="仿宋_GB2312"/>
          <w:snapToGrid w:val="0"/>
          <w:color w:val="000000"/>
          <w:sz w:val="32"/>
          <w:szCs w:val="32"/>
        </w:rPr>
        <w:t>总体目标完成情况</w:t>
      </w:r>
    </w:p>
    <w:p>
      <w:pPr>
        <w:widowControl/>
        <w:spacing w:line="600" w:lineRule="exact"/>
        <w:ind w:firstLine="640" w:firstLineChars="200"/>
        <w:rPr>
          <w:rFonts w:hint="eastAsia" w:ascii="Times New Roman" w:hAnsi="Times New Roman" w:eastAsia="仿宋_GB2312"/>
          <w:snapToGrid w:val="0"/>
          <w:color w:val="000000"/>
          <w:sz w:val="32"/>
          <w:szCs w:val="32"/>
          <w:lang w:val="en-US"/>
        </w:rPr>
      </w:pPr>
      <w:r>
        <w:rPr>
          <w:rFonts w:hint="eastAsia" w:ascii="Times New Roman" w:hAnsi="Times New Roman" w:eastAsia="仿宋_GB2312"/>
          <w:snapToGrid w:val="0"/>
          <w:color w:val="000000"/>
          <w:sz w:val="32"/>
          <w:szCs w:val="32"/>
          <w:lang w:val="en-US"/>
        </w:rPr>
        <w:t>经费主要用于</w:t>
      </w:r>
      <w:r>
        <w:rPr>
          <w:rFonts w:hint="eastAsia" w:ascii="Times New Roman" w:hAnsi="Times New Roman" w:eastAsia="仿宋_GB2312"/>
          <w:snapToGrid w:val="0"/>
          <w:color w:val="000000"/>
          <w:sz w:val="32"/>
          <w:szCs w:val="32"/>
          <w:lang w:val="en-US" w:eastAsia="zh-CN"/>
        </w:rPr>
        <w:t>产权收购费用</w:t>
      </w:r>
      <w:r>
        <w:rPr>
          <w:rFonts w:hint="eastAsia" w:ascii="Times New Roman" w:hAnsi="Times New Roman" w:eastAsia="仿宋_GB2312"/>
          <w:snapToGrid w:val="0"/>
          <w:color w:val="000000"/>
          <w:sz w:val="32"/>
          <w:szCs w:val="32"/>
          <w:lang w:val="en-US"/>
        </w:rPr>
        <w:t>发放，</w:t>
      </w:r>
      <w:r>
        <w:rPr>
          <w:rFonts w:hint="eastAsia" w:ascii="Times New Roman" w:hAnsi="Times New Roman" w:eastAsia="仿宋_GB2312"/>
          <w:snapToGrid w:val="0"/>
          <w:color w:val="000000"/>
          <w:sz w:val="32"/>
          <w:szCs w:val="32"/>
          <w:lang w:val="en-US" w:eastAsia="zh-CN"/>
        </w:rPr>
        <w:t>解除了城中村居民的居住安全隐患，保障了居民的生命财产安全</w:t>
      </w:r>
      <w:r>
        <w:rPr>
          <w:rFonts w:hint="eastAsia" w:ascii="Times New Roman" w:hAnsi="Times New Roman" w:eastAsia="仿宋_GB2312"/>
          <w:snapToGrid w:val="0"/>
          <w:color w:val="000000"/>
          <w:sz w:val="32"/>
          <w:szCs w:val="32"/>
          <w:lang w:val="en-US"/>
        </w:rPr>
        <w:t>。经费能按时、按进度支付，全年目标已完成。</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pPr>
        <w:widowControl/>
        <w:spacing w:line="600" w:lineRule="exact"/>
        <w:ind w:firstLine="643" w:firstLineChars="200"/>
        <w:rPr>
          <w:rFonts w:hint="eastAsia" w:ascii="Times New Roman" w:hAnsi="Times New Roman" w:eastAsia="楷体_GB2312"/>
          <w:b/>
          <w:color w:val="000000"/>
          <w:sz w:val="32"/>
          <w:szCs w:val="32"/>
        </w:rPr>
      </w:pPr>
      <w:r>
        <w:rPr>
          <w:rFonts w:hint="eastAsia" w:ascii="Times New Roman" w:hAnsi="Times New Roman" w:eastAsia="楷体_GB2312"/>
          <w:b/>
          <w:color w:val="000000"/>
          <w:sz w:val="32"/>
          <w:szCs w:val="32"/>
          <w:lang w:eastAsia="zh-CN"/>
        </w:rPr>
        <w:t>（</w:t>
      </w:r>
      <w:r>
        <w:rPr>
          <w:rFonts w:hint="eastAsia" w:ascii="Times New Roman" w:hAnsi="Times New Roman" w:eastAsia="楷体_GB2312"/>
          <w:b/>
          <w:color w:val="000000"/>
          <w:sz w:val="32"/>
          <w:szCs w:val="32"/>
          <w:lang w:val="en-US" w:eastAsia="zh-CN"/>
        </w:rPr>
        <w:t>一</w:t>
      </w:r>
      <w:r>
        <w:rPr>
          <w:rFonts w:hint="eastAsia" w:ascii="Times New Roman" w:hAnsi="Times New Roman" w:eastAsia="楷体_GB2312"/>
          <w:b/>
          <w:color w:val="000000"/>
          <w:sz w:val="32"/>
          <w:szCs w:val="32"/>
          <w:lang w:eastAsia="zh-CN"/>
        </w:rPr>
        <w:t>）</w:t>
      </w:r>
      <w:r>
        <w:rPr>
          <w:rFonts w:hint="eastAsia" w:ascii="Times New Roman" w:hAnsi="Times New Roman" w:eastAsia="楷体_GB2312"/>
          <w:b/>
          <w:color w:val="000000"/>
          <w:sz w:val="32"/>
          <w:szCs w:val="32"/>
        </w:rPr>
        <w:t>总体结论</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2023</w:t>
      </w:r>
      <w:r>
        <w:rPr>
          <w:rFonts w:ascii="Times New Roman" w:hAnsi="Times New Roman" w:eastAsia="仿宋_GB2312"/>
          <w:sz w:val="32"/>
          <w:szCs w:val="32"/>
        </w:rPr>
        <w:t>年度，</w:t>
      </w:r>
      <w:r>
        <w:rPr>
          <w:rFonts w:hint="eastAsia" w:ascii="Times New Roman" w:hAnsi="Times New Roman" w:eastAsia="仿宋_GB2312"/>
          <w:sz w:val="32"/>
          <w:szCs w:val="32"/>
          <w:lang w:val="en-US" w:eastAsia="zh-CN"/>
        </w:rPr>
        <w:t>征迁补偿款</w:t>
      </w:r>
      <w:r>
        <w:rPr>
          <w:rFonts w:ascii="Times New Roman" w:hAnsi="Times New Roman" w:eastAsia="仿宋_GB2312"/>
          <w:color w:val="000000"/>
          <w:sz w:val="32"/>
          <w:szCs w:val="32"/>
        </w:rPr>
        <w:t>项目通过申请财政资金</w:t>
      </w:r>
      <w:r>
        <w:rPr>
          <w:rFonts w:hint="eastAsia" w:ascii="Times New Roman" w:hAnsi="Times New Roman" w:eastAsia="仿宋_GB2312" w:cs="Times New Roman"/>
          <w:snapToGrid w:val="0"/>
          <w:color w:val="000000"/>
          <w:sz w:val="32"/>
          <w:szCs w:val="32"/>
          <w:lang w:val="en-US" w:eastAsia="zh-CN"/>
        </w:rPr>
        <w:t>12612.287</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完成产权收购费用发放、过渡费发放等相关征迁工作，</w:t>
      </w:r>
      <w:r>
        <w:rPr>
          <w:rFonts w:ascii="Times New Roman" w:hAnsi="Times New Roman" w:eastAsia="仿宋_GB2312"/>
          <w:color w:val="000000"/>
          <w:sz w:val="32"/>
          <w:szCs w:val="32"/>
        </w:rPr>
        <w:t>已完成年度设定的绩效目标，达到项目预期效果。</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lang w:eastAsia="zh-CN"/>
        </w:rPr>
        <w:t>2023</w:t>
      </w:r>
      <w:r>
        <w:rPr>
          <w:rFonts w:ascii="Times New Roman" w:hAnsi="Times New Roman" w:eastAsia="仿宋_GB2312"/>
          <w:color w:val="000000"/>
          <w:sz w:val="32"/>
          <w:szCs w:val="32"/>
        </w:rPr>
        <w:t>年度</w:t>
      </w:r>
      <w:r>
        <w:rPr>
          <w:rFonts w:hint="eastAsia" w:ascii="Times New Roman" w:hAnsi="Times New Roman" w:eastAsia="仿宋_GB2312"/>
          <w:sz w:val="32"/>
          <w:szCs w:val="32"/>
          <w:lang w:val="en-US" w:eastAsia="zh-CN"/>
        </w:rPr>
        <w:t>征迁补偿款</w:t>
      </w:r>
      <w:r>
        <w:rPr>
          <w:rFonts w:ascii="Times New Roman" w:hAnsi="Times New Roman" w:eastAsia="仿宋_GB2312"/>
          <w:sz w:val="32"/>
          <w:szCs w:val="32"/>
        </w:rPr>
        <w:t>项目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sz w:val="32"/>
          <w:szCs w:val="32"/>
          <w:lang w:val="en-US" w:eastAsia="zh-CN"/>
        </w:rPr>
        <w:t>优</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黑体"/>
          <w:color w:val="000000"/>
          <w:sz w:val="32"/>
          <w:szCs w:val="32"/>
        </w:rPr>
        <w:t>三、指标分析</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项目绩效自评指标体系共设置3个一级指标，</w:t>
      </w:r>
      <w:r>
        <w:rPr>
          <w:rFonts w:hint="eastAsia" w:ascii="Times New Roman" w:hAnsi="Times New Roman" w:eastAsia="仿宋_GB2312" w:cs="Times New Roman"/>
          <w:snapToGrid w:val="0"/>
          <w:color w:val="000000"/>
          <w:sz w:val="32"/>
          <w:szCs w:val="32"/>
          <w:lang w:val="en-US" w:eastAsia="zh-CN"/>
        </w:rPr>
        <w:t>9</w:t>
      </w:r>
      <w:r>
        <w:rPr>
          <w:rFonts w:hint="eastAsia" w:ascii="Times New Roman" w:hAnsi="Times New Roman" w:eastAsia="仿宋_GB2312" w:cs="Times New Roman"/>
          <w:snapToGrid w:val="0"/>
          <w:color w:val="000000"/>
          <w:sz w:val="32"/>
          <w:szCs w:val="32"/>
        </w:rPr>
        <w:t>个二级指标，9个三级指标，各项指标评分情况分析如下：</w:t>
      </w:r>
    </w:p>
    <w:p>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征迁补偿款</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全年预算安排</w:t>
      </w:r>
      <w:r>
        <w:rPr>
          <w:rFonts w:hint="eastAsia" w:ascii="Times New Roman" w:hAnsi="Times New Roman" w:eastAsia="仿宋_GB2312" w:cs="Times New Roman"/>
          <w:snapToGrid w:val="0"/>
          <w:color w:val="000000"/>
          <w:sz w:val="32"/>
          <w:szCs w:val="32"/>
          <w:lang w:val="en-US" w:eastAsia="zh-CN"/>
        </w:rPr>
        <w:t>12612.287</w:t>
      </w:r>
      <w:r>
        <w:rPr>
          <w:rFonts w:ascii="Times New Roman" w:hAnsi="Times New Roman" w:eastAsia="仿宋_GB2312"/>
          <w:color w:val="000000"/>
          <w:sz w:val="32"/>
          <w:szCs w:val="32"/>
        </w:rPr>
        <w:t>万元，全年执行</w:t>
      </w:r>
      <w:r>
        <w:rPr>
          <w:rFonts w:hint="eastAsia" w:ascii="Times New Roman" w:hAnsi="Times New Roman" w:eastAsia="仿宋_GB2312" w:cs="Times New Roman"/>
          <w:snapToGrid w:val="0"/>
          <w:color w:val="000000"/>
          <w:sz w:val="32"/>
          <w:szCs w:val="32"/>
          <w:lang w:val="en-US" w:eastAsia="zh-CN"/>
        </w:rPr>
        <w:t>12612.287</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13</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保障社区数量3个</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已保障社区数量3个，</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bookmarkStart w:id="0" w:name="_GoBack"/>
      <w:bookmarkEnd w:id="0"/>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年度设定的时效指标为</w:t>
      </w:r>
      <w:r>
        <w:rPr>
          <w:rFonts w:hint="eastAsia" w:ascii="Times New Roman" w:hAnsi="Times New Roman" w:eastAsia="仿宋_GB2312"/>
          <w:color w:val="000000"/>
          <w:sz w:val="32"/>
          <w:szCs w:val="32"/>
          <w:lang w:val="en-US" w:eastAsia="zh-CN"/>
        </w:rPr>
        <w:t>及时发放资金</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资金全部及时发放</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val="en-US" w:eastAsia="zh-CN"/>
        </w:rPr>
        <w:t>征迁工作完成情况保质保量</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保质保量完成了征迁工作</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ascii="Times New Roman" w:hAnsi="Times New Roman" w:eastAsia="仿宋_GB2312"/>
          <w:sz w:val="32"/>
          <w:szCs w:val="32"/>
        </w:rPr>
        <w:tab/>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000000"/>
          <w:sz w:val="32"/>
          <w:szCs w:val="32"/>
          <w:lang w:val="en-US" w:eastAsia="zh-CN"/>
        </w:rPr>
        <w:t>成本使用情况要节约合理</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节约合理地使用了资金</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8</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8</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8</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8</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分）</w:t>
      </w:r>
    </w:p>
    <w:p>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pPr>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通过评价发现，项目实施虽取得了一定的成效，但还存在一些问题和不足，主要表现在宣传力度不够。</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为进一步提高专项资金使用效益，针对存在的问题，提出如下建议：加强</w:t>
      </w:r>
      <w:r>
        <w:rPr>
          <w:rFonts w:hint="eastAsia" w:ascii="Times New Roman" w:hAnsi="Times New Roman" w:eastAsia="仿宋_GB2312"/>
          <w:color w:val="000000"/>
          <w:sz w:val="32"/>
          <w:szCs w:val="32"/>
          <w:lang w:eastAsia="zh-CN"/>
        </w:rPr>
        <w:t>宣传</w:t>
      </w:r>
      <w:r>
        <w:rPr>
          <w:rFonts w:hint="eastAsia" w:ascii="Times New Roman" w:hAnsi="Times New Roman" w:eastAsia="仿宋_GB2312"/>
          <w:color w:val="000000"/>
          <w:sz w:val="32"/>
          <w:szCs w:val="32"/>
        </w:rPr>
        <w:t>，进一步提高居民的满意率和支持率。</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瑶海区住建局</w:t>
      </w:r>
      <w:r>
        <w:rPr>
          <w:rFonts w:hint="eastAsia" w:ascii="Times New Roman" w:hAnsi="Times New Roman" w:eastAsia="仿宋_GB2312"/>
          <w:color w:val="000000"/>
          <w:sz w:val="32"/>
          <w:szCs w:val="32"/>
        </w:rPr>
        <w:t>关于</w:t>
      </w:r>
      <w:r>
        <w:rPr>
          <w:rFonts w:hint="eastAsia" w:ascii="Times New Roman" w:hAnsi="Times New Roman" w:eastAsia="仿宋_GB2312"/>
          <w:color w:val="000000"/>
          <w:sz w:val="32"/>
          <w:szCs w:val="32"/>
          <w:lang w:eastAsia="zh-CN"/>
        </w:rPr>
        <w:t>《征地补偿安置方案公告》公示等工作的</w:t>
      </w:r>
      <w:r>
        <w:rPr>
          <w:rFonts w:hint="eastAsia" w:ascii="Times New Roman" w:hAnsi="Times New Roman" w:eastAsia="仿宋_GB2312"/>
          <w:color w:val="000000"/>
          <w:sz w:val="32"/>
          <w:szCs w:val="32"/>
        </w:rPr>
        <w:t>通知</w:t>
      </w:r>
      <w:r>
        <w:rPr>
          <w:rFonts w:hint="eastAsia" w:ascii="Times New Roman" w:hAnsi="Times New Roman" w:eastAsia="仿宋_GB2312"/>
          <w:color w:val="000000"/>
          <w:sz w:val="32"/>
          <w:szCs w:val="32"/>
          <w:lang w:eastAsia="zh-CN"/>
        </w:rPr>
        <w:t>。</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从一体化系统导出</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w:t>
      </w:r>
      <w:r>
        <w:rPr>
          <w:rFonts w:ascii="Times New Roman" w:hAnsi="Times New Roman" w:eastAsia="仿宋_GB2312"/>
          <w:color w:val="000000"/>
          <w:sz w:val="32"/>
          <w:szCs w:val="32"/>
        </w:rPr>
        <w:t>.与报告相关的其他附件。</w:t>
      </w:r>
    </w:p>
    <w:p>
      <w:pPr>
        <w:widowControl/>
        <w:jc w:val="left"/>
        <w:rPr>
          <w:rFonts w:hint="eastAsia" w:eastAsia="宋体"/>
          <w:lang w:eastAsia="zh-CN"/>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OTliNTJhZjExNDBjN2FlZmNkY2QwY2QxZTM4MGYifQ=="/>
  </w:docVars>
  <w:rsids>
    <w:rsidRoot w:val="00192156"/>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13F4189"/>
    <w:rsid w:val="03165668"/>
    <w:rsid w:val="04387860"/>
    <w:rsid w:val="0BDE0CED"/>
    <w:rsid w:val="130848A2"/>
    <w:rsid w:val="145B7F3B"/>
    <w:rsid w:val="15175270"/>
    <w:rsid w:val="1580063C"/>
    <w:rsid w:val="16C84A74"/>
    <w:rsid w:val="16F716AA"/>
    <w:rsid w:val="17A4103D"/>
    <w:rsid w:val="1BD792BA"/>
    <w:rsid w:val="223B3771"/>
    <w:rsid w:val="27FA6A3D"/>
    <w:rsid w:val="29332221"/>
    <w:rsid w:val="2BA22742"/>
    <w:rsid w:val="2F1B4A9E"/>
    <w:rsid w:val="2FB567F4"/>
    <w:rsid w:val="2FC40521"/>
    <w:rsid w:val="2FFC4CEE"/>
    <w:rsid w:val="32AB7F6C"/>
    <w:rsid w:val="35FE3BB6"/>
    <w:rsid w:val="362A675A"/>
    <w:rsid w:val="39EC3A8B"/>
    <w:rsid w:val="3CFE57A8"/>
    <w:rsid w:val="3D17003D"/>
    <w:rsid w:val="3EB75BFF"/>
    <w:rsid w:val="41FF10FA"/>
    <w:rsid w:val="43751F7C"/>
    <w:rsid w:val="445F7F16"/>
    <w:rsid w:val="44C06BEE"/>
    <w:rsid w:val="53316F22"/>
    <w:rsid w:val="54AB3C68"/>
    <w:rsid w:val="587A4EC7"/>
    <w:rsid w:val="5B2737C9"/>
    <w:rsid w:val="5C736320"/>
    <w:rsid w:val="5E8F794D"/>
    <w:rsid w:val="5F9C8719"/>
    <w:rsid w:val="5FCA6734"/>
    <w:rsid w:val="5FF43F05"/>
    <w:rsid w:val="61A134C4"/>
    <w:rsid w:val="63B219B9"/>
    <w:rsid w:val="64266808"/>
    <w:rsid w:val="69382960"/>
    <w:rsid w:val="6A5617A4"/>
    <w:rsid w:val="6A7C4ACE"/>
    <w:rsid w:val="6CDC1854"/>
    <w:rsid w:val="6CE54BAD"/>
    <w:rsid w:val="6D0D5EB2"/>
    <w:rsid w:val="6DF8D820"/>
    <w:rsid w:val="6FED328C"/>
    <w:rsid w:val="71373859"/>
    <w:rsid w:val="72823F06"/>
    <w:rsid w:val="732453BC"/>
    <w:rsid w:val="736A5E0C"/>
    <w:rsid w:val="779BD1C3"/>
    <w:rsid w:val="79B853F7"/>
    <w:rsid w:val="7AA31C03"/>
    <w:rsid w:val="7B675923"/>
    <w:rsid w:val="7BBCDE22"/>
    <w:rsid w:val="7C39281F"/>
    <w:rsid w:val="7F7B4EFD"/>
    <w:rsid w:val="7F7D9BD7"/>
    <w:rsid w:val="7FE676B3"/>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autoRedefine/>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21"/>
    <w:autoRedefine/>
    <w:qFormat/>
    <w:uiPriority w:val="0"/>
    <w:pPr>
      <w:spacing w:line="560" w:lineRule="atLeast"/>
      <w:ind w:firstLine="567"/>
    </w:pPr>
    <w:rPr>
      <w:rFonts w:asciiTheme="minorHAnsi" w:hAnsiTheme="minorHAnsi" w:eastAsiaTheme="minorEastAsia" w:cstheme="minorBidi"/>
      <w:sz w:val="28"/>
    </w:rPr>
  </w:style>
  <w:style w:type="paragraph" w:styleId="5">
    <w:name w:val="Plain Text"/>
    <w:basedOn w:val="1"/>
    <w:qFormat/>
    <w:uiPriority w:val="99"/>
    <w:pPr>
      <w:jc w:val="left"/>
    </w:pPr>
    <w:rPr>
      <w:rFonts w:ascii="宋体" w:hAnsi="Courier New"/>
      <w:lang w:val="zh-CN"/>
    </w:rPr>
  </w:style>
  <w:style w:type="paragraph" w:styleId="6">
    <w:name w:val="Date"/>
    <w:basedOn w:val="1"/>
    <w:next w:val="1"/>
    <w:link w:val="26"/>
    <w:autoRedefine/>
    <w:qFormat/>
    <w:uiPriority w:val="0"/>
    <w:pPr>
      <w:ind w:left="100" w:leftChars="2500"/>
    </w:pPr>
    <w:rPr>
      <w:rFonts w:ascii="Times New Roman" w:hAnsi="Times New Roman"/>
      <w:szCs w:val="24"/>
    </w:rPr>
  </w:style>
  <w:style w:type="paragraph" w:styleId="7">
    <w:name w:val="Balloon Text"/>
    <w:basedOn w:val="1"/>
    <w:link w:val="25"/>
    <w:autoRedefine/>
    <w:unhideWhenUsed/>
    <w:qFormat/>
    <w:uiPriority w:val="99"/>
    <w:rPr>
      <w:rFonts w:ascii="Times New Roman" w:hAnsi="Times New Roman"/>
      <w:sz w:val="18"/>
      <w:szCs w:val="18"/>
      <w:lang w:val="zh-CN" w:eastAsia="zh-CN"/>
    </w:rPr>
  </w:style>
  <w:style w:type="paragraph" w:styleId="8">
    <w:name w:val="footer"/>
    <w:basedOn w:val="1"/>
    <w:link w:val="18"/>
    <w:autoRedefine/>
    <w:qFormat/>
    <w:uiPriority w:val="99"/>
    <w:pPr>
      <w:tabs>
        <w:tab w:val="center" w:pos="4153"/>
        <w:tab w:val="right" w:pos="8306"/>
      </w:tabs>
      <w:snapToGrid w:val="0"/>
      <w:jc w:val="left"/>
    </w:pPr>
    <w:rPr>
      <w:rFonts w:ascii="Times New Roman" w:hAnsi="Times New Roman"/>
      <w:sz w:val="18"/>
      <w:szCs w:val="18"/>
    </w:rPr>
  </w:style>
  <w:style w:type="paragraph" w:styleId="9">
    <w:name w:val="header"/>
    <w:basedOn w:val="1"/>
    <w:link w:val="19"/>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0">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1">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table" w:styleId="13">
    <w:name w:val="Table Grid"/>
    <w:basedOn w:val="12"/>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0"/>
  </w:style>
  <w:style w:type="character" w:styleId="16">
    <w:name w:val="Hyperlink"/>
    <w:autoRedefine/>
    <w:qFormat/>
    <w:uiPriority w:val="0"/>
    <w:rPr>
      <w:color w:val="0000FF"/>
      <w:u w:val="single"/>
    </w:rPr>
  </w:style>
  <w:style w:type="character" w:customStyle="1" w:styleId="17">
    <w:name w:val="标题 1 Char"/>
    <w:basedOn w:val="14"/>
    <w:link w:val="2"/>
    <w:autoRedefine/>
    <w:qFormat/>
    <w:uiPriority w:val="0"/>
    <w:rPr>
      <w:rFonts w:ascii="Times New Roman" w:hAnsi="Times New Roman" w:eastAsia="MS Gothic" w:cs="Times New Roman"/>
      <w:b/>
      <w:bCs/>
      <w:kern w:val="44"/>
      <w:sz w:val="44"/>
      <w:szCs w:val="44"/>
      <w:lang w:val="zh-CN" w:eastAsia="zh-CN"/>
    </w:rPr>
  </w:style>
  <w:style w:type="character" w:customStyle="1" w:styleId="18">
    <w:name w:val="页脚 Char"/>
    <w:basedOn w:val="14"/>
    <w:link w:val="8"/>
    <w:autoRedefine/>
    <w:qFormat/>
    <w:uiPriority w:val="99"/>
    <w:rPr>
      <w:rFonts w:ascii="Times New Roman" w:hAnsi="Times New Roman" w:eastAsia="宋体" w:cs="Times New Roman"/>
      <w:sz w:val="18"/>
      <w:szCs w:val="18"/>
    </w:rPr>
  </w:style>
  <w:style w:type="character" w:customStyle="1" w:styleId="19">
    <w:name w:val="页眉 Char"/>
    <w:basedOn w:val="14"/>
    <w:link w:val="9"/>
    <w:autoRedefine/>
    <w:qFormat/>
    <w:uiPriority w:val="0"/>
    <w:rPr>
      <w:rFonts w:ascii="Times New Roman" w:hAnsi="Times New Roman" w:eastAsia="宋体" w:cs="Times New Roman"/>
      <w:sz w:val="18"/>
      <w:szCs w:val="18"/>
    </w:rPr>
  </w:style>
  <w:style w:type="character" w:customStyle="1" w:styleId="20">
    <w:name w:val="页脚 Char Char"/>
    <w:autoRedefine/>
    <w:qFormat/>
    <w:uiPriority w:val="0"/>
    <w:rPr>
      <w:rFonts w:ascii="Times New Roman" w:hAnsi="Times New Roman" w:eastAsia="宋体" w:cs="Times New Roman"/>
      <w:sz w:val="18"/>
      <w:szCs w:val="18"/>
    </w:rPr>
  </w:style>
  <w:style w:type="character" w:customStyle="1" w:styleId="21">
    <w:name w:val="正文缩进 Char"/>
    <w:link w:val="4"/>
    <w:autoRedefine/>
    <w:qFormat/>
    <w:uiPriority w:val="0"/>
    <w:rPr>
      <w:sz w:val="28"/>
    </w:rPr>
  </w:style>
  <w:style w:type="character" w:customStyle="1" w:styleId="22">
    <w:name w:val="正文啊 Char Char"/>
    <w:link w:val="23"/>
    <w:autoRedefine/>
    <w:qFormat/>
    <w:uiPriority w:val="0"/>
    <w:rPr>
      <w:rFonts w:ascii="仿宋_GB2312" w:hAnsi="宋体" w:eastAsia="仿宋_GB2312"/>
      <w:bCs/>
      <w:sz w:val="30"/>
      <w:szCs w:val="30"/>
    </w:rPr>
  </w:style>
  <w:style w:type="paragraph" w:customStyle="1" w:styleId="23">
    <w:name w:val="正文啊"/>
    <w:basedOn w:val="1"/>
    <w:link w:val="22"/>
    <w:autoRedefine/>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4">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5">
    <w:name w:val="批注框文本 Char"/>
    <w:basedOn w:val="14"/>
    <w:link w:val="7"/>
    <w:autoRedefine/>
    <w:qFormat/>
    <w:uiPriority w:val="99"/>
    <w:rPr>
      <w:rFonts w:ascii="Times New Roman" w:hAnsi="Times New Roman" w:eastAsia="宋体" w:cs="Times New Roman"/>
      <w:sz w:val="18"/>
      <w:szCs w:val="18"/>
      <w:lang w:val="zh-CN" w:eastAsia="zh-CN"/>
    </w:rPr>
  </w:style>
  <w:style w:type="character" w:customStyle="1" w:styleId="26">
    <w:name w:val="日期 Char"/>
    <w:basedOn w:val="14"/>
    <w:link w:val="6"/>
    <w:autoRedefine/>
    <w:qFormat/>
    <w:uiPriority w:val="0"/>
    <w:rPr>
      <w:rFonts w:ascii="Times New Roman" w:hAnsi="Times New Roman" w:eastAsia="宋体" w:cs="Times New Roman"/>
      <w:szCs w:val="24"/>
    </w:rPr>
  </w:style>
  <w:style w:type="paragraph" w:customStyle="1" w:styleId="27">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1195</Words>
  <Characters>1303</Characters>
  <Lines>102</Lines>
  <Paragraphs>28</Paragraphs>
  <TotalTime>15</TotalTime>
  <ScaleCrop>false</ScaleCrop>
  <LinksUpToDate>false</LinksUpToDate>
  <CharactersWithSpaces>1417</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张利</cp:lastModifiedBy>
  <cp:lastPrinted>2022-12-06T16:18:00Z</cp:lastPrinted>
  <dcterms:modified xsi:type="dcterms:W3CDTF">2024-05-06T07:45:43Z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AD59B954B3824694BD0E2CE1E8F17436_13</vt:lpwstr>
  </property>
</Properties>
</file>