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A77F4">
      <w:pPr>
        <w:spacing w:line="600" w:lineRule="exact"/>
        <w:jc w:val="center"/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</w:pPr>
    </w:p>
    <w:p w14:paraId="4960F950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  <w:t>2023</w:t>
      </w:r>
      <w:r>
        <w:rPr>
          <w:rFonts w:ascii="Times New Roman" w:hAnsi="Times New Roman" w:eastAsia="方正小标宋简体"/>
          <w:bCs/>
          <w:sz w:val="44"/>
          <w:szCs w:val="24"/>
        </w:rPr>
        <w:t>年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长淮街道申请退回合肥瑶海集团公司资产处置及经营收益款资金</w:t>
      </w:r>
      <w:r>
        <w:rPr>
          <w:rFonts w:ascii="Times New Roman" w:hAnsi="Times New Roman" w:eastAsia="方正小标宋简体"/>
          <w:bCs/>
          <w:sz w:val="44"/>
          <w:szCs w:val="24"/>
        </w:rPr>
        <w:t>项目</w:t>
      </w:r>
      <w:r>
        <w:rPr>
          <w:rFonts w:hint="eastAsia" w:ascii="Times New Roman" w:hAnsi="Times New Roman" w:eastAsia="方正小标宋简体"/>
          <w:bCs/>
          <w:sz w:val="44"/>
          <w:szCs w:val="24"/>
        </w:rPr>
        <w:t>部门评价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 w14:paraId="64C773DA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41DC313B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032048E3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01A62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52644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eastAsia="zh-CN"/>
        </w:rPr>
        <w:t>根据预算编制要求，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进一步满足长淮、胜利社区祖居征地转户居民需求，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将历年来未领取的安置费及资产分配款经费整合为该项目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563DA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申请财政专项资金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146.64万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资金类型为区级财政资金。</w:t>
      </w: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项目类型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为</w:t>
      </w: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“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专项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业务经费”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。实施周期为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2023年全年，项目实施主管部门为长淮街道党政办。</w:t>
      </w:r>
    </w:p>
    <w:p w14:paraId="470D2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 w14:paraId="476A8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2023年项目实际预算投入资金146.64万元，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eastAsia="zh-CN"/>
        </w:rPr>
        <w:t>实际预算支出资金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146.64万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元，预算执行率100%，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资金全部用于长淮、胜利社区祖居征地转户居民213人，历年来未领取安置费及资产分配款。</w:t>
      </w:r>
    </w:p>
    <w:p w14:paraId="3534DA6D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735C59B7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3D059B8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申请财政资金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146.64万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元，用于长淮、胜利社区祖居征地转户居民213人历年来未领取安置费及资产分配款，提升群众生活质量。</w:t>
      </w:r>
    </w:p>
    <w:p w14:paraId="03FCF7A4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793E690D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支出财政资金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146.64万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元，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根据实际情况将资金拨付至长淮、胜利社区，更好的满足了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群众诉求，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完成了年初设定的各项工作任务。</w:t>
      </w:r>
    </w:p>
    <w:p w14:paraId="7A84BEBA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3994011D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57658557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年度，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申请退回合肥瑶海集团公司资产处置及经营收益款资金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项目通过申请财政资金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146.64万</w:t>
      </w:r>
      <w:r>
        <w:rPr>
          <w:rFonts w:ascii="Times New Roman" w:hAnsi="Times New Roman" w:eastAsia="仿宋_GB2312"/>
          <w:color w:val="000000"/>
          <w:sz w:val="32"/>
          <w:szCs w:val="32"/>
        </w:rPr>
        <w:t>元，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该项目更好的满足了长淮、胜利社区祖居征地转户居民关于未领取安置费及资产分配款的需求，提升群众生活质量的同时提升街道可持续发展能力、服务能力，提高群众满意度。</w:t>
      </w:r>
    </w:p>
    <w:p w14:paraId="6E92DBE3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38A8DEE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申请退回合肥瑶海集团公司资产处置及经营收益款资金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 w14:paraId="0F98C017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63C23B4A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申请退回合肥瑶海集团公司资产处置及经营收益款资金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 w14:paraId="22479ACB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  <w:lang w:val="en-US" w:eastAsia="zh-CN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 w14:paraId="10031816"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申请退回合肥瑶海集团公司资产处置及经营收益款资金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项目全年预算安排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146.64万</w:t>
      </w:r>
      <w:r>
        <w:rPr>
          <w:rFonts w:ascii="Times New Roman" w:hAnsi="Times New Roman" w:eastAsia="仿宋_GB2312"/>
          <w:color w:val="000000"/>
          <w:sz w:val="32"/>
          <w:szCs w:val="32"/>
        </w:rPr>
        <w:t>元，全年执行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146.64万</w:t>
      </w:r>
      <w:r>
        <w:rPr>
          <w:rFonts w:ascii="Times New Roman" w:hAnsi="Times New Roman" w:eastAsia="仿宋_GB2312"/>
          <w:color w:val="000000"/>
          <w:sz w:val="32"/>
          <w:szCs w:val="32"/>
        </w:rPr>
        <w:t>元，预算执行率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30EACFD7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0C81D826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2310F50C">
      <w:pPr>
        <w:spacing w:line="600" w:lineRule="exact"/>
        <w:ind w:firstLine="640" w:firstLineChars="200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申请退回合肥瑶海集团公司资产处置及经营收益款资金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eastAsia="仿宋_GB2312"/>
          <w:color w:val="000000"/>
          <w:sz w:val="32"/>
          <w:szCs w:val="32"/>
        </w:rPr>
        <w:t>相关支出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146.64万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；截至202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年底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该项目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146.64万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元</w:t>
      </w:r>
      <w:r>
        <w:rPr>
          <w:rFonts w:asci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实际完成率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100%。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达成预期指标，</w:t>
      </w:r>
      <w:r>
        <w:rPr>
          <w:rFonts w:asci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eastAsia="仿宋_GB2312"/>
          <w:color w:val="000000"/>
          <w:sz w:val="32"/>
          <w:szCs w:val="32"/>
        </w:rPr>
        <w:t>分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</w:t>
      </w:r>
      <w:bookmarkStart w:id="0" w:name="_GoBack"/>
      <w:bookmarkEnd w:id="0"/>
    </w:p>
    <w:p w14:paraId="18C2A1C4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67F136F2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经费支出合规性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2503F39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0ABBE0E5">
      <w:pPr>
        <w:spacing w:line="600" w:lineRule="exact"/>
        <w:ind w:firstLine="640" w:firstLineChars="200"/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经费支出时效性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13833E69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21810F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设定的成本指标为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退回资产处置及资产经营收益款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,小于或等于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1466400元，</w:t>
      </w:r>
      <w:r>
        <w:rPr>
          <w:rFonts w:asci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项目成本等于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1466400元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773767B5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3FB931C0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1.经济效益指标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4DBC070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年初设定的经济效益指标为提升群众生活质量，实际完成情况为达成预期目标，得分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53070F85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26D6DDF9"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年初设定的社会效益指标为及时退回资产处置及经营收益款，维护群众诉求，实际完成情况为达成预期目标，得分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4FA570AA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3.生态效益指标（满分0分，实得0分）</w:t>
      </w:r>
    </w:p>
    <w:p w14:paraId="4934DDC5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该项目本指标不适用</w:t>
      </w:r>
    </w:p>
    <w:p w14:paraId="58CDE9BC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00EE7309">
      <w:pPr>
        <w:pStyle w:val="2"/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年初设定的可持续影响指标为提升街道可持续发展能力、服务能力。实际完成情况为达成预期目标，得分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24FFBE78"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0E6AF532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8B49DB6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年初设定的满意度指标为社会评价满意度达到9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%及以上。该项目经服务对象满意度调查满意率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大于95%，实际完成情况为完成预期目标，得分10分。</w:t>
      </w:r>
    </w:p>
    <w:p w14:paraId="696D93A6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78E95988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该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项目实施虽取得了一定的成效，但还存在一些问题和不足，主要表现在：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预算执行进度和效率有待加强，绩效目标管理有待完善。</w:t>
      </w:r>
    </w:p>
    <w:p w14:paraId="46FE38A9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2DABBE4B"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切实加快预算执行进度，提升资金使用效率，全面完成年初设定的各项目标任务。</w:t>
      </w:r>
    </w:p>
    <w:p w14:paraId="10685D1D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71766669"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eastAsia="zh-CN"/>
        </w:rPr>
        <w:t>《瑶海区全面实施预算绩效管理实施办法的通知》（瑶发【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2020】2号）；《瑶海区预算绩效管理考核问责暂行办法》（瑶政办【2017】52号）；《关于进一步落实全面实施预算绩效管理重点任务的通知》（瑶预绩组【2020】1号；《瑶海区预算绩效管理工作考核实施细则》（瑶财【2020】116号）。</w:t>
      </w:r>
    </w:p>
    <w:p w14:paraId="30B4C84F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 w14:paraId="1F1BC71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</w:p>
    <w:p w14:paraId="3B39F462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C9B98"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61287A48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A5D24">
    <w:pPr>
      <w:pStyle w:val="8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2D787FA6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MDg1YTc4Mjk1OWIxNjFmMDJiNjVlM2IyZDUxZWM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2741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3B0577"/>
    <w:rsid w:val="032B09E8"/>
    <w:rsid w:val="0466617C"/>
    <w:rsid w:val="05907041"/>
    <w:rsid w:val="06223CFD"/>
    <w:rsid w:val="062C7228"/>
    <w:rsid w:val="06AD023B"/>
    <w:rsid w:val="072132FF"/>
    <w:rsid w:val="07805D34"/>
    <w:rsid w:val="09130BC4"/>
    <w:rsid w:val="09A94EDD"/>
    <w:rsid w:val="0A03446D"/>
    <w:rsid w:val="0A3833F1"/>
    <w:rsid w:val="0A391C3C"/>
    <w:rsid w:val="0A854E82"/>
    <w:rsid w:val="0B1D50BA"/>
    <w:rsid w:val="0B4B7E79"/>
    <w:rsid w:val="0B7E2D01"/>
    <w:rsid w:val="0CEB285D"/>
    <w:rsid w:val="0CFA21A8"/>
    <w:rsid w:val="0D383D19"/>
    <w:rsid w:val="0D4C612B"/>
    <w:rsid w:val="0DDB70DA"/>
    <w:rsid w:val="0E3833DA"/>
    <w:rsid w:val="0E7F2C1A"/>
    <w:rsid w:val="0FBB5756"/>
    <w:rsid w:val="0FE771A7"/>
    <w:rsid w:val="0FF539FE"/>
    <w:rsid w:val="12AB56A1"/>
    <w:rsid w:val="12BB4E18"/>
    <w:rsid w:val="12BF754B"/>
    <w:rsid w:val="13767A5D"/>
    <w:rsid w:val="14112CD5"/>
    <w:rsid w:val="1580063C"/>
    <w:rsid w:val="16E276A1"/>
    <w:rsid w:val="16F716AA"/>
    <w:rsid w:val="186C2C3A"/>
    <w:rsid w:val="18900A59"/>
    <w:rsid w:val="18C66D91"/>
    <w:rsid w:val="18FF04F5"/>
    <w:rsid w:val="1B445C47"/>
    <w:rsid w:val="1BD792BA"/>
    <w:rsid w:val="1C445B00"/>
    <w:rsid w:val="1C4529B6"/>
    <w:rsid w:val="1CEF2F32"/>
    <w:rsid w:val="1E894AE9"/>
    <w:rsid w:val="1FFF5690"/>
    <w:rsid w:val="21FF0F97"/>
    <w:rsid w:val="23F43032"/>
    <w:rsid w:val="248A7945"/>
    <w:rsid w:val="25044C6D"/>
    <w:rsid w:val="254033B6"/>
    <w:rsid w:val="25783B09"/>
    <w:rsid w:val="263C4B36"/>
    <w:rsid w:val="265C0513"/>
    <w:rsid w:val="27017E14"/>
    <w:rsid w:val="279453F3"/>
    <w:rsid w:val="27FA6A3D"/>
    <w:rsid w:val="28242D83"/>
    <w:rsid w:val="28A56DC2"/>
    <w:rsid w:val="28B06748"/>
    <w:rsid w:val="29271AF7"/>
    <w:rsid w:val="2A721568"/>
    <w:rsid w:val="2A8C5D73"/>
    <w:rsid w:val="2CDC497D"/>
    <w:rsid w:val="2D5450CE"/>
    <w:rsid w:val="2EE93382"/>
    <w:rsid w:val="2F116900"/>
    <w:rsid w:val="2F285C58"/>
    <w:rsid w:val="2F3B2DD9"/>
    <w:rsid w:val="2FB9222F"/>
    <w:rsid w:val="2FC67F1A"/>
    <w:rsid w:val="2FFC4CEE"/>
    <w:rsid w:val="308B0B94"/>
    <w:rsid w:val="323D6B00"/>
    <w:rsid w:val="328D1DAA"/>
    <w:rsid w:val="333C0F93"/>
    <w:rsid w:val="33C46C8E"/>
    <w:rsid w:val="33CA3782"/>
    <w:rsid w:val="3727713D"/>
    <w:rsid w:val="378937C7"/>
    <w:rsid w:val="38BB18EB"/>
    <w:rsid w:val="39605C72"/>
    <w:rsid w:val="39EC3A8B"/>
    <w:rsid w:val="3AB9182B"/>
    <w:rsid w:val="3CFE57A8"/>
    <w:rsid w:val="3D0553E6"/>
    <w:rsid w:val="3D17003D"/>
    <w:rsid w:val="3D8B1D36"/>
    <w:rsid w:val="3DB80FA5"/>
    <w:rsid w:val="3E3D2DA2"/>
    <w:rsid w:val="3E5004FA"/>
    <w:rsid w:val="3E6C5004"/>
    <w:rsid w:val="3EB75BFF"/>
    <w:rsid w:val="3F086710"/>
    <w:rsid w:val="418F7AC5"/>
    <w:rsid w:val="41AC7E24"/>
    <w:rsid w:val="42552DB0"/>
    <w:rsid w:val="425E35BB"/>
    <w:rsid w:val="43220336"/>
    <w:rsid w:val="433C7B5A"/>
    <w:rsid w:val="435E40DC"/>
    <w:rsid w:val="43AB0183"/>
    <w:rsid w:val="43F64219"/>
    <w:rsid w:val="497F11A5"/>
    <w:rsid w:val="49C83E68"/>
    <w:rsid w:val="4A656B53"/>
    <w:rsid w:val="4AAD7963"/>
    <w:rsid w:val="4AD75C2B"/>
    <w:rsid w:val="4AEC124E"/>
    <w:rsid w:val="4B005D50"/>
    <w:rsid w:val="4B2B3495"/>
    <w:rsid w:val="4BA426DF"/>
    <w:rsid w:val="4C0849EF"/>
    <w:rsid w:val="4D2A1B62"/>
    <w:rsid w:val="4E426794"/>
    <w:rsid w:val="4E550D53"/>
    <w:rsid w:val="4E760C97"/>
    <w:rsid w:val="4EB26E94"/>
    <w:rsid w:val="4F64390E"/>
    <w:rsid w:val="4FF52019"/>
    <w:rsid w:val="51281C14"/>
    <w:rsid w:val="517810B2"/>
    <w:rsid w:val="51F75C5B"/>
    <w:rsid w:val="54AB3C68"/>
    <w:rsid w:val="54F47E6A"/>
    <w:rsid w:val="56105141"/>
    <w:rsid w:val="5651167C"/>
    <w:rsid w:val="57747CB6"/>
    <w:rsid w:val="57BA0A13"/>
    <w:rsid w:val="5819746B"/>
    <w:rsid w:val="59563C89"/>
    <w:rsid w:val="597543AF"/>
    <w:rsid w:val="59BC5A1F"/>
    <w:rsid w:val="5AE73FE2"/>
    <w:rsid w:val="5B2224C3"/>
    <w:rsid w:val="5B2737C9"/>
    <w:rsid w:val="5B2831E1"/>
    <w:rsid w:val="5C003935"/>
    <w:rsid w:val="5C736320"/>
    <w:rsid w:val="5C95407D"/>
    <w:rsid w:val="5D68444C"/>
    <w:rsid w:val="5E40270F"/>
    <w:rsid w:val="5F6D39B7"/>
    <w:rsid w:val="5F9C8719"/>
    <w:rsid w:val="5FF43F05"/>
    <w:rsid w:val="61273195"/>
    <w:rsid w:val="61333872"/>
    <w:rsid w:val="635B1696"/>
    <w:rsid w:val="6368397F"/>
    <w:rsid w:val="64266808"/>
    <w:rsid w:val="65C23A09"/>
    <w:rsid w:val="66B07D42"/>
    <w:rsid w:val="691004DC"/>
    <w:rsid w:val="696077C1"/>
    <w:rsid w:val="6A743278"/>
    <w:rsid w:val="6ABA7411"/>
    <w:rsid w:val="6B96571C"/>
    <w:rsid w:val="6D0D5EB2"/>
    <w:rsid w:val="6D8C327A"/>
    <w:rsid w:val="6DEE7765"/>
    <w:rsid w:val="6DF8D820"/>
    <w:rsid w:val="6E8255BD"/>
    <w:rsid w:val="6FBE1237"/>
    <w:rsid w:val="6FED328C"/>
    <w:rsid w:val="709B4759"/>
    <w:rsid w:val="70C251BD"/>
    <w:rsid w:val="71373859"/>
    <w:rsid w:val="734E6812"/>
    <w:rsid w:val="743B0556"/>
    <w:rsid w:val="74F31E31"/>
    <w:rsid w:val="768865A9"/>
    <w:rsid w:val="76FF686B"/>
    <w:rsid w:val="772E7150"/>
    <w:rsid w:val="779BD1C3"/>
    <w:rsid w:val="78CB05FB"/>
    <w:rsid w:val="7979321C"/>
    <w:rsid w:val="79CE4C1B"/>
    <w:rsid w:val="7B867AA2"/>
    <w:rsid w:val="7BBCDE22"/>
    <w:rsid w:val="7BFA7F72"/>
    <w:rsid w:val="7C2A47DB"/>
    <w:rsid w:val="7CAD0B17"/>
    <w:rsid w:val="7E245731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ind w:firstLine="454"/>
      <w:jc w:val="both"/>
      <w:textAlignment w:val="baseline"/>
    </w:pPr>
  </w:style>
  <w:style w:type="paragraph" w:styleId="5">
    <w:name w:val="Normal Indent"/>
    <w:basedOn w:val="1"/>
    <w:link w:val="21"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5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标题 1 Char"/>
    <w:basedOn w:val="14"/>
    <w:link w:val="3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8">
    <w:name w:val="页脚 Char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basedOn w:val="14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缩进 Char"/>
    <w:link w:val="5"/>
    <w:qFormat/>
    <w:uiPriority w:val="0"/>
    <w:rPr>
      <w:sz w:val="28"/>
    </w:rPr>
  </w:style>
  <w:style w:type="character" w:customStyle="1" w:styleId="22">
    <w:name w:val="正文啊 Char Char"/>
    <w:link w:val="23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3">
    <w:name w:val="正文啊"/>
    <w:basedOn w:val="1"/>
    <w:link w:val="22"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4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5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6">
    <w:name w:val="日期 Char"/>
    <w:basedOn w:val="14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7">
    <w:name w:val="Default Paragraph Char Char Char Char"/>
    <w:basedOn w:val="1"/>
    <w:next w:val="1"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  <w:style w:type="character" w:customStyle="1" w:styleId="28">
    <w:name w:val="NormalCharacter"/>
    <w:link w:val="1"/>
    <w:semiHidden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1819</Words>
  <Characters>1994</Characters>
  <Lines>102</Lines>
  <Paragraphs>28</Paragraphs>
  <TotalTime>8</TotalTime>
  <ScaleCrop>false</ScaleCrop>
  <LinksUpToDate>false</LinksUpToDate>
  <CharactersWithSpaces>2104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user</cp:lastModifiedBy>
  <cp:lastPrinted>2022-12-06T16:18:00Z</cp:lastPrinted>
  <dcterms:modified xsi:type="dcterms:W3CDTF">2024-09-03T01:45:24Z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CED02EDA206F41149D597E818FE04422</vt:lpwstr>
  </property>
</Properties>
</file>