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bCs/>
          <w:sz w:val="32"/>
          <w:szCs w:val="32"/>
        </w:rPr>
      </w:pPr>
      <w:r>
        <w:rPr>
          <w:rFonts w:ascii="Times New Roman" w:hAnsi="Times New Roman" w:eastAsia="黑体"/>
          <w:bCs/>
          <w:sz w:val="32"/>
          <w:szCs w:val="32"/>
        </w:rPr>
        <w:t>附件</w:t>
      </w:r>
      <w:r>
        <w:rPr>
          <w:rFonts w:hint="eastAsia" w:ascii="Times New Roman" w:hAnsi="Times New Roman" w:eastAsia="黑体"/>
          <w:bCs/>
          <w:sz w:val="32"/>
          <w:szCs w:val="32"/>
        </w:rPr>
        <w:t>1</w:t>
      </w:r>
    </w:p>
    <w:p>
      <w:pPr>
        <w:spacing w:before="120" w:line="600" w:lineRule="exact"/>
        <w:ind w:right="119"/>
        <w:jc w:val="right"/>
        <w:rPr>
          <w:rFonts w:ascii="Times New Roman" w:hAnsi="Times New Roman" w:eastAsia="华文楷体"/>
          <w:bCs/>
          <w:sz w:val="18"/>
          <w:szCs w:val="18"/>
        </w:rPr>
      </w:pPr>
    </w:p>
    <w:p>
      <w:pPr>
        <w:ind w:right="120"/>
        <w:jc w:val="right"/>
        <w:rPr>
          <w:rFonts w:ascii="Times New Roman" w:hAnsi="Times New Roman" w:eastAsia="华文楷体"/>
          <w:bCs/>
          <w:sz w:val="16"/>
          <w:szCs w:val="21"/>
        </w:rPr>
      </w:pPr>
    </w:p>
    <w:p>
      <w:pPr>
        <w:jc w:val="center"/>
        <w:rPr>
          <w:rFonts w:ascii="Times New Roman" w:hAnsi="Times New Roman" w:eastAsia="黑体"/>
          <w:bCs/>
          <w:sz w:val="44"/>
        </w:rPr>
      </w:pPr>
    </w:p>
    <w:p>
      <w:pPr>
        <w:jc w:val="center"/>
        <w:rPr>
          <w:rFonts w:ascii="Times New Roman" w:hAnsi="Times New Roman" w:eastAsia="黑体"/>
          <w:bCs/>
          <w:sz w:val="44"/>
        </w:rPr>
      </w:pPr>
    </w:p>
    <w:p>
      <w:pPr>
        <w:jc w:val="center"/>
        <w:rPr>
          <w:rFonts w:ascii="Times New Roman" w:hAnsi="Times New Roman" w:eastAsia="黑体"/>
          <w:bCs/>
          <w:sz w:val="44"/>
        </w:rPr>
      </w:pPr>
    </w:p>
    <w:p>
      <w:pPr>
        <w:spacing w:line="60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合肥市部门整体支出绩效自评报告</w:t>
      </w:r>
    </w:p>
    <w:p>
      <w:pPr>
        <w:jc w:val="center"/>
        <w:rPr>
          <w:rFonts w:ascii="Times New Roman" w:hAnsi="Times New Roman" w:eastAsia="楷体_GB2312"/>
          <w:b/>
          <w:bCs/>
          <w:sz w:val="32"/>
        </w:rPr>
      </w:pPr>
    </w:p>
    <w:p>
      <w:pPr>
        <w:jc w:val="center"/>
        <w:rPr>
          <w:rFonts w:ascii="Times New Roman" w:hAnsi="Times New Roman" w:eastAsia="楷体_GB2312"/>
          <w:b/>
          <w:bCs/>
          <w:sz w:val="32"/>
        </w:rPr>
      </w:pPr>
    </w:p>
    <w:p>
      <w:pPr>
        <w:spacing w:before="156" w:beforeLines="50" w:after="156" w:afterLines="50"/>
        <w:ind w:left="1887" w:leftChars="289" w:hanging="1280" w:hangingChars="400"/>
        <w:rPr>
          <w:rFonts w:ascii="Times New Roman" w:hAnsi="Times New Roman" w:eastAsia="楷体_GB2312"/>
          <w:sz w:val="32"/>
        </w:rPr>
      </w:pPr>
    </w:p>
    <w:p>
      <w:pPr>
        <w:spacing w:before="156" w:beforeLines="50" w:after="156" w:afterLines="50"/>
        <w:ind w:left="1887" w:leftChars="289" w:hanging="1280" w:hangingChars="400"/>
        <w:rPr>
          <w:rFonts w:ascii="Times New Roman" w:hAnsi="Times New Roman" w:eastAsia="楷体_GB2312"/>
          <w:sz w:val="32"/>
          <w:u w:val="single"/>
        </w:rPr>
      </w:pPr>
      <w:r>
        <w:rPr>
          <w:rFonts w:ascii="Times New Roman" w:hAnsi="Times New Roman" w:eastAsia="楷体_GB2312"/>
          <w:sz w:val="32"/>
        </w:rPr>
        <w:t>部 门 负 责 人（签字）：</w:t>
      </w:r>
      <w:r>
        <w:rPr>
          <w:rFonts w:ascii="Times New Roman" w:hAnsi="Times New Roman" w:eastAsia="楷体_GB2312"/>
          <w:sz w:val="32"/>
          <w:u w:val="single"/>
        </w:rPr>
        <w:t xml:space="preserve">                           </w:t>
      </w:r>
    </w:p>
    <w:p>
      <w:pPr>
        <w:spacing w:before="156" w:beforeLines="50" w:after="156" w:afterLines="50"/>
        <w:ind w:firstLine="460" w:firstLineChars="192"/>
        <w:rPr>
          <w:rFonts w:ascii="Times New Roman" w:hAnsi="Times New Roman" w:eastAsia="楷体_GB2312"/>
          <w:sz w:val="24"/>
        </w:rPr>
      </w:pPr>
    </w:p>
    <w:p>
      <w:pPr>
        <w:spacing w:before="156" w:beforeLines="50" w:after="156" w:afterLines="50"/>
        <w:ind w:firstLine="614" w:firstLineChars="192"/>
        <w:rPr>
          <w:rFonts w:ascii="Times New Roman" w:hAnsi="Times New Roman" w:eastAsia="楷体_GB2312"/>
          <w:sz w:val="32"/>
          <w:u w:val="single"/>
        </w:rPr>
      </w:pPr>
      <w:r>
        <w:rPr>
          <w:rFonts w:ascii="Times New Roman" w:hAnsi="Times New Roman" w:eastAsia="楷体_GB2312"/>
          <w:sz w:val="32"/>
        </w:rPr>
        <w:t>主  管  部  门（盖章）：</w:t>
      </w:r>
      <w:r>
        <w:rPr>
          <w:rFonts w:hint="eastAsia" w:ascii="Times New Roman" w:hAnsi="Times New Roman" w:eastAsia="楷体_GB2312"/>
          <w:sz w:val="32"/>
          <w:u w:val="single"/>
        </w:rPr>
        <w:t xml:space="preserve">  合肥市瑶海区医疗保障局</w:t>
      </w:r>
      <w:r>
        <w:rPr>
          <w:rFonts w:ascii="Times New Roman" w:hAnsi="Times New Roman" w:eastAsia="楷体_GB2312"/>
          <w:sz w:val="32"/>
          <w:u w:val="single"/>
        </w:rPr>
        <w:t xml:space="preserve">                          </w:t>
      </w:r>
    </w:p>
    <w:p>
      <w:pPr>
        <w:spacing w:before="156" w:beforeLines="50" w:after="156" w:afterLines="50"/>
        <w:ind w:left="1887" w:leftChars="289" w:hanging="1280" w:hangingChars="400"/>
        <w:rPr>
          <w:rFonts w:ascii="Times New Roman" w:hAnsi="Times New Roman" w:eastAsia="楷体_GB2312"/>
          <w:sz w:val="32"/>
        </w:rPr>
      </w:pPr>
    </w:p>
    <w:p>
      <w:pPr>
        <w:spacing w:before="156" w:beforeLines="50" w:after="156" w:afterLines="50"/>
        <w:ind w:firstLine="614" w:firstLineChars="192"/>
        <w:rPr>
          <w:rFonts w:ascii="Times New Roman" w:hAnsi="Times New Roman" w:eastAsia="楷体_GB2312"/>
          <w:sz w:val="32"/>
          <w:u w:val="single"/>
        </w:rPr>
      </w:pPr>
    </w:p>
    <w:p>
      <w:pPr>
        <w:ind w:firstLine="614" w:firstLineChars="192"/>
        <w:rPr>
          <w:rFonts w:ascii="Times New Roman" w:hAnsi="Times New Roman" w:eastAsia="楷体_GB2312"/>
          <w:sz w:val="32"/>
        </w:rPr>
      </w:pPr>
    </w:p>
    <w:p>
      <w:pPr>
        <w:jc w:val="center"/>
        <w:rPr>
          <w:rFonts w:ascii="Times New Roman" w:hAnsi="Times New Roman" w:eastAsia="楷体_GB2312"/>
          <w:sz w:val="32"/>
        </w:rPr>
      </w:pPr>
      <w:r>
        <w:rPr>
          <w:rFonts w:ascii="Times New Roman" w:hAnsi="Times New Roman" w:eastAsia="楷体_GB2312"/>
          <w:sz w:val="32"/>
        </w:rPr>
        <w:t>202</w:t>
      </w:r>
      <w:r>
        <w:rPr>
          <w:rFonts w:hint="eastAsia" w:ascii="Times New Roman" w:hAnsi="Times New Roman" w:eastAsia="楷体_GB2312"/>
          <w:sz w:val="32"/>
        </w:rPr>
        <w:t>4</w:t>
      </w:r>
      <w:r>
        <w:rPr>
          <w:rFonts w:ascii="Times New Roman" w:hAnsi="Times New Roman" w:eastAsia="楷体_GB2312"/>
          <w:sz w:val="32"/>
        </w:rPr>
        <w:t>年</w:t>
      </w:r>
      <w:r>
        <w:rPr>
          <w:rFonts w:hint="eastAsia" w:ascii="Times New Roman" w:hAnsi="Times New Roman" w:eastAsia="楷体_GB2312"/>
          <w:sz w:val="32"/>
        </w:rPr>
        <w:t>3</w:t>
      </w:r>
      <w:r>
        <w:rPr>
          <w:rFonts w:ascii="Times New Roman" w:hAnsi="Times New Roman" w:eastAsia="楷体_GB2312"/>
          <w:sz w:val="32"/>
        </w:rPr>
        <w:t>月</w:t>
      </w:r>
    </w:p>
    <w:p>
      <w:pPr>
        <w:widowControl/>
        <w:jc w:val="left"/>
        <w:rPr>
          <w:rFonts w:ascii="Times New Roman" w:hAnsi="Times New Roman" w:eastAsia="方正小标宋简体"/>
          <w:bCs/>
          <w:sz w:val="44"/>
        </w:rPr>
      </w:pPr>
      <w:r>
        <w:rPr>
          <w:rFonts w:ascii="Times New Roman" w:hAnsi="Times New Roman" w:eastAsia="方正小标宋简体"/>
          <w:bCs/>
          <w:sz w:val="44"/>
        </w:rPr>
        <w:br w:type="page"/>
      </w:r>
    </w:p>
    <w:p>
      <w:pPr>
        <w:spacing w:line="600" w:lineRule="exact"/>
        <w:jc w:val="center"/>
        <w:rPr>
          <w:rFonts w:ascii="Times New Roman" w:hAnsi="Times New Roman" w:eastAsia="方正小标宋简体"/>
          <w:bCs/>
          <w:sz w:val="44"/>
        </w:rPr>
      </w:pPr>
      <w:r>
        <w:rPr>
          <w:rFonts w:hint="eastAsia" w:ascii="Times New Roman" w:hAnsi="Times New Roman" w:eastAsia="方正小标宋简体"/>
          <w:bCs/>
          <w:sz w:val="44"/>
        </w:rPr>
        <w:t>2023</w:t>
      </w:r>
      <w:r>
        <w:rPr>
          <w:rFonts w:ascii="Times New Roman" w:hAnsi="Times New Roman" w:eastAsia="方正小标宋简体"/>
          <w:bCs/>
          <w:sz w:val="44"/>
        </w:rPr>
        <w:t>年部门整体支出绩效自评报告</w:t>
      </w:r>
    </w:p>
    <w:p>
      <w:pPr>
        <w:spacing w:line="580" w:lineRule="exact"/>
        <w:ind w:firstLine="617" w:firstLineChars="192"/>
        <w:jc w:val="center"/>
        <w:rPr>
          <w:rFonts w:ascii="Times New Roman" w:hAnsi="Times New Roman"/>
          <w:b/>
          <w:bCs/>
          <w:sz w:val="32"/>
        </w:rPr>
      </w:pPr>
    </w:p>
    <w:p>
      <w:pPr>
        <w:spacing w:line="600" w:lineRule="exact"/>
        <w:ind w:firstLine="640" w:firstLineChars="200"/>
        <w:rPr>
          <w:rFonts w:ascii="Times New Roman" w:hAnsi="Times New Roman" w:eastAsia="黑体"/>
          <w:bCs/>
          <w:sz w:val="32"/>
        </w:rPr>
      </w:pPr>
      <w:r>
        <w:rPr>
          <w:rFonts w:ascii="Times New Roman" w:hAnsi="Times New Roman" w:eastAsia="黑体"/>
          <w:bCs/>
          <w:sz w:val="32"/>
        </w:rPr>
        <w:t>一、部门基本情况</w:t>
      </w:r>
    </w:p>
    <w:p>
      <w:pPr>
        <w:spacing w:line="592"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区医保局</w:t>
      </w:r>
      <w:r>
        <w:rPr>
          <w:rFonts w:ascii="Times New Roman" w:hAnsi="Times New Roman" w:eastAsia="仿宋_GB2312"/>
          <w:bCs/>
          <w:sz w:val="32"/>
        </w:rPr>
        <w:t>为</w:t>
      </w:r>
      <w:r>
        <w:rPr>
          <w:rFonts w:hint="eastAsia" w:ascii="Times New Roman" w:hAnsi="Times New Roman" w:eastAsia="仿宋_GB2312"/>
          <w:bCs/>
          <w:sz w:val="32"/>
        </w:rPr>
        <w:t>区</w:t>
      </w:r>
      <w:r>
        <w:rPr>
          <w:rFonts w:ascii="Times New Roman" w:hAnsi="Times New Roman" w:eastAsia="仿宋_GB2312"/>
          <w:bCs/>
          <w:sz w:val="32"/>
        </w:rPr>
        <w:t>级财政一级预算单位，内设</w:t>
      </w:r>
      <w:r>
        <w:rPr>
          <w:rFonts w:hint="eastAsia" w:ascii="Times New Roman" w:hAnsi="Times New Roman" w:eastAsia="仿宋_GB2312"/>
          <w:bCs/>
          <w:sz w:val="32"/>
        </w:rPr>
        <w:t>2</w:t>
      </w:r>
      <w:r>
        <w:rPr>
          <w:rFonts w:ascii="Times New Roman" w:hAnsi="Times New Roman" w:eastAsia="仿宋_GB2312"/>
          <w:bCs/>
          <w:sz w:val="32"/>
        </w:rPr>
        <w:t>个职能部门。截至</w:t>
      </w:r>
      <w:r>
        <w:rPr>
          <w:rFonts w:hint="eastAsia" w:ascii="Times New Roman" w:hAnsi="Times New Roman" w:eastAsia="仿宋_GB2312"/>
          <w:bCs/>
          <w:sz w:val="32"/>
        </w:rPr>
        <w:t>2023</w:t>
      </w:r>
      <w:r>
        <w:rPr>
          <w:rFonts w:ascii="Times New Roman" w:hAnsi="Times New Roman" w:eastAsia="仿宋_GB2312"/>
          <w:bCs/>
          <w:sz w:val="32"/>
        </w:rPr>
        <w:t>年底，</w:t>
      </w:r>
      <w:r>
        <w:rPr>
          <w:rFonts w:hint="eastAsia" w:ascii="Times New Roman" w:hAnsi="Times New Roman" w:eastAsia="仿宋_GB2312"/>
          <w:bCs/>
          <w:sz w:val="32"/>
        </w:rPr>
        <w:t>区医保局</w:t>
      </w:r>
      <w:r>
        <w:rPr>
          <w:rFonts w:ascii="Times New Roman" w:hAnsi="Times New Roman" w:eastAsia="仿宋_GB2312"/>
          <w:bCs/>
          <w:sz w:val="32"/>
        </w:rPr>
        <w:t>编制共</w:t>
      </w:r>
      <w:r>
        <w:rPr>
          <w:rFonts w:hint="eastAsia" w:ascii="Times New Roman" w:hAnsi="Times New Roman" w:eastAsia="仿宋_GB2312"/>
          <w:bCs/>
          <w:sz w:val="32"/>
        </w:rPr>
        <w:t>3</w:t>
      </w:r>
      <w:r>
        <w:rPr>
          <w:rFonts w:ascii="Times New Roman" w:hAnsi="Times New Roman" w:eastAsia="仿宋_GB2312"/>
          <w:bCs/>
          <w:sz w:val="32"/>
        </w:rPr>
        <w:t>人，实有在编</w:t>
      </w:r>
      <w:r>
        <w:rPr>
          <w:rFonts w:hint="eastAsia" w:ascii="Times New Roman" w:hAnsi="Times New Roman" w:eastAsia="仿宋_GB2312"/>
          <w:bCs/>
          <w:sz w:val="32"/>
        </w:rPr>
        <w:t>3</w:t>
      </w:r>
      <w:r>
        <w:rPr>
          <w:rFonts w:ascii="Times New Roman" w:hAnsi="Times New Roman" w:eastAsia="仿宋_GB2312"/>
          <w:bCs/>
          <w:sz w:val="32"/>
        </w:rPr>
        <w:t>人，离退休人员</w:t>
      </w:r>
      <w:r>
        <w:rPr>
          <w:rFonts w:hint="eastAsia" w:ascii="Times New Roman" w:hAnsi="Times New Roman" w:eastAsia="仿宋_GB2312"/>
          <w:bCs/>
          <w:sz w:val="32"/>
        </w:rPr>
        <w:t>0</w:t>
      </w:r>
      <w:r>
        <w:rPr>
          <w:rFonts w:ascii="Times New Roman" w:hAnsi="Times New Roman" w:eastAsia="仿宋_GB2312"/>
          <w:bCs/>
          <w:sz w:val="32"/>
        </w:rPr>
        <w:t>人；</w:t>
      </w:r>
      <w:r>
        <w:rPr>
          <w:rFonts w:hint="eastAsia" w:ascii="Times New Roman" w:hAnsi="Times New Roman" w:eastAsia="仿宋_GB2312"/>
          <w:bCs/>
          <w:sz w:val="32"/>
        </w:rPr>
        <w:t>区委</w:t>
      </w:r>
      <w:r>
        <w:rPr>
          <w:rFonts w:ascii="Times New Roman" w:hAnsi="Times New Roman" w:eastAsia="仿宋_GB2312"/>
          <w:bCs/>
          <w:sz w:val="32"/>
        </w:rPr>
        <w:t>编办核定的编外聘用人员控制数</w:t>
      </w:r>
      <w:r>
        <w:rPr>
          <w:rFonts w:hint="eastAsia" w:ascii="Times New Roman" w:hAnsi="Times New Roman" w:eastAsia="仿宋_GB2312"/>
          <w:bCs/>
          <w:sz w:val="32"/>
        </w:rPr>
        <w:t>3</w:t>
      </w:r>
      <w:r>
        <w:rPr>
          <w:rFonts w:ascii="Times New Roman" w:hAnsi="Times New Roman" w:eastAsia="仿宋_GB2312"/>
          <w:bCs/>
          <w:sz w:val="32"/>
        </w:rPr>
        <w:t>人，实际编外聘用人员数</w:t>
      </w:r>
      <w:r>
        <w:rPr>
          <w:rFonts w:hint="eastAsia" w:ascii="Times New Roman" w:hAnsi="Times New Roman" w:eastAsia="仿宋_GB2312"/>
          <w:bCs/>
          <w:sz w:val="32"/>
        </w:rPr>
        <w:t>3</w:t>
      </w:r>
      <w:r>
        <w:rPr>
          <w:rFonts w:ascii="Times New Roman" w:hAnsi="Times New Roman" w:eastAsia="仿宋_GB2312"/>
          <w:bCs/>
          <w:sz w:val="32"/>
        </w:rPr>
        <w:t>人。</w:t>
      </w:r>
    </w:p>
    <w:p>
      <w:pPr>
        <w:spacing w:line="592" w:lineRule="exact"/>
        <w:ind w:firstLine="643" w:firstLineChars="200"/>
        <w:rPr>
          <w:rFonts w:ascii="Times New Roman" w:hAnsi="Times New Roman" w:eastAsia="楷体_GB2312"/>
          <w:b/>
          <w:bCs/>
          <w:sz w:val="32"/>
        </w:rPr>
      </w:pPr>
      <w:r>
        <w:rPr>
          <w:rFonts w:ascii="Times New Roman" w:hAnsi="Times New Roman" w:eastAsia="楷体_GB2312"/>
          <w:b/>
          <w:bCs/>
          <w:sz w:val="32"/>
        </w:rPr>
        <w:t>（一）部门主要职责</w:t>
      </w:r>
    </w:p>
    <w:p>
      <w:pPr>
        <w:pStyle w:val="2"/>
        <w:widowControl/>
        <w:shd w:val="clear" w:color="auto" w:fill="FFFFFF"/>
        <w:spacing w:beforeAutospacing="0" w:afterAutospacing="0" w:line="560" w:lineRule="atLeast"/>
        <w:ind w:firstLine="563"/>
        <w:rPr>
          <w:rFonts w:ascii="微软雅黑" w:hAnsi="微软雅黑" w:eastAsia="微软雅黑" w:cs="微软雅黑"/>
          <w:color w:val="000000"/>
          <w:szCs w:val="24"/>
        </w:rPr>
      </w:pPr>
      <w:r>
        <w:rPr>
          <w:rFonts w:ascii="仿宋_GB2312" w:hAnsi="微软雅黑" w:eastAsia="仿宋_GB2312" w:cs="仿宋_GB2312"/>
          <w:color w:val="000000"/>
          <w:sz w:val="32"/>
          <w:szCs w:val="32"/>
          <w:shd w:val="clear" w:color="auto" w:fill="FFFFFF"/>
          <w:lang w:bidi="ar"/>
        </w:rPr>
        <w:t>（一）贯彻执行国家、省和市有关医疗保险、生育保险、医疗救助、疾病应急救治等医疗保障法律法规和政策规定。</w:t>
      </w:r>
    </w:p>
    <w:p>
      <w:pPr>
        <w:pStyle w:val="2"/>
        <w:widowControl/>
        <w:shd w:val="clear" w:color="auto" w:fill="FFFFFF"/>
        <w:spacing w:beforeAutospacing="0" w:afterAutospacing="0" w:line="560" w:lineRule="atLeast"/>
        <w:ind w:firstLine="563"/>
        <w:rPr>
          <w:rFonts w:ascii="微软雅黑" w:hAnsi="微软雅黑" w:eastAsia="微软雅黑" w:cs="微软雅黑"/>
          <w:color w:val="000000"/>
          <w:szCs w:val="24"/>
        </w:rPr>
      </w:pPr>
      <w:r>
        <w:rPr>
          <w:rFonts w:hint="eastAsia" w:ascii="仿宋_GB2312" w:hAnsi="微软雅黑" w:eastAsia="仿宋_GB2312" w:cs="仿宋_GB2312"/>
          <w:color w:val="000000"/>
          <w:sz w:val="32"/>
          <w:szCs w:val="32"/>
          <w:shd w:val="clear" w:color="auto" w:fill="FFFFFF"/>
          <w:lang w:bidi="ar"/>
        </w:rPr>
        <w:t>（二）落实全区医疗保障管理体制改革任务。负责组织实施全区城乡居民基本医疗保险参保缴费工作，指导相关单位做好城乡居民基本医疗保险工作。承担全区医疗保险、生育保险、医疗救助、疾病应急救治等医疗保障管理职责。</w:t>
      </w:r>
    </w:p>
    <w:p>
      <w:pPr>
        <w:pStyle w:val="2"/>
        <w:widowControl/>
        <w:shd w:val="clear" w:color="auto" w:fill="FFFFFF"/>
        <w:spacing w:beforeAutospacing="0" w:afterAutospacing="0" w:line="560" w:lineRule="atLeast"/>
        <w:ind w:firstLine="563"/>
        <w:rPr>
          <w:rFonts w:ascii="微软雅黑" w:hAnsi="微软雅黑" w:eastAsia="微软雅黑" w:cs="微软雅黑"/>
          <w:color w:val="000000"/>
          <w:szCs w:val="24"/>
        </w:rPr>
      </w:pPr>
      <w:r>
        <w:rPr>
          <w:rFonts w:hint="eastAsia" w:ascii="仿宋_GB2312" w:hAnsi="微软雅黑" w:eastAsia="仿宋_GB2312" w:cs="仿宋_GB2312"/>
          <w:color w:val="000000"/>
          <w:sz w:val="32"/>
          <w:szCs w:val="32"/>
          <w:shd w:val="clear" w:color="auto" w:fill="FFFFFF"/>
          <w:lang w:bidi="ar"/>
        </w:rPr>
        <w:t>（三）贯彻执行省医疗保险监督管理办法，建立健全医疗保障基金安全防控机制，监督管理纳入医保范围内的医疗服务行为和医疗费用。在上级业务主管部门指导下，承担全区基本医疗保险监督稽查工作，受理医保投诉举报，依法查处医疗保障领域违法违规行为。</w:t>
      </w:r>
    </w:p>
    <w:p>
      <w:pPr>
        <w:pStyle w:val="2"/>
        <w:widowControl/>
        <w:shd w:val="clear" w:color="auto" w:fill="FFFFFF"/>
        <w:spacing w:beforeAutospacing="0" w:afterAutospacing="0" w:line="560" w:lineRule="atLeast"/>
        <w:ind w:firstLine="563"/>
        <w:rPr>
          <w:rFonts w:ascii="微软雅黑" w:hAnsi="微软雅黑" w:eastAsia="微软雅黑" w:cs="微软雅黑"/>
          <w:color w:val="000000"/>
          <w:szCs w:val="24"/>
        </w:rPr>
      </w:pPr>
      <w:r>
        <w:rPr>
          <w:rFonts w:hint="eastAsia" w:ascii="仿宋_GB2312" w:hAnsi="微软雅黑" w:eastAsia="仿宋_GB2312" w:cs="仿宋_GB2312"/>
          <w:color w:val="000000"/>
          <w:sz w:val="32"/>
          <w:szCs w:val="32"/>
          <w:shd w:val="clear" w:color="auto" w:fill="FFFFFF"/>
          <w:lang w:bidi="ar"/>
        </w:rPr>
        <w:t>（四）贯彻执行国家和省药品、医用耗材、医疗服务项目、医疗服务设施等医保目录，监督指导区级公立医疗卫生机构药品、医用设备、医用耗材集中采购工作。</w:t>
      </w:r>
    </w:p>
    <w:p>
      <w:pPr>
        <w:pStyle w:val="2"/>
        <w:widowControl/>
        <w:shd w:val="clear" w:color="auto" w:fill="FFFFFF"/>
        <w:spacing w:beforeAutospacing="0" w:afterAutospacing="0" w:line="560" w:lineRule="atLeast"/>
        <w:ind w:firstLine="563"/>
        <w:rPr>
          <w:rFonts w:ascii="仿宋_GB2312" w:hAnsi="微软雅黑" w:eastAsia="仿宋_GB2312" w:cs="仿宋_GB2312"/>
          <w:color w:val="000000"/>
          <w:sz w:val="32"/>
          <w:szCs w:val="32"/>
          <w:shd w:val="clear" w:color="auto" w:fill="FFFFFF"/>
          <w:lang w:bidi="ar"/>
        </w:rPr>
      </w:pPr>
      <w:r>
        <w:rPr>
          <w:rFonts w:hint="eastAsia" w:ascii="仿宋_GB2312" w:hAnsi="微软雅黑" w:eastAsia="仿宋_GB2312" w:cs="仿宋_GB2312"/>
          <w:color w:val="000000"/>
          <w:sz w:val="32"/>
          <w:szCs w:val="32"/>
          <w:shd w:val="clear" w:color="auto" w:fill="FFFFFF"/>
          <w:lang w:bidi="ar"/>
        </w:rPr>
        <w:t>（五）协助开展定点医药机构协议监督管理，建立健全医疗保障信用评价体系。</w:t>
      </w:r>
    </w:p>
    <w:p>
      <w:pPr>
        <w:pStyle w:val="2"/>
        <w:widowControl/>
        <w:shd w:val="clear" w:color="auto" w:fill="FFFFFF"/>
        <w:spacing w:beforeAutospacing="0" w:afterAutospacing="0" w:line="560" w:lineRule="atLeast"/>
        <w:ind w:firstLine="563"/>
        <w:rPr>
          <w:rFonts w:ascii="仿宋_GB2312" w:hAnsi="微软雅黑" w:eastAsia="仿宋_GB2312" w:cs="仿宋_GB2312"/>
          <w:color w:val="000000"/>
          <w:sz w:val="32"/>
          <w:szCs w:val="32"/>
          <w:shd w:val="clear" w:color="auto" w:fill="FFFFFF"/>
          <w:lang w:bidi="ar"/>
        </w:rPr>
      </w:pPr>
      <w:r>
        <w:rPr>
          <w:rFonts w:hint="eastAsia" w:ascii="仿宋_GB2312" w:hAnsi="微软雅黑" w:eastAsia="仿宋_GB2312" w:cs="仿宋_GB2312"/>
          <w:color w:val="000000"/>
          <w:sz w:val="32"/>
          <w:szCs w:val="32"/>
          <w:shd w:val="clear" w:color="auto" w:fill="FFFFFF"/>
          <w:lang w:bidi="ar"/>
        </w:rPr>
        <w:t>（六）</w:t>
      </w:r>
      <w:r>
        <w:rPr>
          <w:rFonts w:hint="eastAsia" w:ascii="仿宋_GB2312" w:hAnsi="仿宋_GB2312" w:eastAsia="仿宋_GB2312" w:cs="仿宋_GB2312"/>
          <w:sz w:val="32"/>
          <w:szCs w:val="32"/>
        </w:rPr>
        <w:t>开展灵活就业医保参保登记工作。</w:t>
      </w:r>
    </w:p>
    <w:p>
      <w:pPr>
        <w:pStyle w:val="2"/>
        <w:widowControl/>
        <w:shd w:val="clear" w:color="auto" w:fill="FFFFFF"/>
        <w:spacing w:beforeAutospacing="0" w:afterAutospacing="0" w:line="560" w:lineRule="atLeast"/>
        <w:ind w:firstLine="563"/>
        <w:rPr>
          <w:rFonts w:ascii="微软雅黑" w:hAnsi="微软雅黑" w:eastAsia="微软雅黑" w:cs="微软雅黑"/>
          <w:color w:val="000000"/>
          <w:szCs w:val="24"/>
        </w:rPr>
      </w:pPr>
      <w:r>
        <w:rPr>
          <w:rFonts w:hint="eastAsia" w:ascii="仿宋_GB2312" w:hAnsi="微软雅黑" w:eastAsia="仿宋_GB2312" w:cs="仿宋_GB2312"/>
          <w:color w:val="000000"/>
          <w:sz w:val="32"/>
          <w:szCs w:val="32"/>
          <w:shd w:val="clear" w:color="auto" w:fill="FFFFFF"/>
          <w:lang w:bidi="ar"/>
        </w:rPr>
        <w:t>（七）完成区委、区政府交办的其他任务。</w:t>
      </w:r>
    </w:p>
    <w:p>
      <w:pPr>
        <w:pStyle w:val="2"/>
        <w:widowControl/>
        <w:shd w:val="clear" w:color="auto" w:fill="FFFFFF"/>
        <w:spacing w:beforeAutospacing="0" w:afterAutospacing="0" w:line="560" w:lineRule="atLeast"/>
        <w:ind w:firstLine="563"/>
        <w:rPr>
          <w:rFonts w:ascii="微软雅黑" w:hAnsi="微软雅黑" w:eastAsia="微软雅黑" w:cs="微软雅黑"/>
          <w:color w:val="000000"/>
          <w:szCs w:val="24"/>
        </w:rPr>
      </w:pPr>
      <w:r>
        <w:rPr>
          <w:rFonts w:hint="eastAsia" w:ascii="仿宋_GB2312" w:hAnsi="微软雅黑" w:eastAsia="仿宋_GB2312" w:cs="仿宋_GB2312"/>
          <w:color w:val="000000"/>
          <w:sz w:val="32"/>
          <w:szCs w:val="32"/>
          <w:shd w:val="clear" w:color="auto" w:fill="FFFFFF"/>
          <w:lang w:bidi="ar"/>
        </w:rPr>
        <w:t>（八）与区卫生健康委员会的有关职责分工。区卫生健康委员会、区医疗保障局等部门在医疗、医保、医药等方面加强制度、政策衔接，建立沟通协商机制，协同推进工作落实，提高医疗资源使用效率和医疗保障水平。</w:t>
      </w:r>
    </w:p>
    <w:p>
      <w:pPr>
        <w:spacing w:line="592" w:lineRule="exact"/>
        <w:ind w:firstLine="643" w:firstLineChars="200"/>
        <w:rPr>
          <w:rFonts w:ascii="Times New Roman" w:hAnsi="Times New Roman" w:eastAsia="楷体_GB2312"/>
          <w:b/>
          <w:bCs/>
          <w:sz w:val="32"/>
        </w:rPr>
      </w:pPr>
      <w:r>
        <w:rPr>
          <w:rFonts w:ascii="Times New Roman" w:hAnsi="Times New Roman" w:eastAsia="楷体_GB2312"/>
          <w:b/>
          <w:bCs/>
          <w:sz w:val="32"/>
        </w:rPr>
        <w:t>（二）部门预算执行情况</w:t>
      </w:r>
    </w:p>
    <w:p>
      <w:pPr>
        <w:widowControl/>
        <w:spacing w:line="592"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2023</w:t>
      </w:r>
      <w:r>
        <w:rPr>
          <w:rFonts w:ascii="Times New Roman" w:hAnsi="Times New Roman" w:eastAsia="仿宋_GB2312"/>
          <w:bCs/>
          <w:sz w:val="32"/>
        </w:rPr>
        <w:t>年</w:t>
      </w:r>
      <w:r>
        <w:rPr>
          <w:rFonts w:hint="eastAsia" w:ascii="Times New Roman" w:hAnsi="Times New Roman" w:eastAsia="仿宋_GB2312"/>
          <w:bCs/>
          <w:sz w:val="32"/>
        </w:rPr>
        <w:t>区医保局</w:t>
      </w:r>
      <w:r>
        <w:rPr>
          <w:rFonts w:ascii="Times New Roman" w:hAnsi="Times New Roman" w:eastAsia="仿宋_GB2312"/>
          <w:bCs/>
          <w:sz w:val="32"/>
        </w:rPr>
        <w:t>年初部门预算安排</w:t>
      </w:r>
      <w:r>
        <w:rPr>
          <w:rFonts w:hint="eastAsia" w:ascii="Times New Roman" w:hAnsi="Times New Roman" w:eastAsia="仿宋_GB2312" w:cs="Times New Roman"/>
          <w:bCs/>
          <w:sz w:val="32"/>
          <w:lang w:val="en-US" w:eastAsia="zh-CN"/>
        </w:rPr>
        <w:t>1767.64</w:t>
      </w:r>
      <w:r>
        <w:rPr>
          <w:rFonts w:ascii="Times New Roman" w:hAnsi="Times New Roman" w:eastAsia="仿宋_GB2312"/>
          <w:bCs/>
          <w:sz w:val="32"/>
        </w:rPr>
        <w:t>万元，全年预算安排</w:t>
      </w:r>
      <w:r>
        <w:rPr>
          <w:rFonts w:hint="eastAsia" w:ascii="Times New Roman" w:hAnsi="Times New Roman" w:eastAsia="仿宋_GB2312" w:cs="Times New Roman"/>
          <w:bCs/>
          <w:sz w:val="32"/>
          <w:lang w:val="en-US" w:eastAsia="zh-CN"/>
        </w:rPr>
        <w:t>1767.64</w:t>
      </w:r>
      <w:r>
        <w:rPr>
          <w:rFonts w:ascii="Times New Roman" w:hAnsi="Times New Roman" w:eastAsia="仿宋_GB2312"/>
          <w:bCs/>
          <w:sz w:val="32"/>
        </w:rPr>
        <w:t>万元，全年执行</w:t>
      </w:r>
      <w:r>
        <w:rPr>
          <w:rFonts w:hint="eastAsia" w:ascii="Times New Roman" w:hAnsi="Times New Roman" w:eastAsia="仿宋_GB2312" w:cs="Times New Roman"/>
          <w:bCs/>
          <w:sz w:val="32"/>
          <w:lang w:val="en-US" w:eastAsia="zh-CN"/>
        </w:rPr>
        <w:t>1746.05</w:t>
      </w:r>
      <w:r>
        <w:rPr>
          <w:rFonts w:ascii="Times New Roman" w:hAnsi="Times New Roman" w:eastAsia="仿宋_GB2312"/>
          <w:bCs/>
          <w:sz w:val="32"/>
        </w:rPr>
        <w:t>万元，其中，基本支出</w:t>
      </w:r>
      <w:r>
        <w:rPr>
          <w:rFonts w:hint="eastAsia" w:ascii="Times New Roman" w:hAnsi="Times New Roman" w:eastAsia="仿宋_GB2312"/>
          <w:bCs/>
          <w:sz w:val="32"/>
        </w:rPr>
        <w:t>92.68</w:t>
      </w:r>
      <w:r>
        <w:rPr>
          <w:rFonts w:ascii="Times New Roman" w:hAnsi="Times New Roman" w:eastAsia="仿宋_GB2312"/>
          <w:bCs/>
          <w:sz w:val="32"/>
        </w:rPr>
        <w:t>万元，项目支出</w:t>
      </w:r>
      <w:r>
        <w:rPr>
          <w:rFonts w:hint="eastAsia" w:ascii="Times New Roman" w:hAnsi="Times New Roman" w:eastAsia="仿宋_GB2312"/>
          <w:bCs/>
          <w:sz w:val="32"/>
        </w:rPr>
        <w:t>1531.08</w:t>
      </w:r>
      <w:r>
        <w:rPr>
          <w:rFonts w:ascii="Times New Roman" w:hAnsi="Times New Roman" w:eastAsia="仿宋_GB2312"/>
          <w:bCs/>
          <w:sz w:val="32"/>
        </w:rPr>
        <w:t>万元。</w:t>
      </w:r>
    </w:p>
    <w:p>
      <w:pPr>
        <w:spacing w:line="600" w:lineRule="exact"/>
        <w:ind w:firstLine="643" w:firstLineChars="200"/>
        <w:rPr>
          <w:rFonts w:ascii="Times New Roman" w:hAnsi="Times New Roman" w:eastAsia="楷体_GB2312"/>
          <w:b/>
          <w:bCs/>
          <w:sz w:val="32"/>
        </w:rPr>
      </w:pPr>
      <w:r>
        <w:rPr>
          <w:rFonts w:ascii="Times New Roman" w:hAnsi="Times New Roman" w:eastAsia="楷体_GB2312"/>
          <w:b/>
          <w:bCs/>
          <w:sz w:val="32"/>
        </w:rPr>
        <w:t>（三）部门年度预算绩效目标任务及完成情况</w:t>
      </w:r>
    </w:p>
    <w:p>
      <w:pPr>
        <w:spacing w:line="600" w:lineRule="exact"/>
        <w:ind w:firstLine="640" w:firstLineChars="200"/>
        <w:rPr>
          <w:rFonts w:ascii="Times New Roman" w:hAnsi="Times New Roman" w:eastAsia="仿宋_GB2312"/>
          <w:bCs/>
          <w:sz w:val="32"/>
        </w:rPr>
      </w:pPr>
      <w:r>
        <w:rPr>
          <w:rFonts w:ascii="Times New Roman" w:hAnsi="Times New Roman" w:eastAsia="仿宋_GB2312"/>
          <w:bCs/>
          <w:sz w:val="32"/>
        </w:rPr>
        <w:t>1.部门年度总体目标</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1.抓好医疗保障宣传工作。一是做好舆论宣传工作。紧紧围绕医疗保障重点工作、重要改革和典型经验，充分利用各种新媒体，创新宣传方式，加大宣传力度，主动发布信息，准确释疑解惑，及时回应社会关切，切实提高宣传效果，营造良好的社会舆论氛围。二是开展医保政策宣传活动。充分利用宣传栏、宣传横幅、宣传折页等传统宣传方式，以及网络、显示屏、微信等现代宣传媒介加大城乡居民医保、城乡医疗救助、打击欺诈骗保等相关政策的宣传力度，让医保政策真正走进家庭、走进病房、进入职工和居民的心中。全年组织1-2次集中宣传活动。</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2.加强医保基金监管。一是开展打击欺诈骗保专项治理。根据国家、省、市医保局相关要求，结合我区实际，联合相关部门全面开展打击欺诈骗保专项治理工作，针对辖区内一</w:t>
      </w:r>
    </w:p>
    <w:p>
      <w:pPr>
        <w:spacing w:line="600" w:lineRule="exact"/>
        <w:rPr>
          <w:rFonts w:ascii="Times New Roman" w:hAnsi="Times New Roman" w:eastAsia="仿宋_GB2312"/>
          <w:bCs/>
          <w:sz w:val="32"/>
        </w:rPr>
      </w:pPr>
      <w:r>
        <w:rPr>
          <w:rFonts w:hint="eastAsia" w:ascii="Times New Roman" w:hAnsi="Times New Roman" w:eastAsia="仿宋_GB2312"/>
          <w:bCs/>
          <w:sz w:val="32"/>
        </w:rPr>
        <w:t>级及以下的医疗机构及定点零售药店进行全覆盖检查，并配合市医保部门对辖区内的二级及以上定点医疗机构进行检查，切实取得专项治理实效。二是做好医保投诉举报相关工作。公布举报投诉电话，并安排专人负责接听、受理、转办等工作。对于发现的违法违规行为，及时上报市医保局处理。三是做好监督执法工作。参加医保监督稽查行政执法人员考试，申领执法证，规范医保监督稽查执法流程及相关文书，积极参加监督稽查业务培训。四是推进综合监管。加强与卫健、公安等部门的沟通协调，建立综合监管的联动工作机制，形成基金监管合力，统筹推进医疗保障基金监管的协调指导和重大案件查处等工作。五是提升监管能力。积极参加市医保局打击欺诈骗取医疗保障基金工作专题培训，提升业务能力，创新监管方式。</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3.提升城乡医疗救助工作成效。一是强化救助档案管理。加强城乡医疗救助档案管理，做到一人一档，完善纸质档案，确保个人救助申请档案完整、准确。建立健全救助台账，实时掌握救助资金社会化发放情况。二是严格审核，规范程序。各街、镇、开发区要加强核查低收入家庭和因病致贫家庭申请救助对象的真实收入、家庭财产和安置房信息，做好入户调查、民主评议和公示工作，严格审核把关、评审认定等环节，精准组织实施。三是强化责任落实。区医保局承担城乡医疗救助工作组织实施，民政、财政、卫健委等部门承担相应职责，街、镇、开发区做好受理、审核工作，明确各单位责任部门、责任环节和责任人，构建完整的责任闭环，确保</w:t>
      </w:r>
    </w:p>
    <w:p>
      <w:pPr>
        <w:spacing w:line="600" w:lineRule="exact"/>
        <w:rPr>
          <w:rFonts w:ascii="Times New Roman" w:hAnsi="Times New Roman" w:eastAsia="仿宋_GB2312"/>
          <w:bCs/>
          <w:sz w:val="32"/>
        </w:rPr>
      </w:pPr>
      <w:r>
        <w:rPr>
          <w:rFonts w:hint="eastAsia" w:ascii="Times New Roman" w:hAnsi="Times New Roman" w:eastAsia="仿宋_GB2312"/>
          <w:bCs/>
          <w:sz w:val="32"/>
        </w:rPr>
        <w:t>办好事、办实事。</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4.做好城乡居民参保缴费工作。一是加强组织领导。指</w:t>
      </w:r>
    </w:p>
    <w:p>
      <w:pPr>
        <w:spacing w:line="600" w:lineRule="exact"/>
        <w:rPr>
          <w:rFonts w:ascii="Times New Roman" w:hAnsi="Times New Roman" w:eastAsia="仿宋_GB2312"/>
          <w:bCs/>
          <w:sz w:val="32"/>
        </w:rPr>
      </w:pPr>
      <w:r>
        <w:rPr>
          <w:rFonts w:hint="eastAsia" w:ascii="Times New Roman" w:hAnsi="Times New Roman" w:eastAsia="仿宋_GB2312"/>
          <w:bCs/>
          <w:sz w:val="32"/>
        </w:rPr>
        <w:t>导各街、镇、开发区把城乡居民基本医疗保险参保缴费工作</w:t>
      </w:r>
    </w:p>
    <w:p>
      <w:pPr>
        <w:spacing w:line="600" w:lineRule="exact"/>
        <w:rPr>
          <w:rFonts w:ascii="Times New Roman" w:hAnsi="Times New Roman" w:eastAsia="仿宋_GB2312"/>
          <w:bCs/>
          <w:sz w:val="32"/>
        </w:rPr>
      </w:pPr>
      <w:r>
        <w:rPr>
          <w:rFonts w:hint="eastAsia" w:ascii="Times New Roman" w:hAnsi="Times New Roman" w:eastAsia="仿宋_GB2312"/>
          <w:bCs/>
          <w:sz w:val="32"/>
        </w:rPr>
        <w:t>纳入重点工作，加强组织领导，制定切实可行的工作方案，</w:t>
      </w:r>
    </w:p>
    <w:p>
      <w:pPr>
        <w:spacing w:line="600" w:lineRule="exact"/>
        <w:rPr>
          <w:rFonts w:ascii="Times New Roman" w:hAnsi="Times New Roman" w:eastAsia="仿宋_GB2312"/>
          <w:bCs/>
          <w:sz w:val="32"/>
        </w:rPr>
      </w:pPr>
      <w:r>
        <w:rPr>
          <w:rFonts w:hint="eastAsia" w:ascii="Times New Roman" w:hAnsi="Times New Roman" w:eastAsia="仿宋_GB2312"/>
          <w:bCs/>
          <w:sz w:val="32"/>
        </w:rPr>
        <w:t>打好集中缴费攻坚战，确保按时完成参保率100%以上的目标任务。二是密切配合，保证质量。区医保局和有关单位要各负其责，密切协作。各街、镇、开发区要做好宣传动员和组织实施工作；区医保局对任务落实情况进行督导检查，及时通报工作进度，确保城乡居民基本医疗保险费征缴工作圆满完成。</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5.强化党的建设。一是始终以党的政治建设为统领。按</w:t>
      </w:r>
    </w:p>
    <w:p>
      <w:pPr>
        <w:spacing w:line="600" w:lineRule="exact"/>
        <w:rPr>
          <w:rFonts w:ascii="Times New Roman" w:hAnsi="Times New Roman" w:eastAsia="仿宋_GB2312"/>
          <w:bCs/>
          <w:sz w:val="32"/>
        </w:rPr>
      </w:pPr>
      <w:r>
        <w:rPr>
          <w:rFonts w:hint="eastAsia" w:ascii="Times New Roman" w:hAnsi="Times New Roman" w:eastAsia="仿宋_GB2312"/>
          <w:bCs/>
          <w:sz w:val="32"/>
        </w:rPr>
        <w:t>照区委的统一部署，积极组织开展学习贯彻习近平新时代中国特色社会主义思想主题教育，持续推进“两学一做”学习教育常态化、制度化。二是加强党风廉政建设。坚决贯彻全面从严治党要求，严格落实中央八项规定及其实施细则精神，压实“两个责任”,强化党内监督，营造良好政治生态，确保医疗保障工作领域风清气正。</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6.其他工作。全面完成日常工作。主要包括</w:t>
      </w:r>
      <w:r>
        <w:rPr>
          <w:rFonts w:hint="eastAsia" w:ascii="仿宋_GB2312" w:hAnsi="仿宋_GB2312" w:eastAsia="仿宋_GB2312" w:cs="仿宋_GB2312"/>
          <w:sz w:val="32"/>
          <w:szCs w:val="32"/>
        </w:rPr>
        <w:t>开展灵活就业医保参保登记工作、</w:t>
      </w:r>
      <w:r>
        <w:rPr>
          <w:rFonts w:hint="eastAsia" w:ascii="Times New Roman" w:hAnsi="Times New Roman" w:eastAsia="仿宋_GB2312"/>
          <w:bCs/>
          <w:sz w:val="32"/>
        </w:rPr>
        <w:t>政务公开、依法行政、精神文明建设、档案、政务信息、保密等工作任务。</w:t>
      </w:r>
    </w:p>
    <w:p>
      <w:pPr>
        <w:numPr>
          <w:ilvl w:val="0"/>
          <w:numId w:val="1"/>
        </w:numPr>
        <w:spacing w:line="600" w:lineRule="exact"/>
        <w:ind w:firstLine="640" w:firstLineChars="200"/>
        <w:rPr>
          <w:rFonts w:ascii="Times New Roman" w:hAnsi="Times New Roman" w:eastAsia="仿宋_GB2312"/>
          <w:bCs/>
          <w:sz w:val="32"/>
        </w:rPr>
      </w:pPr>
      <w:r>
        <w:rPr>
          <w:rFonts w:ascii="Times New Roman" w:hAnsi="Times New Roman" w:eastAsia="仿宋_GB2312"/>
          <w:bCs/>
          <w:sz w:val="32"/>
        </w:rPr>
        <w:t>总体目标完成情况</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2023年度，我局严格按照区委区政府和上级主管部门绩效考核指标开展工作，绩效目标的设定和预算的配置均按照要求不折不扣完成。</w:t>
      </w:r>
      <w:r>
        <w:rPr>
          <w:rFonts w:hint="eastAsia" w:ascii="仿宋_GB2312" w:hAnsi="仿宋_GB2312" w:eastAsia="仿宋_GB2312" w:cs="仿宋_GB2312"/>
          <w:sz w:val="32"/>
          <w:szCs w:val="32"/>
        </w:rPr>
        <w:t>全区医保资金金额大，覆盖面广，受益人数多。为了管理好这些资金，区医疗保障工作在区委、区政府和上级主管部门的正确领导下，在区直各有关部门的大力支持和配合下，认真贯彻落实上级医疗保障有关政策法规及文件精神，进一步规范财务流程，充分发挥基金效益，项目绩效总目标和阶段性目标均按时完成，参保群众受益度不断提高，社会效益明显。</w:t>
      </w:r>
    </w:p>
    <w:p>
      <w:pPr>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二、绩效自评结论</w:t>
      </w:r>
    </w:p>
    <w:p>
      <w:pPr>
        <w:spacing w:line="600" w:lineRule="exact"/>
        <w:ind w:firstLine="643" w:firstLineChars="200"/>
        <w:rPr>
          <w:rFonts w:ascii="Times New Roman" w:hAnsi="Times New Roman" w:eastAsia="楷体_GB2312"/>
          <w:b/>
          <w:bCs/>
          <w:sz w:val="32"/>
          <w:szCs w:val="24"/>
        </w:rPr>
      </w:pPr>
      <w:r>
        <w:rPr>
          <w:rFonts w:ascii="Times New Roman" w:hAnsi="Times New Roman" w:eastAsia="楷体_GB2312"/>
          <w:b/>
          <w:bCs/>
          <w:sz w:val="32"/>
          <w:szCs w:val="24"/>
        </w:rPr>
        <w:t>（一）总体结论</w:t>
      </w:r>
    </w:p>
    <w:p>
      <w:pPr>
        <w:spacing w:line="592"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bCs/>
          <w:sz w:val="32"/>
        </w:rPr>
        <w:t>2023</w:t>
      </w:r>
      <w:r>
        <w:rPr>
          <w:rFonts w:ascii="Times New Roman" w:hAnsi="Times New Roman" w:eastAsia="仿宋_GB2312"/>
          <w:sz w:val="32"/>
          <w:szCs w:val="32"/>
        </w:rPr>
        <w:t>年度，</w:t>
      </w:r>
      <w:r>
        <w:rPr>
          <w:rFonts w:hint="eastAsia" w:ascii="Times New Roman" w:hAnsi="Times New Roman" w:eastAsia="仿宋_GB2312"/>
          <w:color w:val="000000"/>
          <w:sz w:val="32"/>
          <w:szCs w:val="32"/>
        </w:rPr>
        <w:t>区医保局</w:t>
      </w:r>
      <w:r>
        <w:rPr>
          <w:rFonts w:ascii="Times New Roman" w:hAnsi="Times New Roman" w:eastAsia="仿宋_GB2312"/>
          <w:sz w:val="32"/>
          <w:szCs w:val="32"/>
        </w:rPr>
        <w:t>预算执行良好，年初设定的部门整体支出绩效目标基本完成，部门整体支出效益良好，</w:t>
      </w:r>
      <w:r>
        <w:rPr>
          <w:rFonts w:ascii="Times New Roman" w:hAnsi="Times New Roman" w:eastAsia="仿宋_GB2312"/>
          <w:color w:val="000000"/>
          <w:sz w:val="32"/>
          <w:szCs w:val="32"/>
        </w:rPr>
        <w:t>具体包括：一是</w:t>
      </w:r>
      <w:r>
        <w:rPr>
          <w:rFonts w:hint="eastAsia" w:ascii="Times New Roman" w:hAnsi="Times New Roman" w:eastAsia="仿宋_GB2312"/>
          <w:color w:val="000000"/>
          <w:sz w:val="32"/>
          <w:szCs w:val="32"/>
        </w:rPr>
        <w:t>严格按照年初预算进行支出，确保年初预算能够全面落实</w:t>
      </w:r>
      <w:r>
        <w:rPr>
          <w:rFonts w:ascii="Times New Roman" w:hAnsi="Times New Roman" w:eastAsia="仿宋_GB2312"/>
          <w:color w:val="000000"/>
          <w:sz w:val="32"/>
          <w:szCs w:val="32"/>
        </w:rPr>
        <w:t>；二是</w:t>
      </w:r>
      <w:r>
        <w:rPr>
          <w:rFonts w:hint="eastAsia" w:ascii="Times New Roman" w:hAnsi="Times New Roman" w:eastAsia="仿宋_GB2312"/>
          <w:color w:val="000000"/>
          <w:sz w:val="32"/>
          <w:szCs w:val="32"/>
        </w:rPr>
        <w:t>强化预算绩效管理，加强序时进度支出，确保支出始终符合序时进度要求</w:t>
      </w:r>
      <w:r>
        <w:rPr>
          <w:rFonts w:ascii="Times New Roman" w:hAnsi="Times New Roman" w:eastAsia="仿宋_GB2312"/>
          <w:color w:val="000000"/>
          <w:sz w:val="32"/>
          <w:szCs w:val="32"/>
        </w:rPr>
        <w:t>。</w:t>
      </w:r>
    </w:p>
    <w:p>
      <w:pPr>
        <w:spacing w:line="600" w:lineRule="exact"/>
        <w:ind w:firstLine="643" w:firstLineChars="200"/>
        <w:rPr>
          <w:rFonts w:ascii="Times New Roman" w:hAnsi="Times New Roman" w:eastAsia="楷体_GB2312"/>
          <w:b/>
          <w:bCs/>
          <w:sz w:val="32"/>
          <w:szCs w:val="24"/>
        </w:rPr>
      </w:pPr>
      <w:r>
        <w:rPr>
          <w:rFonts w:ascii="Times New Roman" w:hAnsi="Times New Roman" w:eastAsia="楷体_GB2312"/>
          <w:b/>
          <w:bCs/>
          <w:sz w:val="32"/>
          <w:szCs w:val="24"/>
        </w:rPr>
        <w:t>（二）自评结果</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经自评，</w:t>
      </w:r>
      <w:r>
        <w:rPr>
          <w:rFonts w:hint="eastAsia" w:ascii="Times New Roman" w:hAnsi="Times New Roman" w:eastAsia="仿宋_GB2312"/>
          <w:bCs/>
          <w:sz w:val="32"/>
        </w:rPr>
        <w:t>2023</w:t>
      </w:r>
      <w:r>
        <w:rPr>
          <w:rFonts w:ascii="Times New Roman" w:hAnsi="Times New Roman" w:eastAsia="仿宋_GB2312"/>
          <w:color w:val="000000"/>
          <w:sz w:val="32"/>
          <w:szCs w:val="32"/>
        </w:rPr>
        <w:t>年度</w:t>
      </w:r>
      <w:r>
        <w:rPr>
          <w:rFonts w:hint="eastAsia" w:ascii="Times New Roman" w:hAnsi="Times New Roman" w:eastAsia="仿宋_GB2312"/>
          <w:sz w:val="32"/>
          <w:szCs w:val="32"/>
        </w:rPr>
        <w:t>区医保局</w:t>
      </w:r>
      <w:r>
        <w:rPr>
          <w:rFonts w:ascii="Times New Roman" w:hAnsi="Times New Roman" w:eastAsia="仿宋_GB2312"/>
          <w:sz w:val="32"/>
          <w:szCs w:val="32"/>
        </w:rPr>
        <w:t>部门整体支出</w:t>
      </w:r>
      <w:r>
        <w:rPr>
          <w:rFonts w:ascii="Times New Roman" w:hAnsi="Times New Roman" w:eastAsia="仿宋_GB2312"/>
          <w:color w:val="000000"/>
          <w:sz w:val="32"/>
          <w:szCs w:val="32"/>
        </w:rPr>
        <w:t>绩效自评综合得分为</w:t>
      </w:r>
      <w:r>
        <w:rPr>
          <w:rFonts w:hint="eastAsia" w:ascii="Times New Roman" w:hAnsi="Times New Roman" w:eastAsia="仿宋_GB2312"/>
          <w:color w:val="000000"/>
          <w:sz w:val="32"/>
          <w:szCs w:val="32"/>
        </w:rPr>
        <w:t>96.88</w:t>
      </w:r>
      <w:r>
        <w:rPr>
          <w:rFonts w:ascii="Times New Roman" w:hAnsi="Times New Roman" w:eastAsia="仿宋_GB2312"/>
          <w:color w:val="000000"/>
          <w:sz w:val="32"/>
          <w:szCs w:val="32"/>
        </w:rPr>
        <w:t>分，自评结果为“</w:t>
      </w:r>
      <w:r>
        <w:rPr>
          <w:rFonts w:hint="eastAsia" w:ascii="Times New Roman" w:hAnsi="Times New Roman" w:eastAsia="仿宋_GB2312"/>
          <w:sz w:val="32"/>
          <w:szCs w:val="32"/>
        </w:rPr>
        <w:t>优</w:t>
      </w:r>
      <w:r>
        <w:rPr>
          <w:rFonts w:ascii="Times New Roman" w:hAnsi="Times New Roman" w:eastAsia="仿宋_GB2312"/>
          <w:color w:val="000000"/>
          <w:sz w:val="32"/>
          <w:szCs w:val="32"/>
        </w:rPr>
        <w:t>”。</w:t>
      </w:r>
    </w:p>
    <w:p>
      <w:pPr>
        <w:spacing w:line="600" w:lineRule="exact"/>
        <w:ind w:firstLine="640" w:firstLineChars="200"/>
        <w:rPr>
          <w:rFonts w:ascii="Times New Roman" w:hAnsi="Times New Roman" w:eastAsia="黑体"/>
          <w:bCs/>
          <w:sz w:val="32"/>
        </w:rPr>
      </w:pPr>
      <w:r>
        <w:rPr>
          <w:rFonts w:ascii="Times New Roman" w:hAnsi="Times New Roman" w:eastAsia="黑体"/>
          <w:bCs/>
          <w:sz w:val="32"/>
        </w:rPr>
        <w:t>三、指标分析</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bCs/>
          <w:sz w:val="32"/>
        </w:rPr>
        <w:t>2023</w:t>
      </w:r>
      <w:r>
        <w:rPr>
          <w:rFonts w:ascii="Times New Roman" w:hAnsi="Times New Roman" w:eastAsia="仿宋_GB2312"/>
          <w:color w:val="000000"/>
          <w:sz w:val="32"/>
          <w:szCs w:val="32"/>
        </w:rPr>
        <w:t>年度</w:t>
      </w:r>
      <w:r>
        <w:rPr>
          <w:rFonts w:hint="eastAsia" w:ascii="Times New Roman" w:hAnsi="Times New Roman" w:eastAsia="仿宋_GB2312"/>
          <w:color w:val="000000"/>
          <w:sz w:val="32"/>
          <w:szCs w:val="32"/>
        </w:rPr>
        <w:t>，区医保局</w:t>
      </w:r>
      <w:r>
        <w:rPr>
          <w:rFonts w:ascii="Times New Roman" w:hAnsi="Times New Roman" w:eastAsia="仿宋_GB2312"/>
          <w:color w:val="000000"/>
          <w:sz w:val="32"/>
          <w:szCs w:val="32"/>
        </w:rPr>
        <w:t>部门整体支出绩效自评指标体系设置</w:t>
      </w:r>
      <w:r>
        <w:rPr>
          <w:rFonts w:hint="eastAsia" w:ascii="Times New Roman" w:hAnsi="Times New Roman" w:eastAsia="仿宋_GB2312"/>
          <w:color w:val="000000"/>
          <w:sz w:val="32"/>
          <w:szCs w:val="32"/>
        </w:rPr>
        <w:t>预算执行率和</w:t>
      </w:r>
      <w:r>
        <w:rPr>
          <w:rFonts w:ascii="Times New Roman" w:hAnsi="Times New Roman" w:eastAsia="仿宋_GB2312"/>
          <w:bCs/>
          <w:sz w:val="32"/>
        </w:rPr>
        <w:t>3</w:t>
      </w:r>
      <w:r>
        <w:rPr>
          <w:rFonts w:ascii="Times New Roman" w:hAnsi="Times New Roman" w:eastAsia="仿宋_GB2312"/>
          <w:color w:val="000000"/>
          <w:sz w:val="32"/>
          <w:szCs w:val="32"/>
        </w:rPr>
        <w:t>个一级指标，</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个二级指标，</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个三级指标，各项指标评分情况分析如下：</w:t>
      </w:r>
    </w:p>
    <w:p>
      <w:pPr>
        <w:spacing w:line="600" w:lineRule="exact"/>
        <w:ind w:firstLine="643" w:firstLineChars="200"/>
        <w:rPr>
          <w:rFonts w:ascii="Times New Roman" w:hAnsi="Times New Roman" w:eastAsia="楷体_GB2312"/>
          <w:b/>
          <w:bCs/>
          <w:sz w:val="32"/>
        </w:rPr>
      </w:pPr>
      <w:r>
        <w:rPr>
          <w:rFonts w:ascii="Times New Roman" w:hAnsi="Times New Roman" w:eastAsia="楷体_GB2312"/>
          <w:b/>
          <w:bCs/>
          <w:sz w:val="32"/>
        </w:rPr>
        <w:t>（一）预算执行率（满分10分，实得</w:t>
      </w:r>
      <w:r>
        <w:rPr>
          <w:rFonts w:hint="eastAsia" w:ascii="Times New Roman" w:hAnsi="Times New Roman" w:eastAsia="楷体_GB2312"/>
          <w:b/>
          <w:bCs/>
          <w:sz w:val="32"/>
        </w:rPr>
        <w:t>9.88</w:t>
      </w:r>
      <w:r>
        <w:rPr>
          <w:rFonts w:ascii="Times New Roman" w:hAnsi="Times New Roman" w:eastAsia="楷体_GB2312"/>
          <w:b/>
          <w:bCs/>
          <w:sz w:val="32"/>
        </w:rPr>
        <w:t>分）</w:t>
      </w:r>
    </w:p>
    <w:p>
      <w:pPr>
        <w:spacing w:line="592" w:lineRule="exact"/>
        <w:ind w:right="-283"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，区医保局</w:t>
      </w:r>
      <w:r>
        <w:rPr>
          <w:rFonts w:ascii="Times New Roman" w:hAnsi="Times New Roman" w:eastAsia="仿宋_GB2312"/>
          <w:color w:val="000000"/>
          <w:sz w:val="32"/>
          <w:szCs w:val="32"/>
        </w:rPr>
        <w:t>全年预算安排</w:t>
      </w:r>
      <w:r>
        <w:rPr>
          <w:rFonts w:hint="eastAsia" w:ascii="Times New Roman" w:hAnsi="Times New Roman" w:eastAsia="仿宋_GB2312"/>
          <w:color w:val="000000"/>
          <w:sz w:val="32"/>
          <w:szCs w:val="32"/>
        </w:rPr>
        <w:t>1767.64</w:t>
      </w:r>
      <w:r>
        <w:rPr>
          <w:rFonts w:ascii="Times New Roman" w:hAnsi="Times New Roman" w:eastAsia="仿宋_GB2312"/>
          <w:color w:val="000000"/>
          <w:sz w:val="32"/>
          <w:szCs w:val="32"/>
        </w:rPr>
        <w:t>万元，全年执行</w:t>
      </w:r>
      <w:r>
        <w:rPr>
          <w:rFonts w:hint="eastAsia" w:ascii="Times New Roman" w:hAnsi="Times New Roman" w:eastAsia="仿宋_GB2312"/>
          <w:color w:val="000000"/>
          <w:sz w:val="32"/>
          <w:szCs w:val="32"/>
        </w:rPr>
        <w:t>1746.05</w:t>
      </w:r>
      <w:r>
        <w:rPr>
          <w:rFonts w:ascii="Times New Roman" w:hAnsi="Times New Roman" w:eastAsia="仿宋_GB2312"/>
          <w:color w:val="000000"/>
          <w:sz w:val="32"/>
          <w:szCs w:val="32"/>
        </w:rPr>
        <w:t>万元，预算执行率</w:t>
      </w:r>
      <w:r>
        <w:rPr>
          <w:rFonts w:hint="eastAsia" w:ascii="Times New Roman" w:hAnsi="Times New Roman" w:eastAsia="仿宋_GB2312"/>
          <w:color w:val="000000"/>
          <w:sz w:val="32"/>
          <w:szCs w:val="32"/>
        </w:rPr>
        <w:t>98.78</w:t>
      </w:r>
      <w:r>
        <w:rPr>
          <w:rFonts w:ascii="Times New Roman" w:hAnsi="Times New Roman" w:eastAsia="仿宋_GB2312"/>
          <w:color w:val="000000"/>
          <w:sz w:val="32"/>
          <w:szCs w:val="32"/>
        </w:rPr>
        <w:t>%，得分</w:t>
      </w:r>
      <w:r>
        <w:rPr>
          <w:rFonts w:hint="eastAsia" w:ascii="Times New Roman" w:hAnsi="Times New Roman" w:eastAsia="仿宋_GB2312"/>
          <w:color w:val="000000"/>
          <w:sz w:val="32"/>
          <w:szCs w:val="32"/>
        </w:rPr>
        <w:t>9.88</w:t>
      </w:r>
      <w:r>
        <w:rPr>
          <w:rFonts w:ascii="Times New Roman" w:hAnsi="Times New Roman" w:eastAsia="仿宋_GB2312"/>
          <w:color w:val="000000"/>
          <w:sz w:val="32"/>
          <w:szCs w:val="32"/>
        </w:rPr>
        <w:t>分。未完成的主要原因是</w:t>
      </w:r>
      <w:r>
        <w:rPr>
          <w:rFonts w:hint="eastAsia" w:ascii="Times New Roman" w:hAnsi="Times New Roman" w:eastAsia="仿宋_GB2312"/>
          <w:color w:val="000000"/>
          <w:sz w:val="32"/>
          <w:szCs w:val="32"/>
        </w:rPr>
        <w:t>部分项目费用根据实际完成进度序时支付</w:t>
      </w:r>
      <w:r>
        <w:rPr>
          <w:rFonts w:ascii="Times New Roman" w:hAnsi="Times New Roman" w:eastAsia="仿宋_GB2312"/>
          <w:color w:val="000000"/>
          <w:sz w:val="32"/>
          <w:szCs w:val="32"/>
        </w:rPr>
        <w:t>。</w:t>
      </w:r>
    </w:p>
    <w:p>
      <w:pPr>
        <w:spacing w:line="600" w:lineRule="exact"/>
        <w:ind w:firstLine="643" w:firstLineChars="200"/>
        <w:rPr>
          <w:rFonts w:ascii="Times New Roman" w:hAnsi="Times New Roman" w:eastAsia="楷体_GB2312"/>
          <w:b/>
          <w:bCs/>
          <w:sz w:val="32"/>
          <w:szCs w:val="24"/>
        </w:rPr>
      </w:pPr>
      <w:r>
        <w:rPr>
          <w:rFonts w:ascii="Times New Roman" w:hAnsi="Times New Roman" w:eastAsia="楷体_GB2312"/>
          <w:b/>
          <w:bCs/>
          <w:sz w:val="32"/>
          <w:szCs w:val="24"/>
        </w:rPr>
        <w:t>（</w:t>
      </w:r>
      <w:r>
        <w:rPr>
          <w:rFonts w:ascii="Times New Roman" w:hAnsi="Times New Roman" w:eastAsia="楷体_GB2312"/>
          <w:b/>
          <w:bCs/>
          <w:sz w:val="32"/>
        </w:rPr>
        <w:t>二</w:t>
      </w:r>
      <w:r>
        <w:rPr>
          <w:rFonts w:ascii="Times New Roman" w:hAnsi="Times New Roman" w:eastAsia="楷体_GB2312"/>
          <w:b/>
          <w:bCs/>
          <w:sz w:val="32"/>
          <w:szCs w:val="24"/>
        </w:rPr>
        <w:t>）产出指标（满分</w:t>
      </w:r>
      <w:r>
        <w:rPr>
          <w:rFonts w:ascii="Times New Roman" w:hAnsi="Times New Roman" w:eastAsia="楷体_GB2312"/>
          <w:b/>
          <w:bCs/>
          <w:sz w:val="32"/>
        </w:rPr>
        <w:t>5</w:t>
      </w:r>
      <w:r>
        <w:rPr>
          <w:rFonts w:ascii="Times New Roman" w:hAnsi="Times New Roman" w:eastAsia="楷体_GB2312"/>
          <w:b/>
          <w:bCs/>
          <w:sz w:val="32"/>
          <w:szCs w:val="24"/>
        </w:rPr>
        <w:t>0分，实得</w:t>
      </w:r>
      <w:r>
        <w:rPr>
          <w:rFonts w:hint="eastAsia" w:ascii="Times New Roman" w:hAnsi="Times New Roman" w:eastAsia="楷体_GB2312"/>
          <w:b/>
          <w:bCs/>
          <w:sz w:val="32"/>
          <w:szCs w:val="24"/>
        </w:rPr>
        <w:t>47</w:t>
      </w:r>
      <w:r>
        <w:rPr>
          <w:rFonts w:ascii="Times New Roman" w:hAnsi="Times New Roman" w:eastAsia="楷体_GB2312"/>
          <w:b/>
          <w:bCs/>
          <w:sz w:val="32"/>
          <w:szCs w:val="24"/>
        </w:rPr>
        <w:t>分）</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bCs/>
          <w:sz w:val="32"/>
        </w:rPr>
        <w:t>1.数量指标（满分</w:t>
      </w:r>
      <w:r>
        <w:rPr>
          <w:rFonts w:hint="eastAsia" w:ascii="Times New Roman" w:hAnsi="Times New Roman" w:eastAsia="仿宋_GB2312"/>
          <w:bCs/>
          <w:sz w:val="32"/>
        </w:rPr>
        <w:t>15</w:t>
      </w:r>
      <w:r>
        <w:rPr>
          <w:rFonts w:ascii="Times New Roman" w:hAnsi="Times New Roman" w:eastAsia="仿宋_GB2312"/>
          <w:bCs/>
          <w:sz w:val="32"/>
        </w:rPr>
        <w:t>分</w:t>
      </w:r>
      <w:r>
        <w:rPr>
          <w:rFonts w:ascii="Times New Roman" w:hAnsi="Times New Roman" w:eastAsia="仿宋_GB2312"/>
          <w:color w:val="000000"/>
          <w:sz w:val="32"/>
          <w:szCs w:val="32"/>
        </w:rPr>
        <w:t>，实得</w:t>
      </w:r>
      <w:r>
        <w:rPr>
          <w:rFonts w:hint="eastAsia" w:ascii="Times New Roman" w:hAnsi="Times New Roman" w:eastAsia="仿宋_GB2312"/>
          <w:color w:val="000000"/>
          <w:sz w:val="32"/>
          <w:szCs w:val="32"/>
        </w:rPr>
        <w:t>15</w:t>
      </w:r>
      <w:r>
        <w:rPr>
          <w:rFonts w:ascii="Times New Roman" w:hAnsi="Times New Roman" w:eastAsia="仿宋_GB2312"/>
          <w:color w:val="000000"/>
          <w:sz w:val="32"/>
          <w:szCs w:val="32"/>
        </w:rPr>
        <w:t>分）</w:t>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年初设定的数量指标为</w:t>
      </w:r>
      <w:r>
        <w:rPr>
          <w:rFonts w:hint="eastAsia" w:ascii="Times New Roman" w:hAnsi="Times New Roman" w:eastAsia="仿宋_GB2312"/>
          <w:color w:val="000000"/>
          <w:sz w:val="32"/>
          <w:szCs w:val="32"/>
        </w:rPr>
        <w:t>1.做好城乡医疗救助工作；2.做好城乡居民参保工作；3.做好打击欺诈骗保工作。</w:t>
      </w:r>
      <w:r>
        <w:rPr>
          <w:rFonts w:ascii="Times New Roman" w:hAnsi="Times New Roman" w:eastAsia="仿宋_GB2312"/>
          <w:color w:val="000000"/>
          <w:sz w:val="32"/>
          <w:szCs w:val="32"/>
        </w:rPr>
        <w:t>截至</w:t>
      </w:r>
      <w:r>
        <w:rPr>
          <w:rFonts w:hint="eastAsia" w:ascii="Times New Roman" w:hAnsi="Times New Roman" w:eastAsia="仿宋_GB2312"/>
          <w:bCs/>
          <w:sz w:val="32"/>
        </w:rPr>
        <w:t>2023</w:t>
      </w:r>
      <w:r>
        <w:rPr>
          <w:rFonts w:ascii="Times New Roman" w:hAnsi="Times New Roman" w:eastAsia="仿宋_GB2312"/>
          <w:color w:val="000000"/>
          <w:sz w:val="32"/>
          <w:szCs w:val="32"/>
        </w:rPr>
        <w:t>年底，</w:t>
      </w:r>
      <w:r>
        <w:rPr>
          <w:rFonts w:hint="eastAsia" w:ascii="仿宋_GB2312" w:hAnsi="仿宋_GB2312" w:eastAsia="仿宋_GB2312" w:cs="仿宋_GB2312"/>
          <w:color w:val="000000"/>
          <w:sz w:val="32"/>
          <w:szCs w:val="32"/>
        </w:rPr>
        <w:t>全区城乡医疗救助共支出1318</w:t>
      </w:r>
      <w:bookmarkStart w:id="0" w:name="_GoBack"/>
      <w:bookmarkEnd w:id="0"/>
      <w:r>
        <w:rPr>
          <w:rFonts w:hint="eastAsia" w:ascii="仿宋_GB2312" w:hAnsi="仿宋_GB2312" w:eastAsia="仿宋_GB2312" w:cs="仿宋_GB2312"/>
          <w:color w:val="000000"/>
          <w:sz w:val="32"/>
          <w:szCs w:val="32"/>
        </w:rPr>
        <w:t>.14万元，其中医疗救助1.13万人次，医疗救助基金支出1213.87万元；资助参保3304人，资助金额104.27万元。完善监测机制和回访机制，组织开展未参保人员、自付医疗费用超过1万人员、农村低收入人口慢特病证办理摸排筛查，推动落实各项帮扶政策，努力实现“应保尽保”“应救尽救”，截至目前，个人费用预警推送共20856人次，推送后认定人数56人次，实现由人找政策向政策找人主动服务转变，同时按全市统一部署，完成困难群体回访工作，回访人数1461人，回访率100%。</w:t>
      </w:r>
      <w:r>
        <w:rPr>
          <w:rFonts w:ascii="Times New Roman" w:hAnsi="Times New Roman" w:eastAsia="仿宋_GB2312"/>
          <w:color w:val="000000"/>
          <w:sz w:val="32"/>
          <w:szCs w:val="32"/>
        </w:rPr>
        <w:t>实际完成率为</w:t>
      </w:r>
      <w:r>
        <w:rPr>
          <w:rFonts w:hint="eastAsia" w:ascii="Times New Roman" w:hAnsi="Times New Roman" w:eastAsia="仿宋_GB2312"/>
          <w:color w:val="000000"/>
          <w:sz w:val="32"/>
          <w:szCs w:val="32"/>
        </w:rPr>
        <w:t>100</w:t>
      </w:r>
      <w:r>
        <w:rPr>
          <w:rFonts w:ascii="Times New Roman" w:hAnsi="Times New Roman" w:eastAsia="仿宋_GB2312"/>
          <w:color w:val="000000"/>
          <w:sz w:val="32"/>
          <w:szCs w:val="32"/>
        </w:rPr>
        <w:t>%，得分</w:t>
      </w:r>
      <w:r>
        <w:rPr>
          <w:rFonts w:hint="eastAsia" w:ascii="Times New Roman" w:hAnsi="Times New Roman" w:eastAsia="仿宋_GB2312"/>
          <w:color w:val="000000"/>
          <w:sz w:val="32"/>
          <w:szCs w:val="32"/>
        </w:rPr>
        <w:t>15</w:t>
      </w:r>
      <w:r>
        <w:rPr>
          <w:rFonts w:ascii="Times New Roman" w:hAnsi="Times New Roman" w:eastAsia="仿宋_GB2312"/>
          <w:color w:val="000000"/>
          <w:sz w:val="32"/>
          <w:szCs w:val="32"/>
        </w:rPr>
        <w:t>分。</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bCs/>
          <w:sz w:val="32"/>
        </w:rPr>
        <w:t>2.时效指标（满分</w:t>
      </w:r>
      <w:r>
        <w:rPr>
          <w:rFonts w:hint="eastAsia" w:ascii="Times New Roman" w:hAnsi="Times New Roman" w:eastAsia="仿宋_GB2312"/>
          <w:bCs/>
          <w:sz w:val="32"/>
        </w:rPr>
        <w:t>10</w:t>
      </w:r>
      <w:r>
        <w:rPr>
          <w:rFonts w:ascii="Times New Roman" w:hAnsi="Times New Roman" w:eastAsia="仿宋_GB2312"/>
          <w:bCs/>
          <w:sz w:val="32"/>
        </w:rPr>
        <w:t>分</w:t>
      </w:r>
      <w:r>
        <w:rPr>
          <w:rFonts w:ascii="Times New Roman" w:hAnsi="Times New Roman" w:eastAsia="仿宋_GB2312"/>
          <w:color w:val="000000"/>
          <w:sz w:val="32"/>
          <w:szCs w:val="32"/>
        </w:rPr>
        <w:t>，实得</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年初设定的时效指标为</w:t>
      </w:r>
      <w:r>
        <w:rPr>
          <w:rFonts w:hint="eastAsia" w:ascii="Times New Roman" w:hAnsi="Times New Roman" w:eastAsia="仿宋_GB2312"/>
          <w:color w:val="000000"/>
          <w:sz w:val="32"/>
          <w:szCs w:val="32"/>
        </w:rPr>
        <w:t>1.区级财政对城乡居民基本医疗保险的补助资金9月底之前打入市医保中心医保基金专户；2.区级参保工作奖励经费10月底之前打入各街镇开发区账户；3.截至12月31日，城乡医疗救助资金代参保缴费完成率100%。</w:t>
      </w:r>
      <w:r>
        <w:rPr>
          <w:rFonts w:ascii="Times New Roman" w:hAnsi="Times New Roman" w:eastAsia="仿宋_GB2312"/>
          <w:color w:val="000000"/>
          <w:sz w:val="32"/>
          <w:szCs w:val="32"/>
        </w:rPr>
        <w:t>实际完成情况为</w:t>
      </w:r>
      <w:r>
        <w:rPr>
          <w:rFonts w:hint="eastAsia" w:ascii="Times New Roman" w:hAnsi="Times New Roman" w:eastAsia="仿宋_GB2312"/>
          <w:color w:val="000000"/>
          <w:sz w:val="32"/>
          <w:szCs w:val="32"/>
        </w:rPr>
        <w:t>均已按时完成相关任务</w:t>
      </w:r>
      <w:r>
        <w:rPr>
          <w:rFonts w:ascii="Times New Roman" w:hAnsi="Times New Roman" w:eastAsia="仿宋_GB2312"/>
          <w:b/>
          <w:color w:val="000000"/>
          <w:sz w:val="32"/>
          <w:szCs w:val="32"/>
        </w:rPr>
        <w:t>，</w:t>
      </w:r>
      <w:r>
        <w:rPr>
          <w:rFonts w:ascii="Times New Roman" w:hAnsi="Times New Roman" w:eastAsia="仿宋_GB2312"/>
          <w:color w:val="000000"/>
          <w:sz w:val="32"/>
          <w:szCs w:val="32"/>
        </w:rPr>
        <w:t>得分</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bCs/>
          <w:sz w:val="32"/>
        </w:rPr>
        <w:t>3.质量指标（满分</w:t>
      </w:r>
      <w:r>
        <w:rPr>
          <w:rFonts w:hint="eastAsia" w:ascii="Times New Roman" w:hAnsi="Times New Roman" w:eastAsia="仿宋_GB2312"/>
          <w:bCs/>
          <w:sz w:val="32"/>
        </w:rPr>
        <w:t>15</w:t>
      </w:r>
      <w:r>
        <w:rPr>
          <w:rFonts w:ascii="Times New Roman" w:hAnsi="Times New Roman" w:eastAsia="仿宋_GB2312"/>
          <w:bCs/>
          <w:sz w:val="32"/>
        </w:rPr>
        <w:t>分</w:t>
      </w:r>
      <w:r>
        <w:rPr>
          <w:rFonts w:ascii="Times New Roman" w:hAnsi="Times New Roman" w:eastAsia="仿宋_GB2312"/>
          <w:color w:val="000000"/>
          <w:sz w:val="32"/>
          <w:szCs w:val="32"/>
        </w:rPr>
        <w:t>，实得</w:t>
      </w:r>
      <w:r>
        <w:rPr>
          <w:rFonts w:hint="eastAsia" w:ascii="Times New Roman" w:hAnsi="Times New Roman" w:eastAsia="仿宋_GB2312"/>
          <w:color w:val="000000"/>
          <w:sz w:val="32"/>
          <w:szCs w:val="32"/>
        </w:rPr>
        <w:t>15</w:t>
      </w:r>
      <w:r>
        <w:rPr>
          <w:rFonts w:ascii="Times New Roman" w:hAnsi="Times New Roman" w:eastAsia="仿宋_GB2312"/>
          <w:color w:val="000000"/>
          <w:sz w:val="32"/>
          <w:szCs w:val="32"/>
        </w:rPr>
        <w:t>分）</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年初设定的质量指标为</w:t>
      </w:r>
      <w:r>
        <w:rPr>
          <w:rFonts w:hint="eastAsia" w:ascii="Times New Roman" w:hAnsi="Times New Roman" w:eastAsia="仿宋_GB2312"/>
          <w:color w:val="000000"/>
          <w:sz w:val="32"/>
          <w:szCs w:val="32"/>
        </w:rPr>
        <w:t>1.做好城乡医疗救助工作；2.做好城乡居民参保工作；3.做好打击欺诈骗保工作。</w:t>
      </w:r>
      <w:r>
        <w:rPr>
          <w:rFonts w:ascii="Times New Roman" w:hAnsi="Times New Roman" w:eastAsia="仿宋_GB2312"/>
          <w:color w:val="000000"/>
          <w:sz w:val="32"/>
          <w:szCs w:val="32"/>
        </w:rPr>
        <w:t>实际完成情况为</w:t>
      </w:r>
      <w:r>
        <w:rPr>
          <w:rFonts w:hint="eastAsia" w:ascii="仿宋_GB2312" w:hAnsi="仿宋_GB2312" w:eastAsia="仿宋_GB2312" w:cs="仿宋_GB2312"/>
          <w:color w:val="000000"/>
          <w:sz w:val="32"/>
          <w:szCs w:val="32"/>
        </w:rPr>
        <w:t>去年9月集中参保期以来，区医保局加强组织，广角度、全方位开展宣传活动，引导居民积极参保，同时积极与卫健、民政、乡村振兴等部门对接，细致做好资助参保对象参保工作，防止出现漏保、错保问题。在集中参保期延长后，重点做好春节期间基本医疗保险未参保人员摸排工作，对</w:t>
      </w:r>
      <w:r>
        <w:rPr>
          <w:rFonts w:hint="eastAsia" w:ascii="仿宋_GB2312" w:hAnsi="仿宋_GB2312" w:eastAsia="仿宋_GB2312" w:cs="仿宋_GB2312"/>
          <w:color w:val="000000"/>
          <w:kern w:val="0"/>
          <w:sz w:val="32"/>
          <w:szCs w:val="32"/>
        </w:rPr>
        <w:t>3.13</w:t>
      </w:r>
      <w:r>
        <w:rPr>
          <w:rFonts w:hint="eastAsia" w:ascii="仿宋_GB2312" w:hAnsi="仿宋_GB2312" w:eastAsia="仿宋_GB2312" w:cs="仿宋_GB2312"/>
          <w:color w:val="000000"/>
          <w:sz w:val="32"/>
          <w:szCs w:val="32"/>
        </w:rPr>
        <w:t>万名未参保人员进行筛查，努力实现“应保尽保”。截至2月29日，完成参保任务数23.59万人，完成参保率105.67%</w:t>
      </w:r>
      <w:r>
        <w:rPr>
          <w:rFonts w:ascii="Times New Roman" w:hAnsi="Times New Roman" w:eastAsia="楷体"/>
          <w:color w:val="000000"/>
          <w:sz w:val="32"/>
          <w:szCs w:val="32"/>
        </w:rPr>
        <w:t>，</w:t>
      </w:r>
      <w:r>
        <w:rPr>
          <w:rFonts w:ascii="Times New Roman" w:hAnsi="Times New Roman" w:eastAsia="仿宋_GB2312"/>
          <w:color w:val="000000"/>
          <w:sz w:val="32"/>
          <w:szCs w:val="32"/>
        </w:rPr>
        <w:t>得分</w:t>
      </w:r>
      <w:r>
        <w:rPr>
          <w:rFonts w:hint="eastAsia" w:ascii="Times New Roman" w:hAnsi="Times New Roman" w:eastAsia="仿宋_GB2312"/>
          <w:color w:val="000000"/>
          <w:sz w:val="32"/>
          <w:szCs w:val="32"/>
        </w:rPr>
        <w:t>15</w:t>
      </w:r>
      <w:r>
        <w:rPr>
          <w:rFonts w:ascii="Times New Roman" w:hAnsi="Times New Roman" w:eastAsia="仿宋_GB2312"/>
          <w:color w:val="000000"/>
          <w:sz w:val="32"/>
          <w:szCs w:val="32"/>
        </w:rPr>
        <w:t>分。</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bCs/>
          <w:sz w:val="32"/>
        </w:rPr>
        <w:t>4.成本指标（满分</w:t>
      </w:r>
      <w:r>
        <w:rPr>
          <w:rFonts w:hint="eastAsia" w:ascii="Times New Roman" w:hAnsi="Times New Roman" w:eastAsia="仿宋_GB2312"/>
          <w:bCs/>
          <w:sz w:val="32"/>
        </w:rPr>
        <w:t>10</w:t>
      </w:r>
      <w:r>
        <w:rPr>
          <w:rFonts w:ascii="Times New Roman" w:hAnsi="Times New Roman" w:eastAsia="仿宋_GB2312"/>
          <w:bCs/>
          <w:sz w:val="32"/>
        </w:rPr>
        <w:t>分</w:t>
      </w:r>
      <w:r>
        <w:rPr>
          <w:rFonts w:ascii="Times New Roman" w:hAnsi="Times New Roman" w:eastAsia="仿宋_GB2312"/>
          <w:color w:val="000000"/>
          <w:sz w:val="32"/>
          <w:szCs w:val="32"/>
        </w:rPr>
        <w:t>，实得</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分）</w:t>
      </w:r>
      <w:r>
        <w:rPr>
          <w:rFonts w:ascii="Times New Roman" w:hAnsi="Times New Roman" w:eastAsia="仿宋_GB2312"/>
          <w:sz w:val="32"/>
          <w:szCs w:val="32"/>
        </w:rPr>
        <w:tab/>
      </w:r>
    </w:p>
    <w:p>
      <w:pPr>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年初设定的成本指标为</w:t>
      </w:r>
      <w:r>
        <w:rPr>
          <w:rFonts w:hint="eastAsia" w:ascii="Times New Roman" w:hAnsi="Times New Roman" w:eastAsia="仿宋_GB2312"/>
          <w:color w:val="000000"/>
          <w:sz w:val="32"/>
          <w:szCs w:val="32"/>
        </w:rPr>
        <w:t>1.财政对城乡居民医保的补助29元/人；2.区级城乡居民参保工作奖励经费0.5元/人；3.城乡医疗救助资金结余（或透支）±10%以内。</w:t>
      </w:r>
      <w:r>
        <w:rPr>
          <w:rFonts w:ascii="Times New Roman" w:hAnsi="Times New Roman" w:eastAsia="仿宋_GB2312"/>
          <w:color w:val="000000"/>
          <w:sz w:val="32"/>
          <w:szCs w:val="32"/>
        </w:rPr>
        <w:t>实际完成情况为</w:t>
      </w:r>
      <w:r>
        <w:rPr>
          <w:rFonts w:hint="eastAsia" w:ascii="Times New Roman" w:hAnsi="Times New Roman" w:eastAsia="仿宋_GB2312"/>
          <w:color w:val="000000"/>
          <w:sz w:val="32"/>
          <w:szCs w:val="32"/>
        </w:rPr>
        <w:t>1.财政对城乡居民医保的补助47元/人；2.区级城乡居民参保工作奖励经费0.5元/人；3.</w:t>
      </w:r>
      <w:r>
        <w:rPr>
          <w:rFonts w:hint="eastAsia" w:ascii="仿宋_GB2312" w:hAnsi="仿宋_GB2312" w:eastAsia="仿宋_GB2312" w:cs="仿宋_GB2312"/>
          <w:color w:val="000000"/>
          <w:sz w:val="32"/>
          <w:szCs w:val="32"/>
        </w:rPr>
        <w:t>城乡医疗救助资金2023年度全部上解，无</w:t>
      </w:r>
      <w:r>
        <w:rPr>
          <w:rFonts w:hint="eastAsia" w:ascii="Times New Roman" w:hAnsi="Times New Roman" w:eastAsia="仿宋_GB2312"/>
          <w:color w:val="000000"/>
          <w:sz w:val="32"/>
          <w:szCs w:val="32"/>
        </w:rPr>
        <w:t>透支</w:t>
      </w:r>
      <w:r>
        <w:rPr>
          <w:rFonts w:hint="eastAsia" w:ascii="仿宋_GB2312" w:hAnsi="仿宋_GB2312" w:eastAsia="仿宋_GB2312" w:cs="仿宋_GB2312"/>
          <w:color w:val="000000"/>
          <w:sz w:val="32"/>
          <w:szCs w:val="32"/>
        </w:rPr>
        <w:t>无结余</w:t>
      </w:r>
      <w:r>
        <w:rPr>
          <w:rFonts w:hint="eastAsia" w:ascii="Times New Roman" w:hAnsi="Times New Roman" w:eastAsia="仿宋_GB2312"/>
          <w:color w:val="000000"/>
          <w:sz w:val="32"/>
          <w:szCs w:val="32"/>
        </w:rPr>
        <w:t>。总计</w:t>
      </w:r>
      <w:r>
        <w:rPr>
          <w:rFonts w:ascii="Times New Roman" w:hAnsi="Times New Roman" w:eastAsia="仿宋_GB2312"/>
          <w:color w:val="000000"/>
          <w:sz w:val="32"/>
          <w:szCs w:val="32"/>
        </w:rPr>
        <w:t>得分</w:t>
      </w:r>
      <w:r>
        <w:rPr>
          <w:rFonts w:hint="eastAsia" w:ascii="Times New Roman" w:hAnsi="Times New Roman" w:eastAsia="仿宋_GB2312"/>
          <w:color w:val="000000"/>
          <w:sz w:val="32"/>
          <w:szCs w:val="32"/>
        </w:rPr>
        <w:t>7</w:t>
      </w:r>
      <w:r>
        <w:rPr>
          <w:rFonts w:ascii="Times New Roman" w:hAnsi="Times New Roman" w:eastAsia="仿宋_GB2312"/>
          <w:color w:val="000000"/>
          <w:sz w:val="32"/>
          <w:szCs w:val="32"/>
        </w:rPr>
        <w:t>分。未完成的主要原因是</w:t>
      </w:r>
      <w:r>
        <w:rPr>
          <w:rFonts w:hint="eastAsia" w:ascii="Times New Roman" w:hAnsi="Times New Roman" w:eastAsia="仿宋_GB2312"/>
          <w:color w:val="000000"/>
          <w:sz w:val="32"/>
          <w:szCs w:val="32"/>
        </w:rPr>
        <w:t>1、</w:t>
      </w:r>
      <w:r>
        <w:rPr>
          <w:rFonts w:hint="eastAsia" w:ascii="仿宋_GB2312" w:hAnsi="仿宋_GB2312" w:eastAsia="仿宋_GB2312" w:cs="仿宋_GB2312"/>
          <w:color w:val="000000"/>
          <w:sz w:val="32"/>
          <w:szCs w:val="32"/>
        </w:rPr>
        <w:t>根据市财政局、医保局《关于缴纳2023年度及清算2022年度城乡居民基本医疗保险财政补助资金的通知》，2023年度瑶海区参保人数22.23万，每人补助47元，应配套资金1044.81万元，2022年应补充上解金额7.83万元，合计需上解1052.64万元。2023年度预算安排瑶海区城乡居民医保财政补助资金670万元，缺口382.64万元，已申请追加。</w:t>
      </w:r>
    </w:p>
    <w:p>
      <w:pPr>
        <w:spacing w:line="600" w:lineRule="exact"/>
        <w:ind w:right="-283" w:firstLine="643" w:firstLineChars="200"/>
        <w:rPr>
          <w:rFonts w:ascii="Times New Roman" w:hAnsi="Times New Roman" w:eastAsia="仿宋_GB2312"/>
          <w:color w:val="000000"/>
          <w:sz w:val="32"/>
          <w:szCs w:val="32"/>
        </w:rPr>
      </w:pPr>
      <w:r>
        <w:rPr>
          <w:rFonts w:ascii="Times New Roman" w:hAnsi="Times New Roman" w:eastAsia="楷体_GB2312"/>
          <w:b/>
          <w:bCs/>
          <w:sz w:val="32"/>
          <w:szCs w:val="24"/>
        </w:rPr>
        <w:t>（三）效益指标（满分</w:t>
      </w:r>
      <w:r>
        <w:rPr>
          <w:rFonts w:hint="eastAsia" w:ascii="Times New Roman" w:hAnsi="Times New Roman" w:eastAsia="楷体_GB2312"/>
          <w:b/>
          <w:bCs/>
          <w:sz w:val="32"/>
          <w:szCs w:val="24"/>
        </w:rPr>
        <w:t>3</w:t>
      </w:r>
      <w:r>
        <w:rPr>
          <w:rFonts w:ascii="Times New Roman" w:hAnsi="Times New Roman" w:eastAsia="楷体_GB2312"/>
          <w:b/>
          <w:bCs/>
          <w:sz w:val="32"/>
          <w:szCs w:val="24"/>
        </w:rPr>
        <w:t>0分，实得</w:t>
      </w:r>
      <w:r>
        <w:rPr>
          <w:rFonts w:hint="eastAsia" w:ascii="Times New Roman" w:hAnsi="Times New Roman" w:eastAsia="楷体_GB2312"/>
          <w:b/>
          <w:bCs/>
          <w:sz w:val="32"/>
          <w:szCs w:val="24"/>
        </w:rPr>
        <w:t>30</w:t>
      </w:r>
      <w:r>
        <w:rPr>
          <w:rFonts w:ascii="Times New Roman" w:hAnsi="Times New Roman" w:eastAsia="楷体_GB2312"/>
          <w:b/>
          <w:bCs/>
          <w:sz w:val="32"/>
          <w:szCs w:val="24"/>
        </w:rPr>
        <w:t>分）</w:t>
      </w:r>
    </w:p>
    <w:p>
      <w:pPr>
        <w:pStyle w:val="2"/>
        <w:widowControl/>
        <w:spacing w:beforeAutospacing="0" w:afterAutospacing="0"/>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.社会效益指标（满分</w:t>
      </w:r>
      <w:r>
        <w:rPr>
          <w:rFonts w:hint="eastAsia" w:ascii="Times New Roman" w:hAnsi="Times New Roman" w:eastAsia="仿宋_GB2312"/>
          <w:color w:val="000000"/>
          <w:sz w:val="32"/>
          <w:szCs w:val="32"/>
        </w:rPr>
        <w:t>15</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rPr>
        <w:t>15</w:t>
      </w:r>
      <w:r>
        <w:rPr>
          <w:rFonts w:ascii="Times New Roman" w:hAnsi="Times New Roman" w:eastAsia="仿宋_GB2312"/>
          <w:color w:val="000000"/>
          <w:sz w:val="32"/>
          <w:szCs w:val="32"/>
        </w:rPr>
        <w:t>分）</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圆满完成上级安排各项任务，城乡居民医保超额完成任务，医疗救助时限应救尽救</w:t>
      </w:r>
      <w:r>
        <w:rPr>
          <w:rFonts w:hint="eastAsia" w:ascii="Times New Roman" w:hAnsi="Times New Roman" w:eastAsia="仿宋_GB2312"/>
          <w:color w:val="000000"/>
          <w:sz w:val="32"/>
          <w:szCs w:val="32"/>
        </w:rPr>
        <w:t>。</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w:t>
      </w:r>
      <w:r>
        <w:rPr>
          <w:rFonts w:ascii="Times New Roman" w:hAnsi="Times New Roman" w:eastAsia="仿宋_GB2312"/>
          <w:color w:val="000000"/>
          <w:sz w:val="32"/>
          <w:szCs w:val="32"/>
        </w:rPr>
        <w:t>.可持续影响指标（满分</w:t>
      </w:r>
      <w:r>
        <w:rPr>
          <w:rFonts w:hint="eastAsia" w:ascii="Times New Roman" w:hAnsi="Times New Roman" w:eastAsia="仿宋_GB2312"/>
          <w:color w:val="000000"/>
          <w:sz w:val="32"/>
          <w:szCs w:val="32"/>
        </w:rPr>
        <w:t>15</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rPr>
        <w:t>15</w:t>
      </w:r>
      <w:r>
        <w:rPr>
          <w:rFonts w:ascii="Times New Roman" w:hAnsi="Times New Roman" w:eastAsia="仿宋_GB2312"/>
          <w:color w:val="000000"/>
          <w:sz w:val="32"/>
          <w:szCs w:val="32"/>
        </w:rPr>
        <w:t>分）</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持续推动医保工作走深走实，有效提升为民服务能力和水平。</w:t>
      </w:r>
    </w:p>
    <w:p>
      <w:pPr>
        <w:spacing w:line="600" w:lineRule="exact"/>
        <w:ind w:right="-283" w:firstLine="643" w:firstLineChars="200"/>
        <w:rPr>
          <w:rFonts w:ascii="Times New Roman" w:hAnsi="Times New Roman" w:eastAsia="楷体_GB2312"/>
          <w:b/>
          <w:bCs/>
          <w:sz w:val="32"/>
          <w:szCs w:val="24"/>
        </w:rPr>
      </w:pPr>
      <w:r>
        <w:rPr>
          <w:rFonts w:ascii="Times New Roman" w:hAnsi="Times New Roman" w:eastAsia="楷体_GB2312"/>
          <w:b/>
          <w:bCs/>
          <w:sz w:val="32"/>
          <w:szCs w:val="24"/>
        </w:rPr>
        <w:t>（</w:t>
      </w:r>
      <w:r>
        <w:rPr>
          <w:rFonts w:hint="eastAsia" w:ascii="Times New Roman" w:hAnsi="Times New Roman" w:eastAsia="楷体_GB2312"/>
          <w:b/>
          <w:bCs/>
          <w:sz w:val="32"/>
          <w:szCs w:val="24"/>
        </w:rPr>
        <w:t>四</w:t>
      </w:r>
      <w:r>
        <w:rPr>
          <w:rFonts w:ascii="Times New Roman" w:hAnsi="Times New Roman" w:eastAsia="楷体_GB2312"/>
          <w:b/>
          <w:bCs/>
          <w:sz w:val="32"/>
          <w:szCs w:val="24"/>
        </w:rPr>
        <w:t>）</w:t>
      </w:r>
      <w:r>
        <w:rPr>
          <w:rFonts w:hint="eastAsia" w:ascii="Times New Roman" w:hAnsi="Times New Roman" w:eastAsia="楷体_GB2312"/>
          <w:b/>
          <w:bCs/>
          <w:sz w:val="32"/>
          <w:szCs w:val="24"/>
        </w:rPr>
        <w:t>满意度</w:t>
      </w:r>
      <w:r>
        <w:rPr>
          <w:rFonts w:ascii="Times New Roman" w:hAnsi="Times New Roman" w:eastAsia="楷体_GB2312"/>
          <w:b/>
          <w:bCs/>
          <w:sz w:val="32"/>
          <w:szCs w:val="24"/>
        </w:rPr>
        <w:t>指标（满分</w:t>
      </w:r>
      <w:r>
        <w:rPr>
          <w:rFonts w:hint="eastAsia" w:ascii="Times New Roman" w:hAnsi="Times New Roman" w:eastAsia="楷体_GB2312"/>
          <w:b/>
          <w:bCs/>
          <w:sz w:val="32"/>
          <w:szCs w:val="24"/>
        </w:rPr>
        <w:t>10</w:t>
      </w:r>
      <w:r>
        <w:rPr>
          <w:rFonts w:ascii="Times New Roman" w:hAnsi="Times New Roman" w:eastAsia="楷体_GB2312"/>
          <w:b/>
          <w:bCs/>
          <w:sz w:val="32"/>
          <w:szCs w:val="24"/>
        </w:rPr>
        <w:t>分，实得</w:t>
      </w:r>
      <w:r>
        <w:rPr>
          <w:rFonts w:hint="eastAsia" w:ascii="Times New Roman" w:hAnsi="Times New Roman" w:eastAsia="楷体_GB2312"/>
          <w:b/>
          <w:bCs/>
          <w:sz w:val="32"/>
          <w:szCs w:val="24"/>
        </w:rPr>
        <w:t>10</w:t>
      </w:r>
      <w:r>
        <w:rPr>
          <w:rFonts w:ascii="Times New Roman" w:hAnsi="Times New Roman" w:eastAsia="楷体_GB2312"/>
          <w:b/>
          <w:bCs/>
          <w:sz w:val="32"/>
          <w:szCs w:val="24"/>
        </w:rPr>
        <w:t>分）</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.服务对象满意度指标（满分</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分，实得</w:t>
      </w:r>
      <w:r>
        <w:rPr>
          <w:rFonts w:hint="eastAsia" w:ascii="Times New Roman" w:hAnsi="Times New Roman" w:eastAsia="仿宋_GB2312"/>
          <w:color w:val="000000"/>
          <w:sz w:val="32"/>
          <w:szCs w:val="32"/>
        </w:rPr>
        <w:t>10</w:t>
      </w:r>
      <w:r>
        <w:rPr>
          <w:rFonts w:ascii="Times New Roman" w:hAnsi="Times New Roman" w:eastAsia="仿宋_GB2312"/>
          <w:color w:val="000000"/>
          <w:sz w:val="32"/>
          <w:szCs w:val="32"/>
        </w:rPr>
        <w:t>分）</w:t>
      </w:r>
    </w:p>
    <w:p>
      <w:pPr>
        <w:spacing w:line="60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群众满意率超90%。</w:t>
      </w:r>
    </w:p>
    <w:p>
      <w:pPr>
        <w:spacing w:line="600" w:lineRule="exact"/>
        <w:ind w:firstLine="640" w:firstLineChars="200"/>
        <w:rPr>
          <w:rFonts w:ascii="Times New Roman" w:hAnsi="Times New Roman" w:eastAsia="黑体"/>
          <w:bCs/>
          <w:sz w:val="32"/>
        </w:rPr>
      </w:pPr>
      <w:r>
        <w:rPr>
          <w:rFonts w:ascii="Times New Roman" w:hAnsi="Times New Roman" w:eastAsia="黑体"/>
          <w:bCs/>
          <w:sz w:val="32"/>
        </w:rPr>
        <w:t>四、存在问题</w:t>
      </w:r>
    </w:p>
    <w:p>
      <w:pPr>
        <w:spacing w:line="600" w:lineRule="exact"/>
        <w:ind w:firstLine="640" w:firstLineChars="200"/>
        <w:rPr>
          <w:rFonts w:ascii="Times New Roman" w:hAnsi="Times New Roman" w:eastAsia="仿宋_GB2312"/>
          <w:bCs/>
          <w:sz w:val="32"/>
        </w:rPr>
      </w:pPr>
      <w:r>
        <w:rPr>
          <w:rFonts w:ascii="Times New Roman" w:hAnsi="Times New Roman" w:eastAsia="仿宋_GB2312"/>
          <w:bCs/>
          <w:sz w:val="32"/>
        </w:rPr>
        <w:t>通过自评发现，</w:t>
      </w:r>
      <w:r>
        <w:rPr>
          <w:rFonts w:hint="eastAsia" w:ascii="Times New Roman" w:hAnsi="Times New Roman" w:eastAsia="仿宋_GB2312"/>
          <w:color w:val="000000"/>
          <w:sz w:val="32"/>
          <w:szCs w:val="32"/>
        </w:rPr>
        <w:t>2023</w:t>
      </w:r>
      <w:r>
        <w:rPr>
          <w:rFonts w:ascii="Times New Roman" w:hAnsi="Times New Roman" w:eastAsia="仿宋_GB2312"/>
          <w:bCs/>
          <w:sz w:val="32"/>
        </w:rPr>
        <w:t>年</w:t>
      </w:r>
      <w:r>
        <w:rPr>
          <w:rFonts w:hint="eastAsia" w:ascii="Times New Roman" w:hAnsi="Times New Roman" w:eastAsia="仿宋_GB2312"/>
          <w:bCs/>
          <w:sz w:val="32"/>
        </w:rPr>
        <w:t>区医保局</w:t>
      </w:r>
      <w:r>
        <w:rPr>
          <w:rFonts w:ascii="Times New Roman" w:hAnsi="Times New Roman" w:eastAsia="仿宋_GB2312"/>
          <w:bCs/>
          <w:sz w:val="32"/>
        </w:rPr>
        <w:t xml:space="preserve">在加强预算资金绩效管理方面虽取得了一定的成效，但还存在一些问题和不足，主要表现在：   </w:t>
      </w:r>
    </w:p>
    <w:p>
      <w:pPr>
        <w:pStyle w:val="2"/>
        <w:widowControl/>
        <w:spacing w:beforeAutospacing="0" w:afterAutospacing="0"/>
        <w:rPr>
          <w:rFonts w:ascii="Times New Roman" w:hAnsi="Times New Roman" w:eastAsia="仿宋_GB2312"/>
          <w:bCs/>
          <w:kern w:val="2"/>
          <w:sz w:val="32"/>
        </w:rPr>
      </w:pPr>
      <w:r>
        <w:rPr>
          <w:rFonts w:ascii="Times New Roman" w:hAnsi="Times New Roman" w:eastAsia="仿宋_GB2312"/>
          <w:bCs/>
          <w:kern w:val="2"/>
          <w:sz w:val="32"/>
        </w:rPr>
        <w:t>一是预算管理相关制度不够完善，相关办法不够具体、不够细化、不够系统。二是绩效管理理念不够强，存在一定的“重分配、轻管理，重支出、轻绩效”的思想。三是绩效管理人员队伍较弱，能力不强。</w:t>
      </w:r>
    </w:p>
    <w:p>
      <w:pPr>
        <w:widowControl/>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五、下一步工作举措</w:t>
      </w:r>
    </w:p>
    <w:p>
      <w:pPr>
        <w:widowControl/>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为进一步加强部门预算绩效管理，提高财政资金使用效益，针对存在的问题，下一步将采取如下措施：</w:t>
      </w:r>
    </w:p>
    <w:p>
      <w:pPr>
        <w:spacing w:line="560" w:lineRule="exact"/>
        <w:ind w:firstLine="640" w:firstLineChars="2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（1）细化预算编制工作，认真做好预算的编制。进一步加强单位内部各科室的预算管理意识，严格按照预算编制的相关制度和要求进行预算编制。</w:t>
      </w:r>
    </w:p>
    <w:p>
      <w:pPr>
        <w:spacing w:line="560" w:lineRule="exact"/>
        <w:ind w:firstLine="640" w:firstLineChars="2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pPr>
        <w:spacing w:line="560" w:lineRule="exact"/>
        <w:ind w:firstLine="640" w:firstLineChars="200"/>
        <w:outlineLvl w:val="0"/>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完善资产管理。严格编制政府采购年初预算和计划，规范各类资产的购置审批制度、资产出租出借和收入管理制度、资产采购制度、使用管理制度、资产处置和报废审批制度、资产管理岗位职责制度等，加强单位内部的资产管理工作。</w:t>
      </w:r>
    </w:p>
    <w:p>
      <w:pPr>
        <w:spacing w:line="560" w:lineRule="exact"/>
        <w:ind w:firstLine="640" w:firstLineChars="200"/>
        <w:outlineLvl w:val="0"/>
        <w:rPr>
          <w:rFonts w:ascii="Times New Roman" w:hAnsi="Times New Roman" w:eastAsia="仿宋_GB2312"/>
          <w:sz w:val="32"/>
          <w:szCs w:val="32"/>
        </w:rPr>
      </w:pPr>
      <w:r>
        <w:rPr>
          <w:rFonts w:hint="eastAsia" w:ascii="仿宋_GB2312" w:hAnsi="仿宋_GB2312" w:eastAsia="仿宋_GB2312" w:cs="仿宋_GB2312"/>
          <w:bCs/>
          <w:color w:val="000000"/>
          <w:sz w:val="32"/>
          <w:szCs w:val="32"/>
        </w:rPr>
        <w:t>（4）对相关人员加强培训。进一步开展针对《预算法》、《行政事业单位会计制度》等学习培训，规范部门预算收支核算，切实提高部门预算收支管理水平。</w:t>
      </w:r>
    </w:p>
    <w:p>
      <w:pPr>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六、自评依据</w:t>
      </w:r>
    </w:p>
    <w:p>
      <w:pPr>
        <w:pStyle w:val="2"/>
        <w:widowControl/>
        <w:spacing w:beforeAutospacing="0" w:afterAutospacing="0"/>
        <w:rPr>
          <w:rFonts w:ascii="仿宋_GB2312" w:hAnsi="仿宋_GB2312" w:eastAsia="仿宋_GB2312" w:cs="仿宋_GB2312"/>
          <w:bCs/>
          <w:color w:val="000000"/>
          <w:kern w:val="2"/>
          <w:sz w:val="32"/>
          <w:szCs w:val="32"/>
        </w:rPr>
      </w:pPr>
      <w:r>
        <w:rPr>
          <w:rFonts w:hint="eastAsia" w:ascii="仿宋_GB2312" w:hAnsi="仿宋_GB2312" w:eastAsia="仿宋_GB2312" w:cs="仿宋_GB2312"/>
          <w:bCs/>
          <w:color w:val="000000"/>
          <w:kern w:val="2"/>
          <w:sz w:val="32"/>
          <w:szCs w:val="32"/>
        </w:rPr>
        <w:t>《合肥市基本医疗保险办法》(市政府213号令)《合肥市基本医疗保险待遇保障实施细则》《合肥市2023年城乡居民参加基本医疗保障工作方案》</w:t>
      </w:r>
    </w:p>
    <w:p>
      <w:pPr>
        <w:spacing w:line="60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七、附件</w:t>
      </w:r>
    </w:p>
    <w:p>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1.部门整体支出绩效自评表（</w:t>
      </w:r>
      <w:r>
        <w:rPr>
          <w:rFonts w:hint="eastAsia" w:ascii="Times New Roman" w:hAnsi="Times New Roman" w:eastAsia="仿宋_GB2312"/>
          <w:color w:val="000000"/>
          <w:sz w:val="32"/>
          <w:szCs w:val="32"/>
        </w:rPr>
        <w:t>从一体化系统导出</w:t>
      </w:r>
      <w:r>
        <w:rPr>
          <w:rFonts w:ascii="Times New Roman" w:hAnsi="Times New Roman" w:eastAsia="仿宋_GB2312"/>
          <w:color w:val="00000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楷体_GB2312"/>
    <w:panose1 w:val="02010600040101010101"/>
    <w:charset w:val="86"/>
    <w:family w:val="auto"/>
    <w:pitch w:val="default"/>
    <w:sig w:usb0="00000000" w:usb1="00000000" w:usb2="00000010" w:usb3="00000000" w:csb0="000400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3FDEBD"/>
    <w:multiLevelType w:val="singleLevel"/>
    <w:tmpl w:val="343FDEB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1NjcxNmUxNjVlZTNkMTc1NDcxYzc5YTEzNWYyMDYifQ=="/>
  </w:docVars>
  <w:rsids>
    <w:rsidRoot w:val="378E3558"/>
    <w:rsid w:val="000B069B"/>
    <w:rsid w:val="001D3272"/>
    <w:rsid w:val="006363EB"/>
    <w:rsid w:val="008455BC"/>
    <w:rsid w:val="00D81807"/>
    <w:rsid w:val="00F05FD0"/>
    <w:rsid w:val="07116EAA"/>
    <w:rsid w:val="0EE62752"/>
    <w:rsid w:val="0FAA6DAA"/>
    <w:rsid w:val="11D81D3B"/>
    <w:rsid w:val="214764C1"/>
    <w:rsid w:val="29473259"/>
    <w:rsid w:val="2A5C7555"/>
    <w:rsid w:val="378E3558"/>
    <w:rsid w:val="39F937D7"/>
    <w:rsid w:val="42284A5C"/>
    <w:rsid w:val="4C7E0541"/>
    <w:rsid w:val="4D942E5A"/>
    <w:rsid w:val="505F37FA"/>
    <w:rsid w:val="519578E5"/>
    <w:rsid w:val="53DB1CBA"/>
    <w:rsid w:val="563547EE"/>
    <w:rsid w:val="57FA1FD8"/>
    <w:rsid w:val="66C904F1"/>
    <w:rsid w:val="68820B5A"/>
    <w:rsid w:val="6B7F677E"/>
    <w:rsid w:val="6F1E249F"/>
    <w:rsid w:val="79555C55"/>
    <w:rsid w:val="7CF62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autoRedefine/>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4525</Words>
  <Characters>4787</Characters>
  <Lines>35</Lines>
  <Paragraphs>9</Paragraphs>
  <TotalTime>2</TotalTime>
  <ScaleCrop>false</ScaleCrop>
  <LinksUpToDate>false</LinksUpToDate>
  <CharactersWithSpaces>4856</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2024-03-12T07:56:00Z</dcterms:created>
  <dc:creator>Administrator</dc:creator>
  <cp:lastModifiedBy>米格子花裙子</cp:lastModifiedBy>
  <cp:lastPrinted>2024-03-27T00:42:00Z</cp:lastPrinted>
  <dcterms:modified xsi:type="dcterms:W3CDTF">2024-09-06T07:02:28Z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8D26FC8E75244B52BC4ED411BB40D813_11</vt:lpwstr>
  </property>
</Properties>
</file>