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56" w:rsidRDefault="00DD40AB">
      <w:pPr>
        <w:ind w:right="1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附件</w:t>
      </w:r>
      <w:r>
        <w:rPr>
          <w:rFonts w:ascii="Times New Roman" w:hAnsi="Times New Roman" w:hint="eastAsia"/>
          <w:bCs/>
          <w:sz w:val="24"/>
          <w:szCs w:val="24"/>
        </w:rPr>
        <w:t>2</w:t>
      </w:r>
    </w:p>
    <w:p w:rsidR="00256C56" w:rsidRDefault="00256C56">
      <w:pPr>
        <w:ind w:right="120"/>
        <w:jc w:val="right"/>
        <w:rPr>
          <w:rFonts w:ascii="Times New Roman" w:hAnsi="Times New Roman"/>
          <w:bCs/>
          <w:sz w:val="24"/>
          <w:szCs w:val="24"/>
        </w:rPr>
      </w:pPr>
    </w:p>
    <w:p w:rsidR="00256C56" w:rsidRDefault="00DD40AB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ascii="Times New Roman" w:eastAsia="华文楷体" w:hAnsi="Times New Roman" w:hint="eastAsia"/>
          <w:bCs/>
          <w:sz w:val="24"/>
          <w:szCs w:val="24"/>
        </w:rPr>
        <w:t>：</w:t>
      </w:r>
      <w:r>
        <w:rPr>
          <w:rFonts w:ascii="Times New Roman" w:eastAsia="华文楷体" w:hAnsi="Times New Roman" w:hint="eastAsia"/>
          <w:bCs/>
          <w:color w:val="000000" w:themeColor="text1"/>
          <w:sz w:val="24"/>
          <w:szCs w:val="24"/>
        </w:rPr>
        <w:t>340102222402000100022</w:t>
      </w:r>
    </w:p>
    <w:p w:rsidR="00256C56" w:rsidRDefault="00256C56">
      <w:pPr>
        <w:rPr>
          <w:rFonts w:ascii="Times New Roman" w:eastAsia="黑体" w:hAnsi="Times New Roman"/>
          <w:bCs/>
          <w:color w:val="000000" w:themeColor="text1"/>
          <w:sz w:val="44"/>
        </w:rPr>
      </w:pPr>
    </w:p>
    <w:p w:rsidR="00256C56" w:rsidRDefault="00256C56">
      <w:pPr>
        <w:jc w:val="center"/>
        <w:rPr>
          <w:rFonts w:ascii="Times New Roman" w:eastAsia="黑体" w:hAnsi="Times New Roman"/>
          <w:bCs/>
          <w:color w:val="000000" w:themeColor="text1"/>
          <w:sz w:val="44"/>
        </w:rPr>
      </w:pPr>
    </w:p>
    <w:p w:rsidR="00256C56" w:rsidRDefault="00DD40AB">
      <w:pPr>
        <w:spacing w:line="600" w:lineRule="exact"/>
        <w:jc w:val="center"/>
        <w:rPr>
          <w:rFonts w:ascii="黑体" w:eastAsia="黑体" w:hAnsi="黑体" w:cs="黑体"/>
          <w:b/>
          <w:color w:val="000000" w:themeColor="text1"/>
          <w:sz w:val="44"/>
        </w:rPr>
      </w:pPr>
      <w:r>
        <w:rPr>
          <w:rFonts w:ascii="黑体" w:eastAsia="黑体" w:hAnsi="黑体" w:cs="黑体" w:hint="eastAsia"/>
          <w:b/>
          <w:color w:val="000000" w:themeColor="text1"/>
          <w:sz w:val="44"/>
        </w:rPr>
        <w:t>合肥市财政支出项目评价报告</w:t>
      </w:r>
    </w:p>
    <w:p w:rsidR="00256C56" w:rsidRDefault="00256C56">
      <w:pPr>
        <w:jc w:val="center"/>
        <w:rPr>
          <w:rFonts w:ascii="Times New Roman" w:eastAsia="楷体_GB2312" w:hAnsi="Times New Roman"/>
          <w:b/>
          <w:bCs/>
          <w:color w:val="000000" w:themeColor="text1"/>
          <w:sz w:val="32"/>
        </w:rPr>
      </w:pPr>
    </w:p>
    <w:p w:rsidR="00256C56" w:rsidRDefault="00256C56" w:rsidP="00363E46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</w:rPr>
      </w:pPr>
      <w:bookmarkStart w:id="0" w:name="_GoBack"/>
      <w:bookmarkEnd w:id="0"/>
    </w:p>
    <w:p w:rsidR="00256C56" w:rsidRDefault="00DD40AB" w:rsidP="00363E46">
      <w:pPr>
        <w:spacing w:beforeLines="50" w:afterLines="50"/>
        <w:ind w:leftChars="289" w:left="2207" w:hangingChars="500" w:hanging="160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</w:t>
      </w:r>
      <w:r>
        <w:rPr>
          <w:rFonts w:ascii="Times New Roman" w:eastAsia="楷体_GB2312" w:hAnsi="Times New Roman"/>
          <w:color w:val="000000" w:themeColor="text1"/>
          <w:sz w:val="32"/>
        </w:rPr>
        <w:t>目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</w:t>
      </w:r>
      <w:r>
        <w:rPr>
          <w:rFonts w:ascii="Times New Roman" w:eastAsia="楷体_GB2312" w:hAnsi="Times New Roman"/>
          <w:color w:val="000000" w:themeColor="text1"/>
          <w:sz w:val="32"/>
        </w:rPr>
        <w:t>名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</w:t>
      </w:r>
      <w:r>
        <w:rPr>
          <w:rFonts w:ascii="Times New Roman" w:eastAsia="楷体_GB2312" w:hAnsi="Times New Roman"/>
          <w:color w:val="000000" w:themeColor="text1"/>
          <w:sz w:val="32"/>
        </w:rPr>
        <w:t>称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体育活动及学校文体活动经费</w:t>
      </w:r>
      <w:r>
        <w:rPr>
          <w:rFonts w:ascii="Times New Roman" w:eastAsia="楷体_GB2312" w:hAnsi="Times New Roman"/>
          <w:color w:val="000000" w:themeColor="text1"/>
          <w:sz w:val="32"/>
        </w:rPr>
        <w:t>项目</w:t>
      </w:r>
    </w:p>
    <w:p w:rsidR="00256C56" w:rsidRDefault="00DD40AB" w:rsidP="00363E46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</w:t>
      </w:r>
      <w:r>
        <w:rPr>
          <w:rFonts w:ascii="Times New Roman" w:eastAsia="楷体_GB2312" w:hAnsi="Times New Roman"/>
          <w:color w:val="000000" w:themeColor="text1"/>
          <w:sz w:val="32"/>
        </w:rPr>
        <w:t>目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</w:t>
      </w:r>
      <w:r>
        <w:rPr>
          <w:rFonts w:ascii="Times New Roman" w:eastAsia="楷体_GB2312" w:hAnsi="Times New Roman"/>
          <w:color w:val="000000" w:themeColor="text1"/>
          <w:sz w:val="32"/>
        </w:rPr>
        <w:t>单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 </w:t>
      </w:r>
      <w:r>
        <w:rPr>
          <w:rFonts w:ascii="Times New Roman" w:eastAsia="楷体_GB2312" w:hAnsi="Times New Roman"/>
          <w:color w:val="000000" w:themeColor="text1"/>
          <w:sz w:val="32"/>
        </w:rPr>
        <w:t>位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：体育科</w:t>
      </w:r>
    </w:p>
    <w:p w:rsidR="00256C56" w:rsidRDefault="00DD40AB" w:rsidP="00363E46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项目责任人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（签字）：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刘业斌</w:t>
      </w:r>
    </w:p>
    <w:p w:rsidR="00256C56" w:rsidRDefault="00DD40AB" w:rsidP="00363E46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  <w:u w:val="single"/>
        </w:rPr>
      </w:pPr>
      <w:r>
        <w:rPr>
          <w:rFonts w:ascii="Times New Roman" w:eastAsia="楷体_GB2312" w:hAnsi="Times New Roman"/>
          <w:color w:val="000000" w:themeColor="text1"/>
          <w:sz w:val="32"/>
        </w:rPr>
        <w:t>主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管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部</w:t>
      </w:r>
      <w:r>
        <w:rPr>
          <w:rFonts w:ascii="Times New Roman" w:eastAsia="楷体_GB2312" w:hAnsi="Times New Roman"/>
          <w:color w:val="000000" w:themeColor="text1"/>
          <w:sz w:val="32"/>
        </w:rPr>
        <w:t xml:space="preserve"> </w:t>
      </w:r>
      <w:r>
        <w:rPr>
          <w:rFonts w:ascii="Times New Roman" w:eastAsia="楷体_GB2312" w:hAnsi="Times New Roman"/>
          <w:color w:val="000000" w:themeColor="text1"/>
          <w:sz w:val="32"/>
        </w:rPr>
        <w:t>门（盖章）：瑶海区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教育体育</w:t>
      </w:r>
      <w:r>
        <w:rPr>
          <w:rFonts w:ascii="Times New Roman" w:eastAsia="楷体_GB2312" w:hAnsi="Times New Roman"/>
          <w:color w:val="000000" w:themeColor="text1"/>
          <w:sz w:val="32"/>
        </w:rPr>
        <w:t>局</w:t>
      </w:r>
    </w:p>
    <w:p w:rsidR="00256C56" w:rsidRDefault="00256C56" w:rsidP="00363E46">
      <w:pPr>
        <w:spacing w:beforeLines="50" w:afterLines="50"/>
        <w:ind w:firstLineChars="192" w:firstLine="614"/>
        <w:rPr>
          <w:rFonts w:ascii="Times New Roman" w:eastAsia="楷体_GB2312" w:hAnsi="Times New Roman"/>
          <w:color w:val="000000" w:themeColor="text1"/>
          <w:sz w:val="32"/>
        </w:rPr>
      </w:pPr>
    </w:p>
    <w:p w:rsidR="00256C56" w:rsidRDefault="00256C56">
      <w:pPr>
        <w:ind w:firstLineChars="192" w:firstLine="614"/>
        <w:jc w:val="center"/>
        <w:rPr>
          <w:rFonts w:ascii="Times New Roman" w:eastAsia="楷体_GB2312" w:hAnsi="Times New Roman"/>
          <w:color w:val="000000" w:themeColor="text1"/>
          <w:sz w:val="32"/>
        </w:rPr>
      </w:pPr>
    </w:p>
    <w:p w:rsidR="00256C56" w:rsidRDefault="00DD40AB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24"/>
        </w:rPr>
      </w:pPr>
      <w:r>
        <w:rPr>
          <w:rFonts w:ascii="Times New Roman" w:eastAsia="楷体" w:hAnsi="Times New Roman"/>
          <w:color w:val="000000" w:themeColor="text1"/>
          <w:sz w:val="32"/>
        </w:rPr>
        <w:t xml:space="preserve">      202</w:t>
      </w:r>
      <w:r>
        <w:rPr>
          <w:rFonts w:ascii="Times New Roman" w:eastAsia="楷体" w:hAnsi="Times New Roman" w:hint="eastAsia"/>
          <w:color w:val="000000" w:themeColor="text1"/>
          <w:sz w:val="32"/>
        </w:rPr>
        <w:t>4</w:t>
      </w:r>
      <w:r>
        <w:rPr>
          <w:rFonts w:ascii="Times New Roman" w:eastAsia="楷体_GB2312" w:hAnsi="Times New Roman"/>
          <w:color w:val="000000" w:themeColor="text1"/>
          <w:sz w:val="32"/>
        </w:rPr>
        <w:t>年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3</w:t>
      </w:r>
      <w:r>
        <w:rPr>
          <w:rFonts w:ascii="Times New Roman" w:eastAsia="楷体_GB2312" w:hAnsi="Times New Roman"/>
          <w:color w:val="000000" w:themeColor="text1"/>
          <w:sz w:val="32"/>
        </w:rPr>
        <w:t>月</w:t>
      </w:r>
      <w:r>
        <w:rPr>
          <w:rFonts w:ascii="Times New Roman" w:eastAsia="楷体_GB2312" w:hAnsi="Times New Roman"/>
          <w:color w:val="000000" w:themeColor="text1"/>
          <w:sz w:val="32"/>
        </w:rPr>
        <w:br w:type="page"/>
      </w:r>
      <w:r>
        <w:rPr>
          <w:rFonts w:ascii="黑体" w:eastAsia="黑体" w:hAnsi="黑体" w:cs="黑体" w:hint="eastAsia"/>
          <w:bCs/>
          <w:sz w:val="44"/>
          <w:szCs w:val="24"/>
        </w:rPr>
        <w:lastRenderedPageBreak/>
        <w:t>2023年体育活动及学校文体活动经费项目部门评价报告</w:t>
      </w:r>
    </w:p>
    <w:p w:rsidR="00256C56" w:rsidRDefault="00256C56">
      <w:pPr>
        <w:spacing w:line="580" w:lineRule="exact"/>
        <w:jc w:val="center"/>
        <w:rPr>
          <w:rFonts w:ascii="Times New Roman" w:eastAsia="仿宋_GB2312" w:hAnsi="Times New Roman"/>
          <w:bCs/>
          <w:sz w:val="32"/>
          <w:szCs w:val="32"/>
        </w:rPr>
      </w:pP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一、项目基本情况</w:t>
      </w:r>
    </w:p>
    <w:p w:rsidR="00256C56" w:rsidRDefault="00DD40AB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（一）项目概况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项目立项情况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）立项背景：全民健身需要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）立项依据：省市区关于实施快乐健身行动的实施方案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）主要内容：广泛开展全民健身赛事活动，加强健身指导。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）覆盖面：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全区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5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）资产总量：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520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万元。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6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）资金类型：财政资金。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）项目类型：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经常性业务经费。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）实施周期：一年。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）项目实施主管部门：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项目执行情况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）项目实施过程：全年按计划实行。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）项目进展及任务完成情况：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年按计划完成任务。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）预算执行情况：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年预算执行较好。</w:t>
      </w:r>
    </w:p>
    <w:p w:rsidR="00256C56" w:rsidRDefault="00DD40AB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）项目资金投入和使用情况：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年按计划投入与正常使用。</w:t>
      </w:r>
    </w:p>
    <w:p w:rsidR="00256C56" w:rsidRDefault="00256C56">
      <w:pPr>
        <w:spacing w:line="560" w:lineRule="exact"/>
        <w:ind w:firstLineChars="202" w:firstLine="646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</w:p>
    <w:p w:rsidR="00256C56" w:rsidRDefault="00DD40AB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lastRenderedPageBreak/>
        <w:t>（二）项目绩效目标</w:t>
      </w:r>
    </w:p>
    <w:p w:rsidR="00256C56" w:rsidRDefault="00DD40A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项目年度总体目标。完成合肥市业余足球联赛、老友杯足球比赛等</w:t>
      </w:r>
      <w:r w:rsidR="00CD41F3">
        <w:rPr>
          <w:rFonts w:ascii="Times New Roman" w:eastAsia="仿宋_GB2312" w:hAnsi="Times New Roman" w:hint="eastAsia"/>
          <w:color w:val="000000"/>
          <w:sz w:val="32"/>
          <w:szCs w:val="32"/>
        </w:rPr>
        <w:t>5</w:t>
      </w:r>
      <w:r w:rsidR="00363E46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项体育赛事活动，参与人数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2000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人次。</w:t>
      </w:r>
    </w:p>
    <w:p w:rsidR="00256C56" w:rsidRDefault="00DD40A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总体目标完成情况。</w:t>
      </w:r>
      <w:r>
        <w:rPr>
          <w:rFonts w:ascii="仿宋" w:eastAsia="仿宋" w:hAnsi="仿宋" w:cs="仿宋" w:hint="eastAsia"/>
          <w:sz w:val="32"/>
          <w:szCs w:val="32"/>
        </w:rPr>
        <w:t>瑶海杯女足邀请赛、合肥市田径比赛、合肥市游泳比赛、“五智慧”跳棋比赛、安徽省暨合肥市健身气功联赛等赛事活动均按期完成。</w:t>
      </w:r>
    </w:p>
    <w:p w:rsidR="00256C56" w:rsidRDefault="00DD40AB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二、绩效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结论</w:t>
      </w:r>
    </w:p>
    <w:p w:rsidR="00256C56" w:rsidRDefault="00DD40AB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（一）总体结论</w:t>
      </w:r>
    </w:p>
    <w:p w:rsidR="00256C56" w:rsidRDefault="00DD40AB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/>
          <w:sz w:val="32"/>
          <w:szCs w:val="32"/>
        </w:rPr>
        <w:t>年度，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体育活动及学校文体活动经费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项目通过申请财政资金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520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万元，共完成包括合肥市业余足球联赛、老友杯足球比赛、寻找足球小达人比赛、合肥市游泳比赛、瑶海区游泳培训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瑶海杯女足邀请赛、合肥市田径比赛、“五智慧”跳棋比赛、安徽省暨合肥市健身气功联赛</w:t>
      </w:r>
      <w:r w:rsidR="001E145A">
        <w:rPr>
          <w:rFonts w:ascii="仿宋" w:eastAsia="仿宋" w:hAnsi="仿宋" w:cs="仿宋" w:hint="eastAsia"/>
          <w:sz w:val="32"/>
          <w:szCs w:val="32"/>
        </w:rPr>
        <w:t>，完成各项指标。</w:t>
      </w:r>
    </w:p>
    <w:p w:rsidR="00256C56" w:rsidRDefault="00DD40AB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评价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结果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经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体育活动及学校文体活动</w:t>
      </w:r>
      <w:r>
        <w:rPr>
          <w:rFonts w:ascii="Times New Roman" w:eastAsia="仿宋_GB2312" w:hAnsi="Times New Roman"/>
          <w:color w:val="000000"/>
          <w:sz w:val="32"/>
          <w:szCs w:val="32"/>
        </w:rPr>
        <w:t>经费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综合得分为</w:t>
      </w:r>
      <w:r w:rsidR="00CD41F3"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 w:rsidR="00363E46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结果为</w:t>
      </w:r>
      <w:r>
        <w:rPr>
          <w:rFonts w:ascii="Times New Roman" w:eastAsia="仿宋_GB2312" w:hAnsi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</w:rPr>
        <w:t>优</w:t>
      </w:r>
      <w:r>
        <w:rPr>
          <w:rFonts w:ascii="Times New Roman" w:eastAsia="仿宋_GB2312" w:hAnsi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三、指标分析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体育活动及学校文体活动经费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项目绩效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指标体系设置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预算执行率和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个一级指标，</w:t>
      </w:r>
      <w:r w:rsidR="00363E46"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个二级指标，</w:t>
      </w:r>
      <w:r w:rsidR="00363E46"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个三级指标，各项指标评分情况分析如下：</w:t>
      </w:r>
    </w:p>
    <w:p w:rsidR="00256C56" w:rsidRDefault="00DD40AB">
      <w:pPr>
        <w:spacing w:line="592" w:lineRule="exact"/>
        <w:ind w:firstLineChars="200" w:firstLine="643"/>
        <w:rPr>
          <w:rFonts w:ascii="Times New Roman" w:eastAsia="楷体_GB2312" w:hAnsi="Times New Roman"/>
          <w:b/>
          <w:bCs/>
          <w:sz w:val="32"/>
        </w:rPr>
      </w:pPr>
      <w:r>
        <w:rPr>
          <w:rFonts w:ascii="Times New Roman" w:eastAsia="楷体_GB2312" w:hAnsi="Times New Roman"/>
          <w:b/>
          <w:bCs/>
          <w:sz w:val="32"/>
        </w:rPr>
        <w:t>（一）预算执行率（满分</w:t>
      </w:r>
      <w:r>
        <w:rPr>
          <w:rFonts w:ascii="Times New Roman" w:eastAsia="楷体_GB2312" w:hAnsi="Times New Roman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分，实得</w:t>
      </w:r>
      <w:r>
        <w:rPr>
          <w:rFonts w:ascii="Times New Roman" w:eastAsia="楷体_GB2312" w:hAnsi="Times New Roman" w:hint="eastAsia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分）</w:t>
      </w:r>
    </w:p>
    <w:p w:rsidR="00256C56" w:rsidRDefault="00DD40AB">
      <w:pPr>
        <w:spacing w:line="592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，体育活动及学校文体活动</w:t>
      </w:r>
      <w:r>
        <w:rPr>
          <w:rFonts w:ascii="Times New Roman" w:eastAsia="仿宋_GB2312" w:hAnsi="Times New Roman"/>
          <w:color w:val="000000"/>
          <w:sz w:val="32"/>
          <w:szCs w:val="32"/>
        </w:rPr>
        <w:t>经费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全年预算安排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520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万元，全年执行</w:t>
      </w:r>
      <w:r w:rsidR="001E145A">
        <w:rPr>
          <w:rFonts w:ascii="Times New Roman" w:eastAsia="仿宋_GB2312" w:hAnsi="Times New Roman" w:hint="eastAsia"/>
          <w:color w:val="000000"/>
          <w:sz w:val="32"/>
          <w:szCs w:val="32"/>
        </w:rPr>
        <w:t>519.876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 w:rsidR="001E145A">
        <w:rPr>
          <w:rFonts w:ascii="Times New Roman" w:eastAsia="仿宋_GB2312" w:hAnsi="Times New Roman" w:hint="eastAsia"/>
          <w:color w:val="000000"/>
          <w:sz w:val="32"/>
          <w:szCs w:val="32"/>
        </w:rPr>
        <w:t>99.98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 w:rsidR="00363E46"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9.98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256C56" w:rsidRDefault="00DD40AB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二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）产出指标（满分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 w:rsidR="001E145A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48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313B97" w:rsidRDefault="00DD40AB" w:rsidP="00313B97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数量指标（满分</w:t>
      </w: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分，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Pr="00313B97" w:rsidRDefault="00313B97" w:rsidP="00313B97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年度设定的质量指标为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>
        <w:rPr>
          <w:rFonts w:eastAsia="仿宋_GB2312" w:hint="eastAsia"/>
          <w:kern w:val="0"/>
          <w:sz w:val="32"/>
          <w:szCs w:val="32"/>
        </w:rPr>
        <w:t>开展体育及活动数量</w:t>
      </w:r>
      <w:r>
        <w:rPr>
          <w:rFonts w:eastAsia="仿宋_GB2312" w:hint="eastAsia"/>
          <w:kern w:val="0"/>
          <w:sz w:val="32"/>
          <w:szCs w:val="32"/>
        </w:rPr>
        <w:t>50</w:t>
      </w:r>
      <w:r>
        <w:rPr>
          <w:rFonts w:eastAsia="仿宋_GB2312" w:hint="eastAsia"/>
          <w:kern w:val="0"/>
          <w:sz w:val="32"/>
          <w:szCs w:val="32"/>
        </w:rPr>
        <w:t>场，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实际完成为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场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313B97" w:rsidRDefault="00DD40AB" w:rsidP="00313B97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时效指标（满分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313B97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313B97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Pr="00313B97" w:rsidRDefault="00313B97" w:rsidP="00313B97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时效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>
        <w:rPr>
          <w:rFonts w:eastAsia="仿宋_GB2312" w:hint="eastAsia"/>
          <w:kern w:val="0"/>
          <w:sz w:val="32"/>
          <w:szCs w:val="32"/>
        </w:rPr>
        <w:t>经费支出时效性，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实际完成为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及时完成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达成预期指标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313B97" w:rsidRDefault="00DD40AB" w:rsidP="00313B97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质量指标（满分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313B97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313B97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Pr="001A2D9E" w:rsidRDefault="00313B97" w:rsidP="001A2D9E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质量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>
        <w:rPr>
          <w:rFonts w:eastAsia="仿宋_GB2312" w:hint="eastAsia"/>
          <w:kern w:val="0"/>
          <w:sz w:val="32"/>
          <w:szCs w:val="32"/>
        </w:rPr>
        <w:t>经费支出</w:t>
      </w:r>
      <w:r w:rsidR="001A2D9E">
        <w:rPr>
          <w:rFonts w:eastAsia="仿宋_GB2312" w:hint="eastAsia"/>
          <w:kern w:val="0"/>
          <w:sz w:val="32"/>
          <w:szCs w:val="32"/>
        </w:rPr>
        <w:t>合规性</w:t>
      </w:r>
      <w:r>
        <w:rPr>
          <w:rFonts w:eastAsia="仿宋_GB2312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实际完成为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合格达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达成预期指标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1A2D9E" w:rsidRDefault="00DD40AB" w:rsidP="001A2D9E">
      <w:pPr>
        <w:spacing w:line="600" w:lineRule="exact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成本指标（满分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CD41F3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Pr="001A2D9E" w:rsidRDefault="001A2D9E" w:rsidP="001A2D9E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成本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>
        <w:rPr>
          <w:rFonts w:eastAsia="仿宋_GB2312" w:hint="eastAsia"/>
          <w:kern w:val="0"/>
          <w:sz w:val="32"/>
          <w:szCs w:val="32"/>
        </w:rPr>
        <w:t>项目总成本小于</w:t>
      </w:r>
      <w:r>
        <w:rPr>
          <w:rFonts w:eastAsia="仿宋_GB2312" w:hint="eastAsia"/>
          <w:kern w:val="0"/>
          <w:sz w:val="32"/>
          <w:szCs w:val="32"/>
        </w:rPr>
        <w:t>1540</w:t>
      </w:r>
      <w:r>
        <w:rPr>
          <w:rFonts w:eastAsia="仿宋_GB2312" w:hint="eastAsia"/>
          <w:kern w:val="0"/>
          <w:sz w:val="32"/>
          <w:szCs w:val="32"/>
        </w:rPr>
        <w:t>万元，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实际完成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520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  <w:r>
        <w:rPr>
          <w:rFonts w:ascii="Times New Roman" w:eastAsia="仿宋_GB2312" w:hAnsi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256C56" w:rsidRDefault="00DD40AB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三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）效益指标（满分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 w:rsidR="00CD41F3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23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经济效益指标（满分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社会效益指标（满分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生态效益指标（满分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CD41F3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不适用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可持续影响指标（满分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1A2D9E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Default="00DD40AB">
      <w:pPr>
        <w:spacing w:line="600" w:lineRule="exact"/>
        <w:ind w:right="-283"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四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满意度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满意度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四、存在问题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通过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发现，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体育活动及学校文体活动</w:t>
      </w:r>
      <w:r>
        <w:rPr>
          <w:rFonts w:ascii="Times New Roman" w:eastAsia="仿宋_GB2312" w:hAnsi="Times New Roman"/>
          <w:color w:val="000000"/>
          <w:sz w:val="32"/>
          <w:szCs w:val="32"/>
        </w:rPr>
        <w:t>经费</w:t>
      </w:r>
      <w:r>
        <w:rPr>
          <w:rFonts w:ascii="Times New Roman" w:eastAsia="仿宋_GB2312" w:hAnsi="Times New Roman"/>
          <w:sz w:val="32"/>
          <w:szCs w:val="32"/>
        </w:rPr>
        <w:lastRenderedPageBreak/>
        <w:t>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实施虽取得了一定的成效，但还存在一些问题和不足，主要表现在：</w:t>
      </w:r>
    </w:p>
    <w:p w:rsidR="00256C56" w:rsidRDefault="00DD40AB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一是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品牌赛事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影响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力还不够大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256C56" w:rsidRDefault="00DD40AB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二是室外体育赛事活动受天气影响较大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256C56" w:rsidRDefault="00DD40AB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五、意见和建议</w:t>
      </w:r>
    </w:p>
    <w:p w:rsidR="00256C56" w:rsidRDefault="00DD40AB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为进一步提高专项资金使用效益，针对存在的问题，提出如下建议：</w:t>
      </w:r>
    </w:p>
    <w:p w:rsidR="00256C56" w:rsidRDefault="00DD40AB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一要早谋划，早启动，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早完赛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256C56" w:rsidRDefault="00DD40AB">
      <w:pPr>
        <w:spacing w:line="600" w:lineRule="exact"/>
        <w:ind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二要辖区内广泛摸排资源，合理选择场地，合理规避天气影响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:rsidR="00256C56" w:rsidRDefault="00DD40AB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六、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依据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市体育局和财政部门相关工作要求</w:t>
      </w:r>
    </w:p>
    <w:p w:rsidR="00256C56" w:rsidRDefault="00DD40AB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七、附件</w:t>
      </w:r>
    </w:p>
    <w:p w:rsidR="00256C56" w:rsidRDefault="00DD40A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项目支出绩效自评表（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从预算管理一体化系统导出</w:t>
      </w:r>
      <w:r>
        <w:rPr>
          <w:rFonts w:ascii="Times New Roman" w:eastAsia="仿宋_GB2312" w:hAnsi="Times New Roman"/>
          <w:color w:val="000000"/>
          <w:sz w:val="32"/>
          <w:szCs w:val="32"/>
        </w:rPr>
        <w:t>）；</w:t>
      </w:r>
    </w:p>
    <w:p w:rsidR="00256C56" w:rsidRDefault="00256C56">
      <w:pPr>
        <w:widowControl/>
        <w:jc w:val="left"/>
      </w:pPr>
    </w:p>
    <w:sectPr w:rsidR="00256C56" w:rsidSect="00256C56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18C" w:rsidRDefault="00DA718C" w:rsidP="00256C56">
      <w:r>
        <w:separator/>
      </w:r>
    </w:p>
  </w:endnote>
  <w:endnote w:type="continuationSeparator" w:id="1">
    <w:p w:rsidR="00DA718C" w:rsidRDefault="00DA718C" w:rsidP="00256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56" w:rsidRDefault="00A6573F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D40AB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DD40AB">
      <w:rPr>
        <w:rFonts w:ascii="宋体" w:hAnsi="宋体"/>
        <w:sz w:val="28"/>
        <w:szCs w:val="28"/>
        <w:lang w:val="zh-CN"/>
      </w:rPr>
      <w:t>-</w:t>
    </w:r>
    <w:r w:rsidR="00DD40AB"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256C56" w:rsidRDefault="00256C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56" w:rsidRDefault="00A6573F">
    <w:pPr>
      <w:pStyle w:val="a6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D40AB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A2D9E" w:rsidRPr="001A2D9E">
      <w:rPr>
        <w:rFonts w:ascii="宋体" w:hAnsi="宋体"/>
        <w:noProof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 w:rsidR="00256C56" w:rsidRDefault="00256C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18C" w:rsidRDefault="00DA718C" w:rsidP="00256C56">
      <w:r>
        <w:separator/>
      </w:r>
    </w:p>
  </w:footnote>
  <w:footnote w:type="continuationSeparator" w:id="1">
    <w:p w:rsidR="00DA718C" w:rsidRDefault="00DA718C" w:rsidP="00256C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MxY2RkYWIwNzg0ZTA4YWVjZTgxNmM4NDZjNGI1ZmIifQ=="/>
  </w:docVars>
  <w:rsids>
    <w:rsidRoot w:val="00192156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7452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B2ED0"/>
    <w:rsid w:val="000C07BA"/>
    <w:rsid w:val="000C3815"/>
    <w:rsid w:val="000C3EFC"/>
    <w:rsid w:val="000C6717"/>
    <w:rsid w:val="000D56B4"/>
    <w:rsid w:val="000E18F6"/>
    <w:rsid w:val="000E793F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1EE7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6FF0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2D9E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E145A"/>
    <w:rsid w:val="001F1D49"/>
    <w:rsid w:val="001F43A9"/>
    <w:rsid w:val="00204E47"/>
    <w:rsid w:val="002124CD"/>
    <w:rsid w:val="00214687"/>
    <w:rsid w:val="00220B48"/>
    <w:rsid w:val="00225F36"/>
    <w:rsid w:val="00234311"/>
    <w:rsid w:val="00235D77"/>
    <w:rsid w:val="002366F3"/>
    <w:rsid w:val="00237881"/>
    <w:rsid w:val="002422EF"/>
    <w:rsid w:val="00242379"/>
    <w:rsid w:val="00242E8D"/>
    <w:rsid w:val="002508AE"/>
    <w:rsid w:val="00256C56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B97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3E46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0307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64430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B6DA2"/>
    <w:rsid w:val="008C06FA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73F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241A0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06D2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542D7"/>
    <w:rsid w:val="00C56A1C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1F3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974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A718C"/>
    <w:rsid w:val="00DB028F"/>
    <w:rsid w:val="00DC2FB6"/>
    <w:rsid w:val="00DD0035"/>
    <w:rsid w:val="00DD1FB9"/>
    <w:rsid w:val="00DD40AB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0DAD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13D4"/>
    <w:rsid w:val="00F33D0D"/>
    <w:rsid w:val="00F42C4A"/>
    <w:rsid w:val="00F4495A"/>
    <w:rsid w:val="00F46070"/>
    <w:rsid w:val="00F47D94"/>
    <w:rsid w:val="00F53E48"/>
    <w:rsid w:val="00F61B60"/>
    <w:rsid w:val="00F62210"/>
    <w:rsid w:val="00F6382E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58C65C9"/>
    <w:rsid w:val="1580063C"/>
    <w:rsid w:val="16F716AA"/>
    <w:rsid w:val="1BD792BA"/>
    <w:rsid w:val="1CA5734F"/>
    <w:rsid w:val="1FA61E04"/>
    <w:rsid w:val="27FA6A3D"/>
    <w:rsid w:val="2EF275A3"/>
    <w:rsid w:val="2F275F54"/>
    <w:rsid w:val="2FAD260A"/>
    <w:rsid w:val="2FFC4CEE"/>
    <w:rsid w:val="3273260E"/>
    <w:rsid w:val="39EC3A8B"/>
    <w:rsid w:val="3CFE57A8"/>
    <w:rsid w:val="3D17003D"/>
    <w:rsid w:val="3EB75BFF"/>
    <w:rsid w:val="54AB3C68"/>
    <w:rsid w:val="5B2737C9"/>
    <w:rsid w:val="5C736320"/>
    <w:rsid w:val="5F061262"/>
    <w:rsid w:val="5F9C8719"/>
    <w:rsid w:val="5FF43F05"/>
    <w:rsid w:val="64266808"/>
    <w:rsid w:val="6D0D5EB2"/>
    <w:rsid w:val="6DF8D820"/>
    <w:rsid w:val="6FED328C"/>
    <w:rsid w:val="70576F8F"/>
    <w:rsid w:val="71373859"/>
    <w:rsid w:val="722E7780"/>
    <w:rsid w:val="779BD1C3"/>
    <w:rsid w:val="788B23EB"/>
    <w:rsid w:val="79307DC5"/>
    <w:rsid w:val="7BBCDE22"/>
    <w:rsid w:val="7F7D9BD7"/>
    <w:rsid w:val="7FFE9D0A"/>
    <w:rsid w:val="7FFFD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56C5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256C56"/>
    <w:pPr>
      <w:keepNext/>
      <w:keepLines/>
      <w:spacing w:before="340" w:after="330" w:line="578" w:lineRule="auto"/>
      <w:outlineLvl w:val="0"/>
    </w:pPr>
    <w:rPr>
      <w:rFonts w:ascii="Times New Roman" w:eastAsia="MS Gothic" w:hAnsi="Times New Roman"/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autoRedefine/>
    <w:uiPriority w:val="9"/>
    <w:unhideWhenUsed/>
    <w:qFormat/>
    <w:rsid w:val="00256C5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qFormat/>
    <w:rsid w:val="00256C56"/>
    <w:pPr>
      <w:spacing w:line="560" w:lineRule="atLeast"/>
      <w:ind w:firstLine="567"/>
    </w:pPr>
    <w:rPr>
      <w:rFonts w:asciiTheme="minorHAnsi" w:eastAsiaTheme="minorEastAsia" w:hAnsiTheme="minorHAnsi" w:cstheme="minorBidi"/>
      <w:sz w:val="28"/>
    </w:rPr>
  </w:style>
  <w:style w:type="paragraph" w:styleId="a4">
    <w:name w:val="Date"/>
    <w:basedOn w:val="a"/>
    <w:next w:val="a"/>
    <w:link w:val="Char0"/>
    <w:qFormat/>
    <w:rsid w:val="00256C56"/>
    <w:pPr>
      <w:ind w:leftChars="2500" w:left="100"/>
    </w:pPr>
    <w:rPr>
      <w:rFonts w:ascii="Times New Roman" w:hAnsi="Times New Roman"/>
      <w:szCs w:val="24"/>
    </w:rPr>
  </w:style>
  <w:style w:type="paragraph" w:styleId="a5">
    <w:name w:val="Balloon Text"/>
    <w:basedOn w:val="a"/>
    <w:link w:val="Char1"/>
    <w:autoRedefine/>
    <w:uiPriority w:val="99"/>
    <w:unhideWhenUsed/>
    <w:qFormat/>
    <w:rsid w:val="00256C56"/>
    <w:rPr>
      <w:rFonts w:ascii="Times New Roman" w:hAnsi="Times New Roman"/>
      <w:sz w:val="18"/>
      <w:szCs w:val="18"/>
      <w:lang w:val="zh-CN"/>
    </w:rPr>
  </w:style>
  <w:style w:type="paragraph" w:styleId="a6">
    <w:name w:val="footer"/>
    <w:basedOn w:val="a"/>
    <w:link w:val="Char2"/>
    <w:uiPriority w:val="99"/>
    <w:qFormat/>
    <w:rsid w:val="00256C5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Char3"/>
    <w:qFormat/>
    <w:rsid w:val="00256C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a"/>
    <w:next w:val="a"/>
    <w:autoRedefine/>
    <w:qFormat/>
    <w:rsid w:val="00256C56"/>
    <w:pPr>
      <w:tabs>
        <w:tab w:val="right" w:leader="dot" w:pos="9135"/>
      </w:tabs>
      <w:spacing w:line="480" w:lineRule="auto"/>
      <w:ind w:leftChars="50" w:left="105"/>
      <w:jc w:val="center"/>
    </w:pPr>
    <w:rPr>
      <w:rFonts w:ascii="黑体" w:eastAsia="黑体" w:hAnsi="宋体" w:cs="宋体"/>
      <w:color w:val="000000"/>
      <w:kern w:val="0"/>
      <w:sz w:val="32"/>
      <w:szCs w:val="32"/>
    </w:rPr>
  </w:style>
  <w:style w:type="paragraph" w:styleId="a8">
    <w:name w:val="Normal (Web)"/>
    <w:basedOn w:val="a"/>
    <w:uiPriority w:val="99"/>
    <w:unhideWhenUsed/>
    <w:qFormat/>
    <w:rsid w:val="00256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rsid w:val="00256C56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autoRedefine/>
    <w:qFormat/>
    <w:rsid w:val="00256C56"/>
  </w:style>
  <w:style w:type="character" w:styleId="ab">
    <w:name w:val="Hyperlink"/>
    <w:qFormat/>
    <w:rsid w:val="00256C56"/>
    <w:rPr>
      <w:color w:val="0000FF"/>
      <w:u w:val="single"/>
    </w:rPr>
  </w:style>
  <w:style w:type="character" w:customStyle="1" w:styleId="1Char">
    <w:name w:val="标题 1 Char"/>
    <w:basedOn w:val="a0"/>
    <w:link w:val="1"/>
    <w:autoRedefine/>
    <w:qFormat/>
    <w:rsid w:val="00256C56"/>
    <w:rPr>
      <w:rFonts w:ascii="Times New Roman" w:eastAsia="MS Gothic" w:hAnsi="Times New Roman" w:cs="Times New Roman"/>
      <w:b/>
      <w:bCs/>
      <w:kern w:val="44"/>
      <w:sz w:val="44"/>
      <w:szCs w:val="44"/>
      <w:lang w:val="zh-CN" w:eastAsia="zh-CN"/>
    </w:rPr>
  </w:style>
  <w:style w:type="character" w:customStyle="1" w:styleId="Char2">
    <w:name w:val="页脚 Char"/>
    <w:basedOn w:val="a0"/>
    <w:link w:val="a6"/>
    <w:uiPriority w:val="99"/>
    <w:qFormat/>
    <w:rsid w:val="00256C56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qFormat/>
    <w:rsid w:val="00256C56"/>
    <w:rPr>
      <w:rFonts w:ascii="Times New Roman" w:eastAsia="宋体" w:hAnsi="Times New Roman" w:cs="Times New Roman"/>
      <w:sz w:val="18"/>
      <w:szCs w:val="18"/>
    </w:rPr>
  </w:style>
  <w:style w:type="character" w:customStyle="1" w:styleId="CharChar">
    <w:name w:val="页脚 Char Char"/>
    <w:qFormat/>
    <w:rsid w:val="00256C5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缩进 Char"/>
    <w:link w:val="a3"/>
    <w:qFormat/>
    <w:rsid w:val="00256C56"/>
    <w:rPr>
      <w:sz w:val="28"/>
    </w:rPr>
  </w:style>
  <w:style w:type="character" w:customStyle="1" w:styleId="CharChar0">
    <w:name w:val="正文啊 Char Char"/>
    <w:link w:val="ac"/>
    <w:autoRedefine/>
    <w:qFormat/>
    <w:rsid w:val="00256C56"/>
    <w:rPr>
      <w:rFonts w:ascii="仿宋_GB2312" w:eastAsia="仿宋_GB2312" w:hAnsi="宋体"/>
      <w:bCs/>
      <w:sz w:val="30"/>
      <w:szCs w:val="30"/>
    </w:rPr>
  </w:style>
  <w:style w:type="paragraph" w:customStyle="1" w:styleId="ac">
    <w:name w:val="正文啊"/>
    <w:basedOn w:val="a"/>
    <w:link w:val="CharChar0"/>
    <w:qFormat/>
    <w:rsid w:val="00256C56"/>
    <w:pPr>
      <w:spacing w:line="560" w:lineRule="exact"/>
      <w:ind w:firstLineChars="200" w:firstLine="600"/>
    </w:pPr>
    <w:rPr>
      <w:rFonts w:ascii="仿宋_GB2312" w:eastAsia="仿宋_GB2312" w:hAnsi="宋体" w:cstheme="minorBidi"/>
      <w:bCs/>
      <w:sz w:val="30"/>
      <w:szCs w:val="30"/>
    </w:rPr>
  </w:style>
  <w:style w:type="paragraph" w:customStyle="1" w:styleId="Char4">
    <w:name w:val="Char"/>
    <w:basedOn w:val="a"/>
    <w:next w:val="a"/>
    <w:qFormat/>
    <w:rsid w:val="00256C56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Char1">
    <w:name w:val="批注框文本 Char"/>
    <w:basedOn w:val="a0"/>
    <w:link w:val="a5"/>
    <w:autoRedefine/>
    <w:uiPriority w:val="99"/>
    <w:qFormat/>
    <w:rsid w:val="00256C56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customStyle="1" w:styleId="Char0">
    <w:name w:val="日期 Char"/>
    <w:basedOn w:val="a0"/>
    <w:link w:val="a4"/>
    <w:autoRedefine/>
    <w:qFormat/>
    <w:rsid w:val="00256C56"/>
    <w:rPr>
      <w:rFonts w:ascii="Times New Roman" w:eastAsia="宋体" w:hAnsi="Times New Roman" w:cs="Times New Roman"/>
      <w:szCs w:val="24"/>
    </w:rPr>
  </w:style>
  <w:style w:type="paragraph" w:customStyle="1" w:styleId="DefaultParagraphCharCharCharChar">
    <w:name w:val="Default Paragraph Char Char Char Char"/>
    <w:basedOn w:val="a"/>
    <w:next w:val="a"/>
    <w:autoRedefine/>
    <w:qFormat/>
    <w:rsid w:val="00256C56"/>
    <w:pPr>
      <w:widowControl/>
      <w:spacing w:line="360" w:lineRule="auto"/>
      <w:jc w:val="center"/>
    </w:pPr>
    <w:rPr>
      <w:rFonts w:ascii="Times New Roman" w:eastAsia="方正小标宋简体" w:hAnsi="Times New Roman"/>
      <w:kern w:val="0"/>
      <w:sz w:val="4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王焱</dc:creator>
  <cp:lastModifiedBy>lenovo2</cp:lastModifiedBy>
  <cp:revision>13</cp:revision>
  <cp:lastPrinted>2022-12-06T16:18:00Z</cp:lastPrinted>
  <dcterms:created xsi:type="dcterms:W3CDTF">2023-03-09T03:22:00Z</dcterms:created>
  <dcterms:modified xsi:type="dcterms:W3CDTF">2024-05-07T04:54:00Z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CED02EDA206F41149D597E818FE04422</vt:lpwstr>
  </property>
</Properties>
</file>