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Times New Roman" w:hAnsi="Times New Roman" w:eastAsia="黑体"/>
          <w:bCs/>
          <w:sz w:val="32"/>
          <w:szCs w:val="32"/>
          <w:lang w:val="en-US" w:eastAsia="zh-CN"/>
        </w:rPr>
      </w:pPr>
      <w:r>
        <w:rPr>
          <w:rFonts w:ascii="Times New Roman" w:hAnsi="Times New Roman" w:eastAsia="黑体"/>
          <w:bCs/>
          <w:sz w:val="32"/>
          <w:szCs w:val="32"/>
        </w:rPr>
        <w:t>附件</w:t>
      </w:r>
      <w:r>
        <w:rPr>
          <w:rFonts w:hint="eastAsia" w:ascii="Times New Roman" w:hAnsi="Times New Roman" w:eastAsia="黑体"/>
          <w:bCs/>
          <w:sz w:val="32"/>
          <w:szCs w:val="32"/>
          <w:lang w:val="en-US" w:eastAsia="zh-CN"/>
        </w:rPr>
        <w:t>2</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spacing w:line="600" w:lineRule="exact"/>
        <w:jc w:val="center"/>
        <w:rPr>
          <w:rFonts w:ascii="Times New Roman" w:hAnsi="Times New Roman" w:eastAsia="方正小标宋简体"/>
          <w:bCs/>
          <w:sz w:val="32"/>
        </w:rPr>
      </w:pPr>
      <w:r>
        <w:rPr>
          <w:rFonts w:hint="eastAsia" w:ascii="Times New Roman" w:hAnsi="Times New Roman" w:eastAsia="方正小标宋简体"/>
          <w:bCs/>
          <w:sz w:val="32"/>
          <w:lang w:val="en-US" w:eastAsia="zh-CN"/>
        </w:rPr>
        <w:t xml:space="preserve"> </w:t>
      </w:r>
    </w:p>
    <w:p>
      <w:pPr>
        <w:jc w:val="center"/>
        <w:rPr>
          <w:rFonts w:ascii="Times New Roman" w:hAnsi="Times New Roman" w:eastAsia="楷体_GB2312"/>
          <w:b/>
          <w:bCs/>
          <w:sz w:val="32"/>
        </w:rPr>
      </w:pP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政府购买居家养老服务</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   目   单   位 ：</w:t>
      </w:r>
      <w:r>
        <w:rPr>
          <w:rFonts w:ascii="Times New Roman" w:hAnsi="Times New Roman" w:eastAsia="楷体_GB2312"/>
          <w:sz w:val="32"/>
          <w:u w:val="single"/>
        </w:rPr>
        <w:t xml:space="preserve">  </w:t>
      </w:r>
      <w:r>
        <w:rPr>
          <w:rFonts w:hint="eastAsia" w:ascii="Times New Roman" w:hAnsi="Times New Roman" w:eastAsia="楷体_GB2312"/>
          <w:sz w:val="32"/>
          <w:u w:val="single"/>
          <w:lang w:val="en-US" w:eastAsia="zh-CN"/>
        </w:rPr>
        <w:t>合肥市瑶海区民政局</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hint="eastAsia" w:ascii="Times New Roman" w:hAnsi="Times New Roman" w:eastAsia="方正小标宋简体"/>
          <w:bCs/>
          <w:sz w:val="44"/>
          <w:szCs w:val="24"/>
          <w:lang w:eastAsia="zh-CN"/>
        </w:rPr>
        <w:t>2023</w:t>
      </w:r>
      <w:r>
        <w:rPr>
          <w:rFonts w:ascii="Times New Roman" w:hAnsi="Times New Roman" w:eastAsia="方正小标宋简体"/>
          <w:bCs/>
          <w:sz w:val="44"/>
          <w:szCs w:val="24"/>
        </w:rPr>
        <w:t>年</w:t>
      </w:r>
      <w:r>
        <w:rPr>
          <w:rFonts w:hint="eastAsia" w:ascii="Times New Roman" w:hAnsi="Times New Roman" w:eastAsia="方正小标宋简体"/>
          <w:bCs/>
          <w:sz w:val="44"/>
          <w:szCs w:val="24"/>
        </w:rPr>
        <w:t>政府购买居家养老服务</w:t>
      </w:r>
      <w:r>
        <w:rPr>
          <w:rFonts w:ascii="Times New Roman" w:hAnsi="Times New Roman" w:eastAsia="方正小标宋简体"/>
          <w:bCs/>
          <w:sz w:val="44"/>
          <w:szCs w:val="24"/>
        </w:rPr>
        <w:t>项目</w:t>
      </w:r>
    </w:p>
    <w:p>
      <w:pPr>
        <w:spacing w:line="600" w:lineRule="exact"/>
        <w:jc w:val="center"/>
        <w:rPr>
          <w:rFonts w:ascii="Times New Roman" w:hAnsi="Times New Roman" w:eastAsia="方正小标宋简体"/>
          <w:bCs/>
          <w:sz w:val="44"/>
          <w:szCs w:val="24"/>
        </w:rPr>
      </w:pP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widowControl/>
        <w:spacing w:line="560" w:lineRule="exact"/>
        <w:ind w:firstLine="640" w:firstLineChars="200"/>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1.项目立项情况</w:t>
      </w:r>
    </w:p>
    <w:p>
      <w:pPr>
        <w:widowControl/>
        <w:spacing w:line="560" w:lineRule="exact"/>
        <w:ind w:firstLine="640" w:firstLineChars="200"/>
        <w:rPr>
          <w:rFonts w:ascii="Times New Roman" w:hAnsi="Times New Roman" w:eastAsia="仿宋_GB2312"/>
          <w:snapToGrid w:val="0"/>
          <w:color w:val="000000"/>
          <w:sz w:val="32"/>
          <w:szCs w:val="32"/>
        </w:rPr>
      </w:pPr>
      <w:r>
        <w:rPr>
          <w:rFonts w:hint="eastAsia" w:ascii="Times New Roman" w:hAnsi="Times New Roman" w:eastAsia="仿宋_GB2312"/>
          <w:snapToGrid w:val="0"/>
          <w:color w:val="000000"/>
          <w:sz w:val="32"/>
          <w:szCs w:val="32"/>
        </w:rPr>
        <w:t>根据《合肥市养老服务和智慧养老实施方案》（合民〔2022〕15号）文件精神执行，有瑶海区户籍的60 周岁及以上经济困难的半失能、全失能老年人，半失能老人每人每月可享受政府购买的价值 400 元居家养老服务，全失能老人每人每月科享受政府购买的价值600元居家养老服务。有瑶海区户籍的 70 周岁及以上的低保、空巢（无子女）老人和 90 周岁及以上老人，每月可享受政府购买的价值600元居家养老服务。所需资金由市、区（开发区）财政按 1:1 比例分担。</w:t>
      </w:r>
    </w:p>
    <w:p>
      <w:pPr>
        <w:spacing w:line="560" w:lineRule="exact"/>
        <w:ind w:firstLine="646" w:firstLineChars="202"/>
        <w:rPr>
          <w:rFonts w:ascii="Times New Roman" w:hAnsi="Times New Roman" w:eastAsia="仿宋_GB2312"/>
          <w:snapToGrid w:val="0"/>
          <w:color w:val="000000"/>
          <w:sz w:val="32"/>
          <w:szCs w:val="32"/>
        </w:rPr>
      </w:pPr>
      <w:r>
        <w:rPr>
          <w:rFonts w:ascii="Times New Roman" w:hAnsi="Times New Roman" w:eastAsia="仿宋_GB2312"/>
          <w:snapToGrid w:val="0"/>
          <w:color w:val="000000"/>
          <w:sz w:val="32"/>
          <w:szCs w:val="32"/>
        </w:rPr>
        <w:t>2.项目执行情况</w:t>
      </w:r>
    </w:p>
    <w:p>
      <w:pPr>
        <w:widowControl/>
        <w:spacing w:line="560" w:lineRule="exact"/>
        <w:ind w:firstLine="640" w:firstLineChars="200"/>
        <w:rPr>
          <w:rFonts w:hint="eastAsia" w:ascii="Times New Roman" w:hAnsi="Times New Roman" w:eastAsia="仿宋_GB2312"/>
          <w:snapToGrid w:val="0"/>
          <w:color w:val="auto"/>
          <w:sz w:val="32"/>
          <w:szCs w:val="32"/>
          <w:lang w:val="en-US" w:eastAsia="zh-CN"/>
        </w:rPr>
      </w:pPr>
      <w:r>
        <w:rPr>
          <w:rFonts w:hint="eastAsia" w:ascii="Times New Roman" w:hAnsi="Times New Roman" w:eastAsia="仿宋_GB2312"/>
          <w:snapToGrid w:val="0"/>
          <w:color w:val="auto"/>
          <w:sz w:val="32"/>
          <w:szCs w:val="32"/>
          <w:lang w:val="en-US" w:eastAsia="zh-CN"/>
        </w:rPr>
        <w:t>2023年政府购买居家养老项目年初预算200万元，全年预算数2162.245万（含上级资金），全年执行2162.245万元，预算执行率100%。按照全年进度，政府购买居家养老服务项目实施进度正常，按月支付到位。</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1.项目年度总体目标</w:t>
      </w:r>
    </w:p>
    <w:p>
      <w:pPr>
        <w:pStyle w:val="2"/>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申请</w:t>
      </w:r>
      <w:r>
        <w:rPr>
          <w:rFonts w:hint="eastAsia" w:ascii="Times New Roman" w:hAnsi="Times New Roman" w:eastAsia="仿宋_GB2312"/>
          <w:snapToGrid w:val="0"/>
          <w:color w:val="auto"/>
          <w:sz w:val="32"/>
          <w:szCs w:val="32"/>
          <w:lang w:val="en-US" w:eastAsia="zh-CN"/>
        </w:rPr>
        <w:t>2162.245</w:t>
      </w:r>
      <w:r>
        <w:rPr>
          <w:rFonts w:hint="eastAsia" w:ascii="Times New Roman" w:hAnsi="Times New Roman" w:eastAsia="仿宋_GB2312"/>
          <w:color w:val="000000"/>
          <w:sz w:val="32"/>
          <w:szCs w:val="32"/>
          <w:lang w:val="en-US" w:eastAsia="zh-CN"/>
        </w:rPr>
        <w:t>万元财政资金，用于政府购买居家养老服务。</w:t>
      </w: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每月3000人，</w:t>
      </w:r>
      <w:r>
        <w:rPr>
          <w:rFonts w:ascii="Times New Roman" w:eastAsia="仿宋_GB2312"/>
          <w:color w:val="000000"/>
          <w:sz w:val="32"/>
          <w:szCs w:val="32"/>
        </w:rPr>
        <w:t>截至</w:t>
      </w:r>
      <w:r>
        <w:rPr>
          <w:rFonts w:eastAsia="仿宋_GB2312"/>
          <w:color w:val="000000"/>
          <w:sz w:val="32"/>
          <w:szCs w:val="32"/>
        </w:rPr>
        <w:t>202</w:t>
      </w:r>
      <w:r>
        <w:rPr>
          <w:rFonts w:hint="eastAsia" w:eastAsia="仿宋_GB2312"/>
          <w:color w:val="000000"/>
          <w:sz w:val="32"/>
          <w:szCs w:val="32"/>
          <w:lang w:val="en-US" w:eastAsia="zh-CN"/>
        </w:rPr>
        <w:t>3</w:t>
      </w:r>
      <w:r>
        <w:rPr>
          <w:rFonts w:ascii="Times New Roman" w:eastAsia="仿宋_GB2312"/>
          <w:color w:val="000000"/>
          <w:sz w:val="32"/>
          <w:szCs w:val="32"/>
        </w:rPr>
        <w:t>年底</w:t>
      </w:r>
      <w:r>
        <w:rPr>
          <w:rFonts w:hint="eastAsia" w:ascii="Times New Roman" w:eastAsia="仿宋_GB2312"/>
          <w:color w:val="000000"/>
          <w:sz w:val="32"/>
          <w:szCs w:val="32"/>
        </w:rPr>
        <w:t>已全部完成资金发放</w:t>
      </w:r>
      <w:r>
        <w:rPr>
          <w:rFonts w:hint="eastAsia" w:asci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不断满足全区老年人养老服务需求，为老人提供各类服务，丰富养老服务内容，创新养老服务供给方式，提升养老氛围。</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2.总体目标完成情况</w:t>
      </w:r>
    </w:p>
    <w:p>
      <w:pPr>
        <w:spacing w:line="56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按照时间节点，支付到位。20</w:t>
      </w:r>
      <w:r>
        <w:rPr>
          <w:rFonts w:hint="eastAsia" w:ascii="Times New Roman" w:hAnsi="Times New Roman" w:eastAsia="仿宋_GB2312"/>
          <w:color w:val="000000"/>
          <w:sz w:val="32"/>
          <w:szCs w:val="32"/>
          <w:lang w:val="en-US" w:eastAsia="zh-CN"/>
        </w:rPr>
        <w:t>23</w:t>
      </w:r>
      <w:r>
        <w:rPr>
          <w:rFonts w:hint="eastAsia" w:ascii="Times New Roman" w:hAnsi="Times New Roman" w:eastAsia="仿宋_GB2312"/>
          <w:color w:val="000000"/>
          <w:sz w:val="32"/>
          <w:szCs w:val="32"/>
        </w:rPr>
        <w:t>年全年拨付政府购买居家养老服务</w:t>
      </w:r>
      <w:r>
        <w:rPr>
          <w:rFonts w:hint="eastAsia" w:ascii="Times New Roman" w:hAnsi="Times New Roman" w:eastAsia="仿宋_GB2312"/>
          <w:snapToGrid w:val="0"/>
          <w:color w:val="auto"/>
          <w:sz w:val="32"/>
          <w:szCs w:val="32"/>
          <w:lang w:val="en-US" w:eastAsia="zh-CN"/>
        </w:rPr>
        <w:t>2162.245</w:t>
      </w:r>
      <w:r>
        <w:rPr>
          <w:rFonts w:hint="eastAsia" w:ascii="Times New Roman" w:hAnsi="Times New Roman" w:eastAsia="仿宋_GB2312"/>
          <w:color w:val="000000"/>
          <w:sz w:val="32"/>
          <w:szCs w:val="32"/>
        </w:rPr>
        <w:t>万元。</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widowControl/>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年度，政府购买居家养老服务项目通过申请财政资金</w:t>
      </w:r>
      <w:r>
        <w:rPr>
          <w:rFonts w:hint="eastAsia" w:ascii="Times New Roman" w:hAnsi="Times New Roman" w:eastAsia="仿宋_GB2312"/>
          <w:snapToGrid w:val="0"/>
          <w:color w:val="auto"/>
          <w:sz w:val="32"/>
          <w:szCs w:val="32"/>
          <w:lang w:val="en-US" w:eastAsia="zh-CN"/>
        </w:rPr>
        <w:t>2162.245</w:t>
      </w:r>
      <w:r>
        <w:rPr>
          <w:rFonts w:hint="eastAsia" w:ascii="Times New Roman" w:hAnsi="Times New Roman" w:eastAsia="仿宋_GB2312"/>
          <w:sz w:val="32"/>
          <w:szCs w:val="32"/>
          <w:lang w:eastAsia="zh-CN"/>
        </w:rPr>
        <w:t>万元，完成具有瑶海区户籍的60 周岁及以上经济困难的半失能、全失能老年人、70周岁以上低保老人、70周岁以上空巢老人（无子女）、90周岁以上高龄老人，每月可享受政府购买的居家养老服务工作，已完成年度设定的绩效目标，达到项目预期效果。</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snapToGrid w:val="0"/>
          <w:color w:val="000000"/>
          <w:sz w:val="32"/>
          <w:szCs w:val="32"/>
        </w:rPr>
      </w:pPr>
      <w:r>
        <w:rPr>
          <w:rFonts w:hint="eastAsia" w:ascii="Times New Roman" w:hAnsi="Times New Roman" w:eastAsia="仿宋_GB2312"/>
          <w:color w:val="000000"/>
          <w:sz w:val="32"/>
          <w:szCs w:val="32"/>
        </w:rPr>
        <w:t>经评价，202</w:t>
      </w:r>
      <w:r>
        <w:rPr>
          <w:rFonts w:hint="eastAsia" w:ascii="Times New Roman" w:hAnsi="Times New Roman" w:eastAsia="仿宋_GB2312"/>
          <w:color w:val="000000"/>
          <w:sz w:val="32"/>
          <w:szCs w:val="32"/>
          <w:lang w:val="en-US" w:eastAsia="zh-CN"/>
        </w:rPr>
        <w:t>3</w:t>
      </w:r>
      <w:r>
        <w:rPr>
          <w:rFonts w:hint="eastAsia" w:ascii="Times New Roman" w:hAnsi="Times New Roman" w:eastAsia="仿宋_GB2312"/>
          <w:color w:val="000000"/>
          <w:sz w:val="32"/>
          <w:szCs w:val="32"/>
        </w:rPr>
        <w:t>年度政府购买居家养老服务项目综合得分为100分，评价结果为“优”。</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spacing w:line="600" w:lineRule="exact"/>
        <w:ind w:right="-283"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年度政府购买居家养老服务项目绩效评价指标体系设置预算执行率和3个一级指标，</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lang w:eastAsia="zh-CN"/>
        </w:rPr>
        <w:t>个二级指标，7个三级指标，各项指标评分情况分析如下：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政府购买居家养老服务</w:t>
      </w:r>
      <w:r>
        <w:rPr>
          <w:rFonts w:hint="eastAsia" w:ascii="Times New Roman" w:hAnsi="Times New Roman" w:eastAsia="仿宋_GB2312"/>
          <w:color w:val="000000"/>
          <w:sz w:val="32"/>
          <w:szCs w:val="32"/>
          <w:lang w:eastAsia="zh-CN"/>
        </w:rPr>
        <w:t>项目</w:t>
      </w:r>
      <w:r>
        <w:rPr>
          <w:rFonts w:hint="eastAsia" w:ascii="Times New Roman" w:hAnsi="Times New Roman" w:eastAsia="仿宋_GB2312"/>
          <w:color w:val="000000"/>
          <w:sz w:val="32"/>
          <w:szCs w:val="32"/>
          <w:lang w:val="en-US" w:eastAsia="zh-CN"/>
        </w:rPr>
        <w:t>年初预算200万元，</w:t>
      </w:r>
      <w:r>
        <w:rPr>
          <w:rFonts w:ascii="Times New Roman" w:hAnsi="Times New Roman" w:eastAsia="仿宋_GB2312"/>
          <w:color w:val="000000"/>
          <w:sz w:val="32"/>
          <w:szCs w:val="32"/>
        </w:rPr>
        <w:t>全年预算安排</w:t>
      </w:r>
      <w:r>
        <w:rPr>
          <w:rFonts w:hint="eastAsia" w:ascii="Times New Roman" w:hAnsi="Times New Roman" w:eastAsia="仿宋_GB2312"/>
          <w:snapToGrid w:val="0"/>
          <w:color w:val="auto"/>
          <w:sz w:val="32"/>
          <w:szCs w:val="32"/>
          <w:lang w:val="en-US" w:eastAsia="zh-CN"/>
        </w:rPr>
        <w:t>2162.245</w:t>
      </w:r>
      <w:r>
        <w:rPr>
          <w:rFonts w:ascii="Times New Roman" w:hAnsi="Times New Roman" w:eastAsia="仿宋_GB2312"/>
          <w:color w:val="000000"/>
          <w:sz w:val="32"/>
          <w:szCs w:val="32"/>
        </w:rPr>
        <w:t>万元</w:t>
      </w:r>
      <w:r>
        <w:rPr>
          <w:rFonts w:hint="eastAsia" w:ascii="Times New Roman" w:hAnsi="Times New Roman" w:eastAsia="仿宋_GB2312"/>
          <w:snapToGrid w:val="0"/>
          <w:color w:val="auto"/>
          <w:sz w:val="32"/>
          <w:szCs w:val="32"/>
          <w:lang w:val="en-US" w:eastAsia="zh-CN"/>
        </w:rPr>
        <w:t>（含上级资金）</w:t>
      </w:r>
      <w:r>
        <w:rPr>
          <w:rFonts w:ascii="Times New Roman" w:hAnsi="Times New Roman" w:eastAsia="仿宋_GB2312"/>
          <w:color w:val="000000"/>
          <w:sz w:val="32"/>
          <w:szCs w:val="32"/>
        </w:rPr>
        <w:t>，全年执行</w:t>
      </w:r>
      <w:r>
        <w:rPr>
          <w:rFonts w:hint="eastAsia" w:ascii="Times New Roman" w:hAnsi="Times New Roman" w:eastAsia="仿宋_GB2312"/>
          <w:snapToGrid w:val="0"/>
          <w:color w:val="auto"/>
          <w:sz w:val="32"/>
          <w:szCs w:val="32"/>
          <w:lang w:val="en-US" w:eastAsia="zh-CN"/>
        </w:rPr>
        <w:t>2162.245</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10</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eastAsia="仿宋_GB2312"/>
          <w:color w:val="000000"/>
          <w:sz w:val="32"/>
          <w:szCs w:val="32"/>
        </w:rPr>
      </w:pPr>
      <w:r>
        <w:rPr>
          <w:rFonts w:ascii="Times New Roman" w:hAnsi="Times New Roman" w:eastAsia="仿宋_GB2312"/>
          <w:color w:val="000000"/>
          <w:sz w:val="32"/>
          <w:szCs w:val="32"/>
        </w:rPr>
        <w:t>年度设定的数量指标为</w:t>
      </w:r>
      <w:r>
        <w:rPr>
          <w:rFonts w:hint="eastAsia" w:ascii="Times New Roman" w:hAnsi="Times New Roman" w:eastAsia="仿宋_GB2312"/>
          <w:color w:val="000000"/>
          <w:sz w:val="32"/>
          <w:szCs w:val="32"/>
          <w:lang w:val="en-US" w:eastAsia="zh-CN"/>
        </w:rPr>
        <w:t>每月3000人，</w:t>
      </w:r>
      <w:r>
        <w:rPr>
          <w:rFonts w:ascii="Times New Roman" w:eastAsia="仿宋_GB2312"/>
          <w:color w:val="000000"/>
          <w:sz w:val="32"/>
          <w:szCs w:val="32"/>
        </w:rPr>
        <w:t>截至</w:t>
      </w:r>
      <w:r>
        <w:rPr>
          <w:rFonts w:eastAsia="仿宋_GB2312"/>
          <w:color w:val="000000"/>
          <w:sz w:val="32"/>
          <w:szCs w:val="32"/>
        </w:rPr>
        <w:t>202</w:t>
      </w:r>
      <w:r>
        <w:rPr>
          <w:rFonts w:hint="eastAsia" w:eastAsia="仿宋_GB2312"/>
          <w:color w:val="000000"/>
          <w:sz w:val="32"/>
          <w:szCs w:val="32"/>
          <w:lang w:val="en-US" w:eastAsia="zh-CN"/>
        </w:rPr>
        <w:t>3</w:t>
      </w:r>
      <w:r>
        <w:rPr>
          <w:rFonts w:ascii="Times New Roman" w:eastAsia="仿宋_GB2312"/>
          <w:color w:val="000000"/>
          <w:sz w:val="32"/>
          <w:szCs w:val="32"/>
        </w:rPr>
        <w:t>年底</w:t>
      </w:r>
      <w:r>
        <w:rPr>
          <w:rFonts w:hint="eastAsia" w:ascii="Times New Roman" w:eastAsia="仿宋_GB2312"/>
          <w:color w:val="000000"/>
          <w:sz w:val="32"/>
          <w:szCs w:val="32"/>
        </w:rPr>
        <w:t>已全部完成资金发放</w:t>
      </w:r>
      <w:r>
        <w:rPr>
          <w:rFonts w:hint="eastAsia" w:ascii="Times New Roman" w:hAnsi="Times New Roman" w:eastAsia="仿宋_GB2312"/>
          <w:color w:val="000000"/>
          <w:sz w:val="32"/>
          <w:szCs w:val="32"/>
        </w:rPr>
        <w:t>，</w:t>
      </w:r>
      <w:r>
        <w:rPr>
          <w:rFonts w:ascii="Times New Roman" w:eastAsia="仿宋_GB2312"/>
          <w:color w:val="000000"/>
          <w:sz w:val="32"/>
          <w:szCs w:val="32"/>
        </w:rPr>
        <w:t>实际完成率为</w:t>
      </w:r>
      <w:r>
        <w:rPr>
          <w:rFonts w:hint="eastAsia" w:ascii="Times New Roman" w:eastAsia="仿宋_GB2312"/>
          <w:color w:val="000000"/>
          <w:sz w:val="32"/>
          <w:szCs w:val="32"/>
        </w:rPr>
        <w:t>100</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hint="eastAsia" w:ascii="Times New Roman" w:hAnsi="Times New Roman" w:eastAsia="仿宋_GB2312"/>
          <w:color w:val="000000"/>
          <w:sz w:val="32"/>
          <w:szCs w:val="32"/>
        </w:rPr>
        <w:t>年度设定的时效指标为2023年12月前完成；实际完成情况为</w:t>
      </w:r>
      <w:r>
        <w:rPr>
          <w:rFonts w:hint="eastAsia" w:ascii="Times New Roman" w:hAnsi="Times New Roman" w:eastAsia="仿宋_GB2312"/>
          <w:color w:val="000000"/>
          <w:sz w:val="32"/>
          <w:szCs w:val="32"/>
          <w:lang w:val="en-US" w:eastAsia="zh-CN"/>
        </w:rPr>
        <w:t>按时已完成</w:t>
      </w:r>
      <w:r>
        <w:rPr>
          <w:rFonts w:hint="eastAsia"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20</w:t>
      </w:r>
      <w:r>
        <w:rPr>
          <w:rFonts w:hint="eastAsia"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年度设定的质量指标为经费支出合规性；实际完成情</w:t>
      </w:r>
      <w:bookmarkStart w:id="0" w:name="_GoBack"/>
      <w:bookmarkEnd w:id="0"/>
      <w:r>
        <w:rPr>
          <w:rFonts w:hint="eastAsia" w:ascii="Times New Roman" w:hAnsi="Times New Roman" w:eastAsia="仿宋_GB2312"/>
          <w:color w:val="000000"/>
          <w:sz w:val="32"/>
          <w:szCs w:val="32"/>
        </w:rPr>
        <w:t>况为</w:t>
      </w:r>
      <w:r>
        <w:rPr>
          <w:rFonts w:hint="eastAsia" w:ascii="Times New Roman" w:hAnsi="Times New Roman" w:eastAsia="仿宋_GB2312"/>
          <w:color w:val="000000"/>
          <w:sz w:val="32"/>
          <w:szCs w:val="32"/>
          <w:lang w:val="en-US" w:eastAsia="zh-CN"/>
        </w:rPr>
        <w:t>经费支出合规，达成预期目标</w:t>
      </w:r>
      <w:r>
        <w:rPr>
          <w:rFonts w:hint="eastAsia"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hint="eastAsia"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年度设定的成本指标为</w:t>
      </w:r>
      <w:r>
        <w:rPr>
          <w:rFonts w:hint="eastAsia" w:ascii="Times New Roman" w:hAnsi="Times New Roman" w:eastAsia="仿宋_GB2312"/>
          <w:color w:val="000000"/>
          <w:sz w:val="32"/>
          <w:szCs w:val="32"/>
          <w:lang w:val="en-US" w:eastAsia="zh-CN"/>
        </w:rPr>
        <w:t>小于或等于1020万元</w:t>
      </w:r>
      <w:r>
        <w:rPr>
          <w:rFonts w:ascii="Times New Roman" w:hAnsi="Times New Roman" w:eastAsia="仿宋_GB2312"/>
          <w:color w:val="000000"/>
          <w:sz w:val="32"/>
          <w:szCs w:val="32"/>
        </w:rPr>
        <w:t>；</w:t>
      </w:r>
      <w:r>
        <w:rPr>
          <w:rFonts w:ascii="Times New Roman" w:eastAsia="仿宋_GB2312"/>
          <w:color w:val="000000"/>
          <w:sz w:val="32"/>
          <w:szCs w:val="32"/>
        </w:rPr>
        <w:t>实际完成情况为</w:t>
      </w:r>
      <w:r>
        <w:rPr>
          <w:rFonts w:hint="eastAsia" w:ascii="Times New Roman" w:eastAsia="仿宋_GB2312"/>
          <w:color w:val="000000"/>
          <w:sz w:val="32"/>
          <w:szCs w:val="32"/>
        </w:rPr>
        <w:t>项目总成本</w:t>
      </w:r>
      <w:r>
        <w:rPr>
          <w:rFonts w:hint="eastAsia" w:ascii="Times New Roman" w:eastAsia="仿宋_GB2312"/>
          <w:color w:val="000000"/>
          <w:sz w:val="32"/>
          <w:szCs w:val="32"/>
          <w:lang w:val="en-US" w:eastAsia="zh-CN"/>
        </w:rPr>
        <w:t>为1020万元</w:t>
      </w:r>
      <w:r>
        <w:rPr>
          <w:rFonts w:ascii="Times New Roman" w:hAnsi="Times New Roman" w:eastAsia="仿宋_GB2312"/>
          <w:b/>
          <w:color w:val="000000"/>
          <w:sz w:val="32"/>
          <w:szCs w:val="32"/>
        </w:rPr>
        <w:t>，</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）效益指标（满分30分，实得</w:t>
      </w:r>
      <w:r>
        <w:rPr>
          <w:rFonts w:hint="eastAsia" w:ascii="Times New Roman" w:hAnsi="Times New Roman" w:eastAsia="楷体_GB2312"/>
          <w:b/>
          <w:color w:val="000000"/>
          <w:sz w:val="32"/>
          <w:szCs w:val="32"/>
          <w:lang w:val="en-US" w:eastAsia="zh-CN"/>
        </w:rPr>
        <w:t>30</w:t>
      </w:r>
      <w:r>
        <w:rPr>
          <w:rFonts w:ascii="Times New Roman" w:hAnsi="Times New Roman" w:eastAsia="楷体_GB2312"/>
          <w:b/>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1.</w:t>
      </w:r>
      <w:r>
        <w:rPr>
          <w:rFonts w:hint="eastAsia" w:ascii="Times New Roman" w:hAnsi="Times New Roman" w:eastAsia="仿宋_GB2312"/>
          <w:color w:val="000000"/>
          <w:sz w:val="32"/>
          <w:szCs w:val="32"/>
        </w:rPr>
        <w:t>经济效益指标：不适用</w:t>
      </w:r>
    </w:p>
    <w:p>
      <w:pPr>
        <w:spacing w:line="600" w:lineRule="exact"/>
        <w:ind w:firstLine="640" w:firstLineChars="200"/>
        <w:rPr>
          <w:rFonts w:ascii="Times New Roman" w:eastAsia="仿宋_GB2312"/>
          <w:color w:val="000000"/>
          <w:sz w:val="32"/>
          <w:szCs w:val="32"/>
        </w:rPr>
      </w:pPr>
      <w:r>
        <w:rPr>
          <w:rFonts w:ascii="Times New Roman" w:hAnsi="Times New Roman" w:eastAsia="仿宋_GB2312"/>
          <w:color w:val="000000"/>
          <w:sz w:val="32"/>
          <w:szCs w:val="32"/>
        </w:rPr>
        <w:t>2.</w:t>
      </w:r>
      <w:r>
        <w:rPr>
          <w:rFonts w:ascii="Times New Roman" w:eastAsia="仿宋_GB2312"/>
          <w:color w:val="000000"/>
          <w:sz w:val="32"/>
          <w:szCs w:val="32"/>
        </w:rPr>
        <w:t>社会效益指标</w:t>
      </w:r>
      <w:r>
        <w:rPr>
          <w:rFonts w:hint="eastAsia" w:ascii="Times New Roman" w:eastAsia="仿宋_GB2312"/>
          <w:color w:val="000000"/>
          <w:sz w:val="32"/>
          <w:szCs w:val="32"/>
        </w:rPr>
        <w:t>：提高便民性服务质量的影响程度</w:t>
      </w:r>
      <w:r>
        <w:rPr>
          <w:rFonts w:hint="eastAsia" w:ascii="Times New Roman" w:hAnsi="Times New Roman" w:eastAsia="仿宋_GB2312"/>
          <w:color w:val="000000"/>
          <w:sz w:val="32"/>
          <w:szCs w:val="32"/>
        </w:rPr>
        <w:t>效果明显</w:t>
      </w:r>
      <w:r>
        <w:rPr>
          <w:rFonts w:ascii="Times New Roman" w:eastAsia="仿宋_GB2312"/>
          <w:color w:val="000000"/>
          <w:sz w:val="32"/>
          <w:szCs w:val="32"/>
        </w:rPr>
        <w:t>（满分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分，实得</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3.生态效益指标</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不适用</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w:t>
      </w:r>
      <w:r>
        <w:rPr>
          <w:rFonts w:hint="eastAsia" w:ascii="Times New Roman" w:hAnsi="Times New Roman" w:eastAsia="仿宋_GB2312"/>
          <w:color w:val="000000"/>
          <w:sz w:val="32"/>
          <w:szCs w:val="32"/>
          <w:lang w:val="en-US" w:eastAsia="zh-CN"/>
        </w:rPr>
        <w:t>:</w:t>
      </w:r>
      <w:r>
        <w:rPr>
          <w:rFonts w:hint="eastAsia" w:ascii="Times New Roman" w:eastAsia="仿宋_GB2312"/>
          <w:color w:val="000000"/>
          <w:sz w:val="32"/>
          <w:szCs w:val="32"/>
        </w:rPr>
        <w:t>提高社会关爱老人意识，提升老人生活质量</w:t>
      </w:r>
      <w:r>
        <w:rPr>
          <w:rFonts w:hint="eastAsia" w:ascii="Times New Roman" w:hAnsi="Times New Roman" w:eastAsia="仿宋_GB2312"/>
          <w:color w:val="000000"/>
          <w:sz w:val="32"/>
          <w:szCs w:val="32"/>
        </w:rPr>
        <w:t>效果明显</w:t>
      </w:r>
      <w:r>
        <w:rPr>
          <w:rFonts w:ascii="Times New Roman" w:hAnsi="Times New Roman" w:eastAsia="仿宋_GB2312"/>
          <w:color w:val="000000"/>
          <w:sz w:val="32"/>
          <w:szCs w:val="32"/>
        </w:rPr>
        <w:t>（满分</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20</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w:t>
      </w:r>
      <w:r>
        <w:rPr>
          <w:rFonts w:hint="eastAsia" w:ascii="Times New Roman" w:hAnsi="Times New Roman" w:eastAsia="仿宋_GB2312"/>
          <w:color w:val="000000"/>
          <w:sz w:val="32"/>
          <w:szCs w:val="32"/>
          <w:lang w:eastAsia="zh-CN"/>
        </w:rPr>
        <w:t>：</w:t>
      </w:r>
      <w:r>
        <w:rPr>
          <w:rFonts w:hint="eastAsia" w:ascii="Times New Roman" w:eastAsia="仿宋_GB2312"/>
          <w:color w:val="000000"/>
          <w:sz w:val="32"/>
          <w:szCs w:val="32"/>
        </w:rPr>
        <w:t>群众满意度≥95%</w:t>
      </w:r>
      <w:r>
        <w:rPr>
          <w:rFonts w:ascii="Times New Roman" w:hAnsi="Times New Roman" w:eastAsia="仿宋_GB2312"/>
          <w:color w:val="000000"/>
          <w:sz w:val="32"/>
          <w:szCs w:val="32"/>
        </w:rPr>
        <w:t>（满分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widowControl/>
        <w:spacing w:line="600" w:lineRule="exact"/>
        <w:ind w:firstLine="640" w:firstLineChars="200"/>
        <w:rPr>
          <w:rFonts w:hint="default" w:ascii="Times New Roman" w:hAnsi="Times New Roman" w:eastAsia="仿宋_GB2312"/>
          <w:color w:val="000000"/>
          <w:sz w:val="32"/>
          <w:szCs w:val="32"/>
          <w:lang w:val="en-US"/>
        </w:rPr>
      </w:pPr>
      <w:r>
        <w:rPr>
          <w:rFonts w:ascii="Times New Roman" w:hAnsi="Times New Roman" w:eastAsia="仿宋_GB2312"/>
          <w:color w:val="000000"/>
          <w:sz w:val="32"/>
          <w:szCs w:val="32"/>
        </w:rPr>
        <w:t>通过</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发现，</w:t>
      </w:r>
      <w:r>
        <w:rPr>
          <w:rFonts w:hint="eastAsia" w:ascii="Times New Roman" w:hAnsi="Times New Roman" w:eastAsia="仿宋_GB2312"/>
          <w:color w:val="000000"/>
          <w:sz w:val="32"/>
          <w:szCs w:val="32"/>
          <w:lang w:eastAsia="zh-CN"/>
        </w:rPr>
        <w:t>2023</w:t>
      </w:r>
      <w:r>
        <w:rPr>
          <w:rFonts w:ascii="Times New Roman" w:hAnsi="Times New Roman" w:eastAsia="仿宋_GB2312"/>
          <w:color w:val="000000"/>
          <w:sz w:val="32"/>
          <w:szCs w:val="32"/>
        </w:rPr>
        <w:t>年度</w:t>
      </w:r>
      <w:r>
        <w:rPr>
          <w:rFonts w:hint="eastAsia" w:ascii="Times New Roman" w:hAnsi="Times New Roman" w:eastAsia="仿宋_GB2312"/>
          <w:color w:val="000000"/>
          <w:sz w:val="32"/>
          <w:szCs w:val="32"/>
          <w:lang w:val="en-US" w:eastAsia="zh-CN"/>
        </w:rPr>
        <w:t>政府购买居家养老服务</w:t>
      </w:r>
      <w:r>
        <w:rPr>
          <w:rFonts w:ascii="Times New Roman" w:hAnsi="Times New Roman" w:eastAsia="仿宋_GB2312"/>
          <w:color w:val="000000"/>
          <w:sz w:val="32"/>
          <w:szCs w:val="32"/>
        </w:rPr>
        <w:t>项目实施虽取得了一定的成效，但还存在一些问题和不足，主要表现在</w:t>
      </w:r>
      <w:r>
        <w:rPr>
          <w:rFonts w:hint="eastAsia" w:ascii="Times New Roman" w:hAnsi="Times New Roman" w:eastAsia="仿宋_GB2312"/>
          <w:color w:val="000000"/>
          <w:sz w:val="32"/>
          <w:szCs w:val="32"/>
          <w:lang w:eastAsia="zh-CN"/>
        </w:rPr>
        <w:t>：</w:t>
      </w:r>
      <w:r>
        <w:rPr>
          <w:rFonts w:hint="eastAsia" w:ascii="仿宋_GB2312" w:hAnsi="仿宋_GB2312" w:eastAsia="仿宋_GB2312" w:cs="仿宋_GB2312"/>
          <w:sz w:val="32"/>
          <w:szCs w:val="32"/>
          <w:lang w:val="en-US" w:eastAsia="zh-CN"/>
        </w:rPr>
        <w:t>居家养老服务对象去世后，平台应该及时核减，停止其服务平台的状态，但由于去世信息不能实时及时获取，造成有去世后没有及时停止状态情况发生。</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widowControl/>
        <w:spacing w:line="600" w:lineRule="exact"/>
        <w:ind w:firstLine="640" w:firstLineChars="200"/>
        <w:rPr>
          <w:rFonts w:hint="eastAsia" w:ascii="仿宋_GB2312" w:hAnsi="仿宋_GB2312" w:eastAsia="仿宋_GB2312" w:cs="仿宋_GB2312"/>
          <w:sz w:val="32"/>
          <w:szCs w:val="32"/>
          <w:lang w:val="en-US" w:eastAsia="zh-CN"/>
        </w:rPr>
      </w:pPr>
      <w:r>
        <w:rPr>
          <w:rFonts w:ascii="Times New Roman" w:hAnsi="Times New Roman" w:eastAsia="仿宋_GB2312"/>
          <w:color w:val="000000"/>
          <w:sz w:val="32"/>
          <w:szCs w:val="32"/>
        </w:rPr>
        <w:t>为进一步提高专项资金使用效益，针对存在的问题，提出如下建议：</w:t>
      </w:r>
      <w:r>
        <w:rPr>
          <w:rFonts w:hint="eastAsia" w:ascii="仿宋_GB2312" w:hAnsi="仿宋_GB2312" w:eastAsia="仿宋_GB2312" w:cs="仿宋_GB2312"/>
          <w:sz w:val="32"/>
          <w:szCs w:val="32"/>
          <w:lang w:val="en-US" w:eastAsia="zh-CN"/>
        </w:rPr>
        <w:t>建议殡葬信息在去世老人火化后，及时同步至合肥市养老服务平台，通过弹窗提醒或直接停止相关老人状态等同步方式进行及时更新。便于对政府购买居家养老服务对象动态管理，资金及时停发。</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pStyle w:val="2"/>
        <w:numPr>
          <w:ilvl w:val="0"/>
          <w:numId w:val="1"/>
        </w:numPr>
        <w:ind w:firstLine="640" w:firstLineChars="200"/>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《合肥市养老服务和智慧养老实施方案》（合民〔2022〕15号）</w:t>
      </w:r>
    </w:p>
    <w:p>
      <w:pPr>
        <w:pStyle w:val="2"/>
        <w:numPr>
          <w:ilvl w:val="0"/>
          <w:numId w:val="1"/>
        </w:numPr>
        <w:ind w:firstLine="640" w:firstLineChars="200"/>
        <w:rPr>
          <w:rFonts w:hint="default" w:ascii="仿宋_GB2312" w:eastAsia="仿宋_GB2312" w:hAnsiTheme="minorHAnsi" w:cstheme="minorBidi"/>
          <w:kern w:val="2"/>
          <w:sz w:val="32"/>
          <w:szCs w:val="32"/>
          <w:lang w:val="en-US" w:eastAsia="zh-CN" w:bidi="ar-SA"/>
        </w:rPr>
      </w:pPr>
      <w:r>
        <w:rPr>
          <w:rFonts w:ascii="Times New Roman" w:hAnsi="Times New Roman" w:eastAsia="仿宋_GB2312"/>
          <w:color w:val="000000"/>
          <w:sz w:val="32"/>
          <w:szCs w:val="32"/>
        </w:rPr>
        <w:t>项目支出绩效自评表</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p>
    <w:p>
      <w:pPr>
        <w:spacing w:line="600" w:lineRule="exact"/>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2EC31"/>
    <w:multiLevelType w:val="singleLevel"/>
    <w:tmpl w:val="B3F2EC3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4Mjk5NzRlYTZlZGFhMDFkMzljYTI2YmZkMjA0NzIifQ=="/>
  </w:docVars>
  <w:rsids>
    <w:rsidRoot w:val="00192156"/>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13F4189"/>
    <w:rsid w:val="150219B9"/>
    <w:rsid w:val="1580063C"/>
    <w:rsid w:val="16F716AA"/>
    <w:rsid w:val="1BD792BA"/>
    <w:rsid w:val="247A4D66"/>
    <w:rsid w:val="25E26856"/>
    <w:rsid w:val="263F02C7"/>
    <w:rsid w:val="27FA6A3D"/>
    <w:rsid w:val="298F32B7"/>
    <w:rsid w:val="2F1B4A9E"/>
    <w:rsid w:val="2FC40521"/>
    <w:rsid w:val="2FFC4CEE"/>
    <w:rsid w:val="30684D7B"/>
    <w:rsid w:val="309A0DD7"/>
    <w:rsid w:val="39EC3A8B"/>
    <w:rsid w:val="3CFE57A8"/>
    <w:rsid w:val="3D17003D"/>
    <w:rsid w:val="3EB75BFF"/>
    <w:rsid w:val="41230975"/>
    <w:rsid w:val="41FF10FA"/>
    <w:rsid w:val="43EA7528"/>
    <w:rsid w:val="44C06BEE"/>
    <w:rsid w:val="48084C71"/>
    <w:rsid w:val="4C1005FF"/>
    <w:rsid w:val="4FC23864"/>
    <w:rsid w:val="506E7724"/>
    <w:rsid w:val="5176064D"/>
    <w:rsid w:val="54AB3C68"/>
    <w:rsid w:val="563D798B"/>
    <w:rsid w:val="5B2737C9"/>
    <w:rsid w:val="5C736320"/>
    <w:rsid w:val="5E8F794D"/>
    <w:rsid w:val="5F9C8719"/>
    <w:rsid w:val="5FF43F05"/>
    <w:rsid w:val="637673BB"/>
    <w:rsid w:val="64266808"/>
    <w:rsid w:val="650F6997"/>
    <w:rsid w:val="653047E6"/>
    <w:rsid w:val="6B15282D"/>
    <w:rsid w:val="6D0D5EB2"/>
    <w:rsid w:val="6DF66027"/>
    <w:rsid w:val="6DF8D820"/>
    <w:rsid w:val="6FED328C"/>
    <w:rsid w:val="704E514D"/>
    <w:rsid w:val="71373859"/>
    <w:rsid w:val="732453BC"/>
    <w:rsid w:val="779BD1C3"/>
    <w:rsid w:val="7BBCDE22"/>
    <w:rsid w:val="7E2C0180"/>
    <w:rsid w:val="7EB02B41"/>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7"/>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4">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5">
    <w:name w:val="Normal Indent"/>
    <w:basedOn w:val="1"/>
    <w:link w:val="21"/>
    <w:autoRedefine/>
    <w:qFormat/>
    <w:uiPriority w:val="0"/>
    <w:pPr>
      <w:spacing w:line="560" w:lineRule="atLeast"/>
      <w:ind w:firstLine="567"/>
    </w:pPr>
    <w:rPr>
      <w:rFonts w:asciiTheme="minorHAnsi" w:hAnsiTheme="minorHAnsi" w:eastAsiaTheme="minorEastAsia" w:cstheme="minorBidi"/>
      <w:sz w:val="28"/>
    </w:rPr>
  </w:style>
  <w:style w:type="paragraph" w:styleId="6">
    <w:name w:val="Date"/>
    <w:basedOn w:val="1"/>
    <w:next w:val="1"/>
    <w:link w:val="26"/>
    <w:autoRedefine/>
    <w:qFormat/>
    <w:uiPriority w:val="0"/>
    <w:pPr>
      <w:ind w:left="100" w:leftChars="2500"/>
    </w:pPr>
    <w:rPr>
      <w:rFonts w:ascii="Times New Roman" w:hAnsi="Times New Roman"/>
      <w:szCs w:val="24"/>
    </w:rPr>
  </w:style>
  <w:style w:type="paragraph" w:styleId="7">
    <w:name w:val="Balloon Text"/>
    <w:basedOn w:val="1"/>
    <w:link w:val="25"/>
    <w:autoRedefine/>
    <w:unhideWhenUsed/>
    <w:qFormat/>
    <w:uiPriority w:val="99"/>
    <w:rPr>
      <w:rFonts w:ascii="Times New Roman" w:hAnsi="Times New Roman"/>
      <w:sz w:val="18"/>
      <w:szCs w:val="18"/>
      <w:lang w:val="zh-CN" w:eastAsia="zh-CN"/>
    </w:rPr>
  </w:style>
  <w:style w:type="paragraph" w:styleId="8">
    <w:name w:val="footer"/>
    <w:basedOn w:val="1"/>
    <w:link w:val="18"/>
    <w:autoRedefine/>
    <w:qFormat/>
    <w:uiPriority w:val="99"/>
    <w:pPr>
      <w:tabs>
        <w:tab w:val="center" w:pos="4153"/>
        <w:tab w:val="right" w:pos="8306"/>
      </w:tabs>
      <w:snapToGrid w:val="0"/>
      <w:jc w:val="left"/>
    </w:pPr>
    <w:rPr>
      <w:rFonts w:ascii="Times New Roman" w:hAnsi="Times New Roman"/>
      <w:sz w:val="18"/>
      <w:szCs w:val="18"/>
    </w:rPr>
  </w:style>
  <w:style w:type="paragraph" w:styleId="9">
    <w:name w:val="header"/>
    <w:basedOn w:val="1"/>
    <w:link w:val="19"/>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0">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1">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autoRedefine/>
    <w:qFormat/>
    <w:uiPriority w:val="0"/>
  </w:style>
  <w:style w:type="character" w:styleId="16">
    <w:name w:val="Hyperlink"/>
    <w:autoRedefine/>
    <w:qFormat/>
    <w:uiPriority w:val="0"/>
    <w:rPr>
      <w:color w:val="0000FF"/>
      <w:u w:val="single"/>
    </w:rPr>
  </w:style>
  <w:style w:type="character" w:customStyle="1" w:styleId="17">
    <w:name w:val="标题 1 Char"/>
    <w:basedOn w:val="14"/>
    <w:link w:val="3"/>
    <w:autoRedefine/>
    <w:qFormat/>
    <w:uiPriority w:val="0"/>
    <w:rPr>
      <w:rFonts w:ascii="Times New Roman" w:hAnsi="Times New Roman" w:eastAsia="MS Gothic" w:cs="Times New Roman"/>
      <w:b/>
      <w:bCs/>
      <w:kern w:val="44"/>
      <w:sz w:val="44"/>
      <w:szCs w:val="44"/>
      <w:lang w:val="zh-CN" w:eastAsia="zh-CN"/>
    </w:rPr>
  </w:style>
  <w:style w:type="character" w:customStyle="1" w:styleId="18">
    <w:name w:val="页脚 Char"/>
    <w:basedOn w:val="14"/>
    <w:link w:val="8"/>
    <w:autoRedefine/>
    <w:qFormat/>
    <w:uiPriority w:val="99"/>
    <w:rPr>
      <w:rFonts w:ascii="Times New Roman" w:hAnsi="Times New Roman" w:eastAsia="宋体" w:cs="Times New Roman"/>
      <w:sz w:val="18"/>
      <w:szCs w:val="18"/>
    </w:rPr>
  </w:style>
  <w:style w:type="character" w:customStyle="1" w:styleId="19">
    <w:name w:val="页眉 Char"/>
    <w:basedOn w:val="14"/>
    <w:link w:val="9"/>
    <w:autoRedefine/>
    <w:qFormat/>
    <w:uiPriority w:val="0"/>
    <w:rPr>
      <w:rFonts w:ascii="Times New Roman" w:hAnsi="Times New Roman" w:eastAsia="宋体" w:cs="Times New Roman"/>
      <w:sz w:val="18"/>
      <w:szCs w:val="18"/>
    </w:rPr>
  </w:style>
  <w:style w:type="character" w:customStyle="1" w:styleId="20">
    <w:name w:val="页脚 Char Char"/>
    <w:autoRedefine/>
    <w:qFormat/>
    <w:uiPriority w:val="0"/>
    <w:rPr>
      <w:rFonts w:ascii="Times New Roman" w:hAnsi="Times New Roman" w:eastAsia="宋体" w:cs="Times New Roman"/>
      <w:sz w:val="18"/>
      <w:szCs w:val="18"/>
    </w:rPr>
  </w:style>
  <w:style w:type="character" w:customStyle="1" w:styleId="21">
    <w:name w:val="正文缩进 Char"/>
    <w:link w:val="5"/>
    <w:autoRedefine/>
    <w:qFormat/>
    <w:uiPriority w:val="0"/>
    <w:rPr>
      <w:sz w:val="28"/>
    </w:rPr>
  </w:style>
  <w:style w:type="character" w:customStyle="1" w:styleId="22">
    <w:name w:val="正文啊 Char Char"/>
    <w:link w:val="23"/>
    <w:autoRedefine/>
    <w:qFormat/>
    <w:uiPriority w:val="0"/>
    <w:rPr>
      <w:rFonts w:ascii="仿宋_GB2312" w:hAnsi="宋体" w:eastAsia="仿宋_GB2312"/>
      <w:bCs/>
      <w:sz w:val="30"/>
      <w:szCs w:val="30"/>
    </w:rPr>
  </w:style>
  <w:style w:type="paragraph" w:customStyle="1" w:styleId="23">
    <w:name w:val="正文啊"/>
    <w:basedOn w:val="1"/>
    <w:link w:val="22"/>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4">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5">
    <w:name w:val="批注框文本 Char"/>
    <w:basedOn w:val="14"/>
    <w:link w:val="7"/>
    <w:autoRedefine/>
    <w:qFormat/>
    <w:uiPriority w:val="99"/>
    <w:rPr>
      <w:rFonts w:ascii="Times New Roman" w:hAnsi="Times New Roman" w:eastAsia="宋体" w:cs="Times New Roman"/>
      <w:sz w:val="18"/>
      <w:szCs w:val="18"/>
      <w:lang w:val="zh-CN" w:eastAsia="zh-CN"/>
    </w:rPr>
  </w:style>
  <w:style w:type="character" w:customStyle="1" w:styleId="26">
    <w:name w:val="日期 Char"/>
    <w:basedOn w:val="14"/>
    <w:link w:val="6"/>
    <w:autoRedefine/>
    <w:qFormat/>
    <w:uiPriority w:val="0"/>
    <w:rPr>
      <w:rFonts w:ascii="Times New Roman" w:hAnsi="Times New Roman" w:eastAsia="宋体" w:cs="Times New Roman"/>
      <w:szCs w:val="24"/>
    </w:rPr>
  </w:style>
  <w:style w:type="paragraph" w:customStyle="1" w:styleId="27">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5304</Words>
  <Characters>5654</Characters>
  <Lines>102</Lines>
  <Paragraphs>28</Paragraphs>
  <TotalTime>3</TotalTime>
  <ScaleCrop>false</ScaleCrop>
  <LinksUpToDate>false</LinksUpToDate>
  <CharactersWithSpaces>5862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X</cp:lastModifiedBy>
  <cp:lastPrinted>2022-12-06T16:18:00Z</cp:lastPrinted>
  <dcterms:modified xsi:type="dcterms:W3CDTF">2024-04-03T01:20:14Z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AC39DFEEA12644DCB1F8FB8E8668FDD7_13</vt:lpwstr>
  </property>
</Properties>
</file>