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ascii="Times New Roman" w:hAnsi="Times New Roman" w:eastAsia="黑体"/>
          <w:bCs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ascii="Times New Roman" w:hAnsi="Times New Roman" w:eastAsia="黑体"/>
          <w:bCs/>
          <w:sz w:val="32"/>
          <w:szCs w:val="32"/>
        </w:rPr>
        <w:t>附件</w:t>
      </w:r>
      <w:r>
        <w:rPr>
          <w:rFonts w:hint="eastAsia" w:ascii="Times New Roman" w:hAnsi="Times New Roman" w:eastAsia="黑体"/>
          <w:bCs/>
          <w:sz w:val="32"/>
          <w:szCs w:val="32"/>
          <w:lang w:val="en-US" w:eastAsia="zh-CN"/>
        </w:rPr>
        <w:t>2</w:t>
      </w:r>
    </w:p>
    <w:p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>
      <w:pPr>
        <w:jc w:val="center"/>
        <w:rPr>
          <w:rFonts w:ascii="Times New Roman" w:hAnsi="Times New Roman" w:eastAsia="黑体"/>
          <w:bCs/>
          <w:sz w:val="44"/>
        </w:rPr>
      </w:pPr>
    </w:p>
    <w:p>
      <w:pPr>
        <w:jc w:val="center"/>
        <w:rPr>
          <w:rFonts w:ascii="Times New Roman" w:hAnsi="Times New Roman" w:eastAsia="黑体"/>
          <w:bCs/>
          <w:sz w:val="44"/>
        </w:rPr>
      </w:pPr>
    </w:p>
    <w:p>
      <w:pPr>
        <w:spacing w:line="600" w:lineRule="exact"/>
        <w:jc w:val="center"/>
        <w:rPr>
          <w:rFonts w:ascii="Times New Roman" w:hAnsi="Times New Roman" w:eastAsia="方正小标宋简体"/>
          <w:bCs/>
          <w:sz w:val="44"/>
        </w:rPr>
      </w:pPr>
      <w:r>
        <w:rPr>
          <w:rFonts w:ascii="Times New Roman" w:hAnsi="Times New Roman" w:eastAsia="方正小标宋简体"/>
          <w:bCs/>
          <w:sz w:val="44"/>
        </w:rPr>
        <w:t>合肥市财政支出项目</w:t>
      </w:r>
      <w:r>
        <w:rPr>
          <w:rFonts w:hint="eastAsia" w:ascii="Times New Roman" w:hAnsi="Times New Roman" w:eastAsia="方正小标宋简体"/>
          <w:bCs/>
          <w:sz w:val="44"/>
        </w:rPr>
        <w:t>部门评价</w:t>
      </w:r>
      <w:r>
        <w:rPr>
          <w:rFonts w:ascii="Times New Roman" w:hAnsi="Times New Roman" w:eastAsia="方正小标宋简体"/>
          <w:bCs/>
          <w:sz w:val="44"/>
        </w:rPr>
        <w:t>报告</w:t>
      </w:r>
    </w:p>
    <w:p>
      <w:pPr>
        <w:spacing w:line="600" w:lineRule="exact"/>
        <w:jc w:val="center"/>
        <w:rPr>
          <w:rFonts w:ascii="Times New Roman" w:hAnsi="Times New Roman" w:eastAsia="方正小标宋简体"/>
          <w:bCs/>
          <w:sz w:val="32"/>
        </w:rPr>
      </w:pPr>
      <w:r>
        <w:rPr>
          <w:rFonts w:hint="eastAsia" w:ascii="Times New Roman" w:hAnsi="Times New Roman" w:eastAsia="方正小标宋简体"/>
          <w:bCs/>
          <w:sz w:val="32"/>
          <w:lang w:val="en-US" w:eastAsia="zh-CN"/>
        </w:rPr>
        <w:t xml:space="preserve"> </w:t>
      </w:r>
    </w:p>
    <w:p>
      <w:pPr>
        <w:jc w:val="center"/>
        <w:rPr>
          <w:rFonts w:ascii="Times New Roman" w:hAnsi="Times New Roman" w:eastAsia="楷体_GB2312"/>
          <w:b/>
          <w:bCs/>
          <w:sz w:val="32"/>
        </w:rPr>
      </w:pPr>
    </w:p>
    <w:p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</w:rPr>
      </w:pPr>
    </w:p>
    <w:p>
      <w:pPr>
        <w:spacing w:before="156" w:beforeLines="50" w:after="156" w:afterLines="50"/>
        <w:ind w:left="2207" w:leftChars="289" w:hanging="1600" w:hangingChars="5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   目   名   称 ：</w:t>
      </w:r>
      <w:r>
        <w:rPr>
          <w:rFonts w:ascii="Times New Roman" w:hAnsi="Times New Roman" w:eastAsia="楷体_GB2312"/>
          <w:sz w:val="32"/>
          <w:u w:val="single"/>
        </w:rPr>
        <w:t xml:space="preserve"> </w:t>
      </w:r>
      <w:r>
        <w:rPr>
          <w:rFonts w:hint="eastAsia" w:ascii="Times New Roman" w:hAnsi="Times New Roman" w:eastAsia="楷体_GB2312"/>
          <w:sz w:val="32"/>
          <w:u w:val="single"/>
          <w:lang w:val="en-US" w:eastAsia="zh-CN"/>
        </w:rPr>
        <w:t>养老服务和智慧养老建设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     </w:t>
      </w:r>
    </w:p>
    <w:p>
      <w:pPr>
        <w:spacing w:before="156" w:beforeLines="50" w:after="156" w:afterLines="50"/>
        <w:ind w:left="1887" w:leftChars="289" w:hanging="1280" w:hangingChars="4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   目   单   位 ：</w:t>
      </w:r>
      <w:r>
        <w:rPr>
          <w:rFonts w:ascii="Times New Roman" w:hAnsi="Times New Roman" w:eastAsia="楷体_GB2312"/>
          <w:sz w:val="32"/>
          <w:u w:val="single"/>
        </w:rPr>
        <w:t xml:space="preserve">  </w:t>
      </w:r>
      <w:r>
        <w:rPr>
          <w:rFonts w:hint="eastAsia" w:ascii="Times New Roman" w:hAnsi="Times New Roman" w:eastAsia="楷体_GB2312"/>
          <w:sz w:val="32"/>
          <w:u w:val="single"/>
          <w:lang w:val="en-US" w:eastAsia="zh-CN"/>
        </w:rPr>
        <w:t>合肥市瑶海区民政局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    </w:t>
      </w:r>
    </w:p>
    <w:p>
      <w:pPr>
        <w:spacing w:before="156" w:beforeLines="50" w:after="156" w:afterLines="50"/>
        <w:ind w:left="1887" w:leftChars="289" w:hanging="1280" w:hangingChars="4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项目责任人 （签字）：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      </w:t>
      </w:r>
    </w:p>
    <w:p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主 管 部 门（盖章）：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      </w:t>
      </w:r>
    </w:p>
    <w:p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</w:rPr>
      </w:pPr>
    </w:p>
    <w:p>
      <w:pPr>
        <w:ind w:firstLine="614" w:firstLineChars="192"/>
        <w:jc w:val="center"/>
        <w:rPr>
          <w:rFonts w:ascii="Times New Roman" w:hAnsi="Times New Roman" w:eastAsia="楷体_GB2312"/>
          <w:sz w:val="32"/>
        </w:rPr>
      </w:pPr>
    </w:p>
    <w:p>
      <w:pPr>
        <w:spacing w:line="600" w:lineRule="exact"/>
        <w:jc w:val="center"/>
        <w:rPr>
          <w:rFonts w:ascii="Times New Roman" w:hAnsi="Times New Roman" w:eastAsia="方正小标宋简体"/>
          <w:bCs/>
          <w:sz w:val="44"/>
          <w:szCs w:val="24"/>
        </w:rPr>
      </w:pPr>
      <w:r>
        <w:rPr>
          <w:rFonts w:ascii="Times New Roman" w:hAnsi="Times New Roman" w:eastAsia="楷体"/>
          <w:sz w:val="32"/>
        </w:rPr>
        <w:t xml:space="preserve">      202</w:t>
      </w:r>
      <w:r>
        <w:rPr>
          <w:rFonts w:hint="eastAsia" w:ascii="Times New Roman" w:hAnsi="Times New Roman" w:eastAsia="楷体"/>
          <w:sz w:val="32"/>
          <w:lang w:val="en-US" w:eastAsia="zh-CN"/>
        </w:rPr>
        <w:t>4</w:t>
      </w:r>
      <w:r>
        <w:rPr>
          <w:rFonts w:ascii="Times New Roman" w:hAnsi="Times New Roman" w:eastAsia="楷体_GB2312"/>
          <w:sz w:val="32"/>
        </w:rPr>
        <w:t>年</w:t>
      </w:r>
      <w:r>
        <w:rPr>
          <w:rFonts w:hint="eastAsia" w:ascii="Times New Roman" w:hAnsi="Times New Roman" w:eastAsia="楷体"/>
          <w:sz w:val="32"/>
          <w:lang w:val="en-US" w:eastAsia="zh-CN"/>
        </w:rPr>
        <w:t>3</w:t>
      </w:r>
      <w:r>
        <w:rPr>
          <w:rFonts w:ascii="Times New Roman" w:hAnsi="Times New Roman" w:eastAsia="楷体_GB2312"/>
          <w:sz w:val="32"/>
        </w:rPr>
        <w:t>月</w:t>
      </w:r>
      <w:r>
        <w:rPr>
          <w:rFonts w:ascii="Times New Roman" w:hAnsi="Times New Roman" w:eastAsia="楷体_GB2312"/>
          <w:sz w:val="32"/>
        </w:rPr>
        <w:br w:type="page"/>
      </w:r>
      <w:r>
        <w:rPr>
          <w:rFonts w:hint="eastAsia" w:ascii="Times New Roman" w:hAnsi="Times New Roman" w:eastAsia="方正小标宋简体"/>
          <w:bCs/>
          <w:sz w:val="44"/>
          <w:szCs w:val="24"/>
          <w:lang w:eastAsia="zh-CN"/>
        </w:rPr>
        <w:t>2023</w:t>
      </w:r>
      <w:r>
        <w:rPr>
          <w:rFonts w:ascii="Times New Roman" w:hAnsi="Times New Roman" w:eastAsia="方正小标宋简体"/>
          <w:bCs/>
          <w:sz w:val="44"/>
          <w:szCs w:val="24"/>
        </w:rPr>
        <w:t>年</w:t>
      </w:r>
      <w:r>
        <w:rPr>
          <w:rFonts w:hint="eastAsia" w:ascii="Times New Roman" w:hAnsi="Times New Roman" w:eastAsia="方正小标宋简体"/>
          <w:bCs/>
          <w:sz w:val="44"/>
          <w:szCs w:val="24"/>
        </w:rPr>
        <w:t>养老服务和智慧养老建设</w:t>
      </w:r>
      <w:r>
        <w:rPr>
          <w:rFonts w:ascii="Times New Roman" w:hAnsi="Times New Roman" w:eastAsia="方正小标宋简体"/>
          <w:bCs/>
          <w:sz w:val="44"/>
          <w:szCs w:val="24"/>
        </w:rPr>
        <w:t>项目</w:t>
      </w:r>
    </w:p>
    <w:p>
      <w:pPr>
        <w:spacing w:line="600" w:lineRule="exact"/>
        <w:jc w:val="center"/>
        <w:rPr>
          <w:rFonts w:ascii="Times New Roman" w:hAnsi="Times New Roman" w:eastAsia="方正小标宋简体"/>
          <w:bCs/>
          <w:sz w:val="44"/>
          <w:szCs w:val="24"/>
        </w:rPr>
      </w:pPr>
      <w:r>
        <w:rPr>
          <w:rFonts w:hint="eastAsia" w:ascii="Times New Roman" w:hAnsi="Times New Roman" w:eastAsia="方正小标宋简体"/>
          <w:bCs/>
          <w:sz w:val="44"/>
          <w:szCs w:val="24"/>
        </w:rPr>
        <w:t>部门评价</w:t>
      </w:r>
      <w:r>
        <w:rPr>
          <w:rFonts w:ascii="Times New Roman" w:hAnsi="Times New Roman" w:eastAsia="方正小标宋简体"/>
          <w:bCs/>
          <w:sz w:val="44"/>
          <w:szCs w:val="24"/>
        </w:rPr>
        <w:t>报告</w:t>
      </w:r>
    </w:p>
    <w:p>
      <w:pPr>
        <w:spacing w:line="580" w:lineRule="exact"/>
        <w:jc w:val="center"/>
        <w:rPr>
          <w:rFonts w:ascii="Times New Roman" w:hAnsi="Times New Roman" w:eastAsia="仿宋_GB2312"/>
          <w:bCs/>
          <w:sz w:val="32"/>
          <w:szCs w:val="32"/>
        </w:rPr>
      </w:pPr>
    </w:p>
    <w:p>
      <w:pPr>
        <w:widowControl/>
        <w:spacing w:line="56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一、项目基本情况</w:t>
      </w:r>
    </w:p>
    <w:p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（一）项目概况</w:t>
      </w:r>
    </w:p>
    <w:p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1.项目立项情况</w:t>
      </w:r>
    </w:p>
    <w:p>
      <w:pPr>
        <w:widowControl/>
        <w:spacing w:line="560" w:lineRule="exact"/>
        <w:ind w:firstLine="640" w:firstLineChars="200"/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围绕瑶海区养老服务管理实际需求，实施区域内的老年人、养老服务机构信息化管理，对养老服务过程、福利补贴资金发放情况以及养老机构运营情况进行动态管理，并提供综合查询等服务。</w:t>
      </w:r>
    </w:p>
    <w:p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2.项目执行情况</w:t>
      </w:r>
    </w:p>
    <w:p>
      <w:pPr>
        <w:widowControl/>
        <w:spacing w:line="560" w:lineRule="exact"/>
        <w:ind w:firstLine="640" w:firstLineChars="200"/>
        <w:rPr>
          <w:rFonts w:hint="eastAsia" w:ascii="Times New Roman" w:hAnsi="Times New Roman" w:eastAsia="仿宋_GB2312"/>
          <w:snapToGrid w:val="0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napToGrid w:val="0"/>
          <w:color w:val="auto"/>
          <w:sz w:val="32"/>
          <w:szCs w:val="32"/>
          <w:lang w:val="en-US" w:eastAsia="zh-CN"/>
        </w:rPr>
        <w:t>2023年养老服务和智慧养老建设项目年初预算658.898万元，全年预算数49.35万，全年执行49.35万元，预算执行率</w:t>
      </w:r>
      <w:r>
        <w:rPr>
          <w:rFonts w:hint="eastAsia" w:ascii="Times New Roman" w:hAnsi="Times New Roman" w:eastAsia="仿宋_GB2312"/>
          <w:snapToGrid w:val="0"/>
          <w:color w:val="auto"/>
          <w:sz w:val="32"/>
          <w:szCs w:val="32"/>
          <w:highlight w:val="none"/>
          <w:lang w:val="en-US" w:eastAsia="zh-CN"/>
        </w:rPr>
        <w:t>100%。</w:t>
      </w:r>
      <w:r>
        <w:rPr>
          <w:rFonts w:hint="eastAsia" w:ascii="Times New Roman" w:hAnsi="Times New Roman" w:eastAsia="仿宋_GB2312"/>
          <w:snapToGrid w:val="0"/>
          <w:color w:val="auto"/>
          <w:sz w:val="32"/>
          <w:szCs w:val="32"/>
          <w:lang w:val="en-US" w:eastAsia="zh-CN"/>
        </w:rPr>
        <w:t>按照合同规定，养老服务和智慧养老建设项目实施进度正常，按时间节点支付到位。</w:t>
      </w:r>
    </w:p>
    <w:p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（二）项目绩效目标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1.项目年度总体目标</w:t>
      </w:r>
    </w:p>
    <w:p>
      <w:pPr>
        <w:widowControl/>
        <w:spacing w:line="560" w:lineRule="exact"/>
        <w:ind w:firstLine="640" w:firstLineChars="200"/>
        <w:rPr>
          <w:rFonts w:hint="eastAsia" w:ascii="Times New Roman" w:hAnsi="Times New Roman" w:eastAsia="仿宋_GB2312"/>
          <w:snapToGrid w:val="0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napToGrid w:val="0"/>
          <w:color w:val="auto"/>
          <w:sz w:val="32"/>
          <w:szCs w:val="32"/>
          <w:lang w:val="en-US" w:eastAsia="zh-CN"/>
        </w:rPr>
        <w:t>申请658.898万元财政资金，用于加快互联网与养老服务的深度融合，实施掌握老年人基本信息和服务需求，监测兜底困难老人健康状况，使更多老年人享受智慧养老成果，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2.总体目标完成情况</w:t>
      </w:r>
    </w:p>
    <w:p>
      <w:pPr>
        <w:spacing w:line="56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按照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合同支付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节点，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资金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支付到位。20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23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年全年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支付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养老服务和智慧养老建设项目</w:t>
      </w:r>
      <w:r>
        <w:rPr>
          <w:rFonts w:hint="eastAsia" w:ascii="Times New Roman" w:hAnsi="Times New Roman" w:eastAsia="仿宋_GB2312"/>
          <w:snapToGrid w:val="0"/>
          <w:color w:val="auto"/>
          <w:sz w:val="32"/>
          <w:szCs w:val="32"/>
          <w:lang w:val="en-US" w:eastAsia="zh-CN"/>
        </w:rPr>
        <w:t>49.35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万元。</w:t>
      </w:r>
    </w:p>
    <w:p>
      <w:pPr>
        <w:spacing w:line="56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二、绩效</w:t>
      </w:r>
      <w:r>
        <w:rPr>
          <w:rFonts w:hint="eastAsia" w:ascii="Times New Roman" w:hAnsi="Times New Roman" w:eastAsia="黑体"/>
          <w:color w:val="000000"/>
          <w:sz w:val="32"/>
          <w:szCs w:val="32"/>
        </w:rPr>
        <w:t>评价</w:t>
      </w:r>
      <w:r>
        <w:rPr>
          <w:rFonts w:ascii="Times New Roman" w:hAnsi="Times New Roman" w:eastAsia="黑体"/>
          <w:color w:val="000000"/>
          <w:sz w:val="32"/>
          <w:szCs w:val="32"/>
        </w:rPr>
        <w:t>结论</w:t>
      </w:r>
    </w:p>
    <w:p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（一）总体结论</w:t>
      </w:r>
    </w:p>
    <w:p>
      <w:pPr>
        <w:widowControl/>
        <w:spacing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年度，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养老服务和智慧养老建设项目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通过申请财政资金</w:t>
      </w:r>
      <w:r>
        <w:rPr>
          <w:rFonts w:hint="eastAsia" w:ascii="Times New Roman" w:hAnsi="Times New Roman" w:eastAsia="仿宋_GB2312"/>
          <w:snapToGrid w:val="0"/>
          <w:color w:val="auto"/>
          <w:sz w:val="32"/>
          <w:szCs w:val="32"/>
          <w:lang w:val="en-US" w:eastAsia="zh-CN"/>
        </w:rPr>
        <w:t>49.35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万元，完成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区域内的老年人、养老服务机构信息化管理，</w:t>
      </w:r>
      <w:r>
        <w:rPr>
          <w:rFonts w:hint="eastAsia" w:ascii="Times New Roman" w:hAnsi="Times New Roman" w:eastAsia="仿宋_GB2312"/>
          <w:snapToGrid w:val="0"/>
          <w:color w:val="auto"/>
          <w:sz w:val="32"/>
          <w:szCs w:val="32"/>
          <w:lang w:val="en-US" w:eastAsia="zh-CN"/>
        </w:rPr>
        <w:t>加快互联网与养老服务的深度融合，实施掌握老年人基本信息和服务需求，监测兜底困难老人健康状况，使更多老年人享受智慧养老成果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，已完成年度设定的绩效目标，达到项目预期效果。</w:t>
      </w:r>
    </w:p>
    <w:p>
      <w:pPr>
        <w:widowControl/>
        <w:spacing w:line="60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（二）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评价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结果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经评价，202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年度养老服务和智慧养老建设项目综合得分为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98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分，评价结果为“优”。</w:t>
      </w:r>
    </w:p>
    <w:p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三、指标分析</w:t>
      </w:r>
    </w:p>
    <w:p>
      <w:pPr>
        <w:spacing w:line="600" w:lineRule="exact"/>
        <w:ind w:right="-283" w:firstLine="640" w:firstLineChars="200"/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年度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养老服务和智慧养老建设项目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绩效评价指标体系设置预算执行率和3个一级指标，9个二级指标，7个三级指标，各项指标评分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情况分析如下：</w:t>
      </w:r>
    </w:p>
    <w:p>
      <w:pPr>
        <w:spacing w:line="592" w:lineRule="exact"/>
        <w:ind w:firstLine="643" w:firstLineChars="200"/>
        <w:rPr>
          <w:rFonts w:ascii="Times New Roman" w:hAnsi="Times New Roman" w:eastAsia="楷体_GB2312"/>
          <w:b/>
          <w:bCs/>
          <w:sz w:val="32"/>
          <w:highlight w:val="none"/>
        </w:rPr>
      </w:pPr>
      <w:r>
        <w:rPr>
          <w:rFonts w:ascii="Times New Roman" w:hAnsi="Times New Roman" w:eastAsia="楷体_GB2312"/>
          <w:b/>
          <w:bCs/>
          <w:sz w:val="32"/>
          <w:highlight w:val="none"/>
        </w:rPr>
        <w:t>（一）预算执行率（满分10分，实得</w:t>
      </w:r>
      <w:r>
        <w:rPr>
          <w:rFonts w:hint="eastAsia" w:ascii="Times New Roman" w:hAnsi="Times New Roman" w:eastAsia="楷体_GB2312"/>
          <w:b/>
          <w:bCs/>
          <w:sz w:val="32"/>
          <w:highlight w:val="none"/>
          <w:lang w:val="en-US" w:eastAsia="zh-CN"/>
        </w:rPr>
        <w:t>10</w:t>
      </w:r>
      <w:r>
        <w:rPr>
          <w:rFonts w:ascii="Times New Roman" w:hAnsi="Times New Roman" w:eastAsia="楷体_GB2312"/>
          <w:b/>
          <w:bCs/>
          <w:sz w:val="32"/>
          <w:highlight w:val="none"/>
        </w:rPr>
        <w:t>分）</w:t>
      </w:r>
    </w:p>
    <w:p>
      <w:pPr>
        <w:widowControl/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202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  <w:lang w:val="en-US" w:eastAsia="zh-CN"/>
        </w:rPr>
        <w:t>3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年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  <w:lang w:eastAsia="zh-CN"/>
        </w:rPr>
        <w:t>，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</w:rPr>
        <w:t>养老服务和智慧养老建设项目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  <w:lang w:val="en-US" w:eastAsia="zh-CN"/>
        </w:rPr>
        <w:t>年初预算</w:t>
      </w:r>
      <w:r>
        <w:rPr>
          <w:rFonts w:hint="eastAsia" w:ascii="Times New Roman" w:hAnsi="Times New Roman" w:eastAsia="仿宋_GB2312"/>
          <w:snapToGrid w:val="0"/>
          <w:color w:val="auto"/>
          <w:sz w:val="32"/>
          <w:szCs w:val="32"/>
          <w:highlight w:val="none"/>
          <w:lang w:val="en-US" w:eastAsia="zh-CN"/>
        </w:rPr>
        <w:t>658.898万元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  <w:lang w:val="en-US" w:eastAsia="zh-CN"/>
        </w:rPr>
        <w:t>，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全年预算安排</w:t>
      </w:r>
      <w:r>
        <w:rPr>
          <w:rFonts w:hint="eastAsia" w:ascii="Times New Roman" w:hAnsi="Times New Roman" w:eastAsia="仿宋_GB2312"/>
          <w:snapToGrid w:val="0"/>
          <w:color w:val="auto"/>
          <w:sz w:val="32"/>
          <w:szCs w:val="32"/>
          <w:highlight w:val="none"/>
          <w:lang w:val="en-US" w:eastAsia="zh-CN"/>
        </w:rPr>
        <w:t>49.35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万元，全年执行</w:t>
      </w:r>
      <w:r>
        <w:rPr>
          <w:rFonts w:hint="eastAsia" w:ascii="Times New Roman" w:hAnsi="Times New Roman" w:eastAsia="仿宋_GB2312"/>
          <w:snapToGrid w:val="0"/>
          <w:color w:val="auto"/>
          <w:sz w:val="32"/>
          <w:szCs w:val="32"/>
          <w:highlight w:val="none"/>
          <w:lang w:val="en-US" w:eastAsia="zh-CN"/>
        </w:rPr>
        <w:t>49.35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万元，预算执行率</w:t>
      </w:r>
      <w:r>
        <w:rPr>
          <w:rFonts w:hint="eastAsia" w:ascii="Times New Roman" w:hAnsi="Times New Roman" w:eastAsia="仿宋_GB2312"/>
          <w:snapToGrid w:val="0"/>
          <w:color w:val="auto"/>
          <w:sz w:val="32"/>
          <w:szCs w:val="32"/>
          <w:highlight w:val="none"/>
          <w:lang w:val="en-US" w:eastAsia="zh-CN"/>
        </w:rPr>
        <w:t>100%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，得分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分。</w:t>
      </w:r>
    </w:p>
    <w:p>
      <w:pPr>
        <w:widowControl/>
        <w:spacing w:line="60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二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）产出指标（满分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50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50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1.数量指标（满分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sz w:val="32"/>
          <w:szCs w:val="32"/>
        </w:rPr>
        <w:t>分，</w:t>
      </w:r>
      <w:r>
        <w:rPr>
          <w:rFonts w:ascii="Times New Roman" w:hAnsi="Times New Roman" w:eastAsia="仿宋_GB2312"/>
          <w:color w:val="000000"/>
          <w:sz w:val="32"/>
          <w:szCs w:val="32"/>
        </w:rPr>
        <w:t>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年度设定的数量指标为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运营补助51个助餐点，</w:t>
      </w:r>
      <w:r>
        <w:rPr>
          <w:rFonts w:ascii="Times New Roman" w:eastAsia="仿宋_GB2312"/>
          <w:color w:val="000000"/>
          <w:sz w:val="32"/>
          <w:szCs w:val="32"/>
        </w:rPr>
        <w:t>截至</w:t>
      </w:r>
      <w:r>
        <w:rPr>
          <w:rFonts w:eastAsia="仿宋_GB2312"/>
          <w:color w:val="000000"/>
          <w:sz w:val="32"/>
          <w:szCs w:val="32"/>
        </w:rPr>
        <w:t>202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ascii="Times New Roman" w:eastAsia="仿宋_GB2312"/>
          <w:color w:val="000000"/>
          <w:sz w:val="32"/>
          <w:szCs w:val="32"/>
        </w:rPr>
        <w:t>年底</w:t>
      </w:r>
      <w:r>
        <w:rPr>
          <w:rFonts w:hint="eastAsia" w:ascii="Times New Roman" w:eastAsia="仿宋_GB2312"/>
          <w:color w:val="000000"/>
          <w:sz w:val="32"/>
          <w:szCs w:val="32"/>
        </w:rPr>
        <w:t>已全部完成</w:t>
      </w:r>
      <w:r>
        <w:rPr>
          <w:rFonts w:hint="eastAsia" w:ascii="Times New Roman" w:eastAsia="仿宋_GB2312"/>
          <w:color w:val="000000"/>
          <w:sz w:val="32"/>
          <w:szCs w:val="32"/>
          <w:lang w:val="en-US" w:eastAsia="zh-CN"/>
        </w:rPr>
        <w:t>补助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，</w:t>
      </w:r>
      <w:r>
        <w:rPr>
          <w:rFonts w:ascii="Times New Roman" w:eastAsia="仿宋_GB2312"/>
          <w:color w:val="000000"/>
          <w:sz w:val="32"/>
          <w:szCs w:val="32"/>
        </w:rPr>
        <w:t>实际完成率为</w:t>
      </w:r>
      <w:r>
        <w:rPr>
          <w:rFonts w:hint="eastAsia" w:ascii="Times New Roman" w:eastAsia="仿宋_GB2312"/>
          <w:color w:val="000000"/>
          <w:sz w:val="32"/>
          <w:szCs w:val="32"/>
        </w:rPr>
        <w:t>100</w:t>
      </w:r>
      <w:r>
        <w:rPr>
          <w:rFonts w:ascii="Times New Roman" w:eastAsia="仿宋_GB2312"/>
          <w:color w:val="000000"/>
          <w:sz w:val="32"/>
          <w:szCs w:val="32"/>
        </w:rPr>
        <w:t>%，得分</w:t>
      </w:r>
      <w:r>
        <w:rPr>
          <w:rFonts w:hint="eastAsia" w:asci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eastAsia="仿宋_GB2312"/>
          <w:color w:val="000000"/>
          <w:sz w:val="32"/>
          <w:szCs w:val="32"/>
        </w:rPr>
        <w:t>分。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2.时效指标（满分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年度设定的时效指标为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经费支出时效性，2023年12月前完成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；实际完成情况为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按时已完成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，得分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分。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3.质量指标（满分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年度设定的质量指标为经费支出合规性；实际完成情况为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经费支出合规，达成预期目标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，得分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分。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4.成本指标（满分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8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  <w:r>
        <w:rPr>
          <w:rFonts w:ascii="Times New Roman" w:hAnsi="Times New Roman" w:eastAsia="仿宋_GB2312"/>
          <w:sz w:val="32"/>
          <w:szCs w:val="32"/>
        </w:rPr>
        <w:tab/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年度设定的成本指标为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预算数658.898万元</w:t>
      </w:r>
      <w:r>
        <w:rPr>
          <w:rFonts w:ascii="Times New Roman" w:hAnsi="Times New Roman" w:eastAsia="仿宋_GB2312"/>
          <w:color w:val="000000"/>
          <w:sz w:val="32"/>
          <w:szCs w:val="32"/>
        </w:rPr>
        <w:t>；</w:t>
      </w:r>
      <w:r>
        <w:rPr>
          <w:rFonts w:ascii="Times New Roman" w:eastAsia="仿宋_GB2312"/>
          <w:color w:val="000000"/>
          <w:sz w:val="32"/>
          <w:szCs w:val="32"/>
        </w:rPr>
        <w:t>实际完成情况为</w:t>
      </w:r>
      <w:r>
        <w:rPr>
          <w:rFonts w:hint="eastAsia" w:ascii="Times New Roman" w:eastAsia="仿宋_GB2312"/>
          <w:color w:val="000000"/>
          <w:sz w:val="32"/>
          <w:szCs w:val="32"/>
          <w:lang w:val="en-US" w:eastAsia="zh-CN"/>
        </w:rPr>
        <w:t>按合同支付节点支付资金</w:t>
      </w:r>
      <w:r>
        <w:rPr>
          <w:rFonts w:hint="eastAsia" w:ascii="Times New Roman" w:hAnsi="Times New Roman" w:eastAsia="仿宋_GB2312"/>
          <w:snapToGrid w:val="0"/>
          <w:color w:val="auto"/>
          <w:sz w:val="32"/>
          <w:szCs w:val="32"/>
          <w:highlight w:val="none"/>
          <w:lang w:val="en-US" w:eastAsia="zh-CN"/>
        </w:rPr>
        <w:t>49.35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万元</w:t>
      </w:r>
      <w:r>
        <w:rPr>
          <w:rFonts w:ascii="Times New Roman" w:hAnsi="Times New Roman" w:eastAsia="仿宋_GB2312"/>
          <w:b/>
          <w:color w:val="000000"/>
          <w:sz w:val="32"/>
          <w:szCs w:val="32"/>
        </w:rPr>
        <w:t>，</w:t>
      </w:r>
      <w:r>
        <w:rPr>
          <w:rFonts w:ascii="Times New Roman" w:eastAsia="仿宋_GB2312"/>
          <w:color w:val="000000"/>
          <w:sz w:val="32"/>
          <w:szCs w:val="32"/>
        </w:rPr>
        <w:t>得分</w:t>
      </w:r>
      <w:r>
        <w:rPr>
          <w:rFonts w:hint="eastAsia" w:ascii="Times New Roman" w:eastAsia="仿宋_GB2312"/>
          <w:color w:val="000000"/>
          <w:sz w:val="32"/>
          <w:szCs w:val="32"/>
          <w:lang w:val="en-US" w:eastAsia="zh-CN"/>
        </w:rPr>
        <w:t>8</w:t>
      </w:r>
      <w:r>
        <w:rPr>
          <w:rFonts w:ascii="Times New Roman" w:eastAsia="仿宋_GB2312"/>
          <w:color w:val="000000"/>
          <w:sz w:val="32"/>
          <w:szCs w:val="32"/>
        </w:rPr>
        <w:t>分。</w:t>
      </w:r>
    </w:p>
    <w:p>
      <w:pPr>
        <w:widowControl/>
        <w:spacing w:line="600" w:lineRule="exact"/>
        <w:ind w:right="-283"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三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）效益指标（满分30分，实得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30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经济效益指标：不适用</w:t>
      </w:r>
    </w:p>
    <w:p>
      <w:pPr>
        <w:spacing w:line="600" w:lineRule="exact"/>
        <w:ind w:firstLine="640" w:firstLineChars="200"/>
        <w:rPr>
          <w:rFonts w:asci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</w:t>
      </w:r>
      <w:r>
        <w:rPr>
          <w:rFonts w:ascii="Times New Roman" w:eastAsia="仿宋_GB2312"/>
          <w:color w:val="000000"/>
          <w:sz w:val="32"/>
          <w:szCs w:val="32"/>
        </w:rPr>
        <w:t>社会效益指标</w:t>
      </w:r>
      <w:r>
        <w:rPr>
          <w:rFonts w:hint="eastAsia" w:ascii="Times New Roman" w:eastAsia="仿宋_GB2312"/>
          <w:color w:val="000000"/>
          <w:sz w:val="32"/>
          <w:szCs w:val="32"/>
        </w:rPr>
        <w:t>：</w:t>
      </w:r>
      <w:r>
        <w:rPr>
          <w:rFonts w:hint="eastAsia" w:ascii="Times New Roman" w:eastAsia="仿宋_GB2312"/>
          <w:color w:val="000000"/>
          <w:sz w:val="32"/>
          <w:szCs w:val="32"/>
          <w:lang w:val="en-US" w:eastAsia="zh-CN"/>
        </w:rPr>
        <w:t>对提高</w:t>
      </w:r>
      <w:r>
        <w:rPr>
          <w:rFonts w:hint="eastAsia" w:ascii="Times New Roman" w:eastAsia="仿宋_GB2312"/>
          <w:color w:val="000000"/>
          <w:sz w:val="32"/>
          <w:szCs w:val="32"/>
        </w:rPr>
        <w:t>便民性服务质量的影响程度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效果明显</w:t>
      </w:r>
      <w:r>
        <w:rPr>
          <w:rFonts w:ascii="Times New Roman" w:eastAsia="仿宋_GB2312"/>
          <w:color w:val="000000"/>
          <w:sz w:val="32"/>
          <w:szCs w:val="32"/>
        </w:rPr>
        <w:t>（满分</w:t>
      </w:r>
      <w:r>
        <w:rPr>
          <w:rFonts w:hint="eastAsia" w:asci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eastAsia="仿宋_GB2312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3.生态效益指标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：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不适用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4.可持续影响指标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:健全考核评价体系，确保项目健康持续运行的影响程度高</w:t>
      </w:r>
      <w:r>
        <w:rPr>
          <w:rFonts w:ascii="Times New Roman" w:hAnsi="Times New Roman" w:eastAsia="仿宋_GB2312"/>
          <w:color w:val="000000"/>
          <w:sz w:val="32"/>
          <w:szCs w:val="32"/>
        </w:rPr>
        <w:t>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spacing w:line="600" w:lineRule="exact"/>
        <w:ind w:right="-283" w:firstLine="643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四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满意度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指标（满分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满意度</w:t>
      </w:r>
      <w:r>
        <w:rPr>
          <w:rFonts w:ascii="Times New Roman" w:hAnsi="Times New Roman" w:eastAsia="仿宋_GB2312"/>
          <w:color w:val="000000"/>
          <w:sz w:val="32"/>
          <w:szCs w:val="32"/>
        </w:rPr>
        <w:t>指标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：</w:t>
      </w:r>
      <w:r>
        <w:rPr>
          <w:rFonts w:hint="eastAsia" w:ascii="Times New Roman" w:eastAsia="仿宋_GB2312"/>
          <w:color w:val="000000"/>
          <w:sz w:val="32"/>
          <w:szCs w:val="32"/>
        </w:rPr>
        <w:t>群众满意度≥95%</w:t>
      </w:r>
      <w:r>
        <w:rPr>
          <w:rFonts w:ascii="Times New Roman" w:hAnsi="Times New Roman" w:eastAsia="仿宋_GB2312"/>
          <w:color w:val="000000"/>
          <w:sz w:val="32"/>
          <w:szCs w:val="32"/>
        </w:rPr>
        <w:t>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四、存在问题</w:t>
      </w:r>
    </w:p>
    <w:p>
      <w:pPr>
        <w:widowControl/>
        <w:spacing w:line="600" w:lineRule="exact"/>
        <w:ind w:firstLine="640" w:firstLineChars="200"/>
        <w:rPr>
          <w:rFonts w:hint="default" w:ascii="Times New Roman" w:hAnsi="Times New Roman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在项目实施过程中发现，因为疫情原因，延长了平台开发建设时间，存在部分延迟。目前，按照支付节点正稳步推进运营建设。</w:t>
      </w:r>
    </w:p>
    <w:p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五、意见和建议</w:t>
      </w:r>
    </w:p>
    <w:p>
      <w:pPr>
        <w:widowControl/>
        <w:spacing w:line="600" w:lineRule="exact"/>
        <w:ind w:firstLine="640" w:firstLineChars="200"/>
        <w:rPr>
          <w:rFonts w:hint="default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项目完成后还需要进行二期建设，后期需要多方支持。</w:t>
      </w:r>
    </w:p>
    <w:p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六、</w:t>
      </w:r>
      <w:r>
        <w:rPr>
          <w:rFonts w:hint="eastAsia" w:ascii="Times New Roman" w:hAnsi="Times New Roman" w:eastAsia="黑体"/>
          <w:color w:val="000000"/>
          <w:sz w:val="32"/>
          <w:szCs w:val="32"/>
        </w:rPr>
        <w:t>评价</w:t>
      </w:r>
      <w:r>
        <w:rPr>
          <w:rFonts w:ascii="Times New Roman" w:hAnsi="Times New Roman" w:eastAsia="黑体"/>
          <w:color w:val="000000"/>
          <w:sz w:val="32"/>
          <w:szCs w:val="32"/>
        </w:rPr>
        <w:t>依据</w:t>
      </w:r>
    </w:p>
    <w:p>
      <w:pPr>
        <w:pStyle w:val="2"/>
        <w:numPr>
          <w:numId w:val="0"/>
        </w:numPr>
        <w:ind w:firstLine="640" w:firstLineChars="200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1.</w:t>
      </w:r>
      <w:r>
        <w:rPr>
          <w:rFonts w:ascii="Times New Roman" w:hAnsi="Times New Roman" w:eastAsia="仿宋_GB2312"/>
          <w:color w:val="000000"/>
          <w:sz w:val="32"/>
          <w:szCs w:val="32"/>
        </w:rPr>
        <w:t>项目支出绩效自评表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；</w:t>
      </w:r>
    </w:p>
    <w:p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七、附件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1.项目支出绩效自评表；</w:t>
      </w:r>
    </w:p>
    <w:p>
      <w:pPr>
        <w:spacing w:line="600" w:lineRule="exact"/>
      </w:pP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ind w:right="280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</w:t>
    </w:r>
    <w:r>
      <w:rPr>
        <w:rFonts w:ascii="宋体" w:hAnsi="宋体"/>
        <w:sz w:val="28"/>
        <w:szCs w:val="28"/>
      </w:rPr>
      <w:fldChar w:fldCharType="end"/>
    </w:r>
  </w:p>
  <w:p>
    <w:pPr>
      <w:pStyle w:val="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rPr>
        <w:rFonts w:ascii="宋体" w:hAnsi="宋体"/>
        <w:sz w:val="28"/>
        <w:szCs w:val="28"/>
      </w:rPr>
    </w:pPr>
    <w:r>
      <w:rPr>
        <w:rFonts w:hint="eastAsia" w:ascii="宋体" w:hAnsi="宋体"/>
        <w:sz w:val="28"/>
        <w:szCs w:val="28"/>
      </w:rPr>
      <w:t xml:space="preserve">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4 -</w:t>
    </w:r>
    <w:r>
      <w:rPr>
        <w:rFonts w:ascii="宋体" w:hAnsi="宋体"/>
        <w:sz w:val="28"/>
        <w:szCs w:val="28"/>
      </w:rPr>
      <w:fldChar w:fldCharType="end"/>
    </w:r>
  </w:p>
  <w:p>
    <w:pPr>
      <w:pStyle w:val="8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E4Mjk5NzRlYTZlZGFhMDFkMzljYTI2YmZkMjA0NzIifQ=="/>
  </w:docVars>
  <w:rsids>
    <w:rsidRoot w:val="00192156"/>
    <w:rsid w:val="0000272A"/>
    <w:rsid w:val="000074DB"/>
    <w:rsid w:val="000101D3"/>
    <w:rsid w:val="000215E7"/>
    <w:rsid w:val="00024B78"/>
    <w:rsid w:val="000333B7"/>
    <w:rsid w:val="000369D0"/>
    <w:rsid w:val="00045A25"/>
    <w:rsid w:val="000466BE"/>
    <w:rsid w:val="00050B99"/>
    <w:rsid w:val="000521A2"/>
    <w:rsid w:val="00060E82"/>
    <w:rsid w:val="000618D5"/>
    <w:rsid w:val="00071A73"/>
    <w:rsid w:val="00087AD9"/>
    <w:rsid w:val="000921B9"/>
    <w:rsid w:val="00094DDF"/>
    <w:rsid w:val="00096024"/>
    <w:rsid w:val="00096BEA"/>
    <w:rsid w:val="000A060D"/>
    <w:rsid w:val="000A0BD2"/>
    <w:rsid w:val="000A2B01"/>
    <w:rsid w:val="000A3270"/>
    <w:rsid w:val="000B05BB"/>
    <w:rsid w:val="000B24DC"/>
    <w:rsid w:val="000C07BA"/>
    <w:rsid w:val="000C3815"/>
    <w:rsid w:val="000C3EFC"/>
    <w:rsid w:val="000C6717"/>
    <w:rsid w:val="000D56B4"/>
    <w:rsid w:val="000E18F6"/>
    <w:rsid w:val="000F77CE"/>
    <w:rsid w:val="001004CC"/>
    <w:rsid w:val="00100BCA"/>
    <w:rsid w:val="001018B2"/>
    <w:rsid w:val="00110A25"/>
    <w:rsid w:val="00111B1D"/>
    <w:rsid w:val="00125A14"/>
    <w:rsid w:val="00130D97"/>
    <w:rsid w:val="00136701"/>
    <w:rsid w:val="00136886"/>
    <w:rsid w:val="001415D0"/>
    <w:rsid w:val="00142159"/>
    <w:rsid w:val="00150D36"/>
    <w:rsid w:val="001536B6"/>
    <w:rsid w:val="001620B3"/>
    <w:rsid w:val="00165688"/>
    <w:rsid w:val="00170D4C"/>
    <w:rsid w:val="001734CA"/>
    <w:rsid w:val="00174CDA"/>
    <w:rsid w:val="0017600E"/>
    <w:rsid w:val="00181564"/>
    <w:rsid w:val="00181FC4"/>
    <w:rsid w:val="00184AD9"/>
    <w:rsid w:val="0019017C"/>
    <w:rsid w:val="00191913"/>
    <w:rsid w:val="00191969"/>
    <w:rsid w:val="00192156"/>
    <w:rsid w:val="00192ACC"/>
    <w:rsid w:val="001940C5"/>
    <w:rsid w:val="001A0A5F"/>
    <w:rsid w:val="001A0D99"/>
    <w:rsid w:val="001A3CC7"/>
    <w:rsid w:val="001A58CB"/>
    <w:rsid w:val="001A5C8B"/>
    <w:rsid w:val="001A694B"/>
    <w:rsid w:val="001C4318"/>
    <w:rsid w:val="001D1E4C"/>
    <w:rsid w:val="001D3226"/>
    <w:rsid w:val="001D4994"/>
    <w:rsid w:val="001D5615"/>
    <w:rsid w:val="001D6B55"/>
    <w:rsid w:val="001E02D9"/>
    <w:rsid w:val="001F1D49"/>
    <w:rsid w:val="001F43A9"/>
    <w:rsid w:val="00204E47"/>
    <w:rsid w:val="002124CD"/>
    <w:rsid w:val="00220B48"/>
    <w:rsid w:val="00225F36"/>
    <w:rsid w:val="00234311"/>
    <w:rsid w:val="00235D77"/>
    <w:rsid w:val="002366F3"/>
    <w:rsid w:val="00237881"/>
    <w:rsid w:val="002422EF"/>
    <w:rsid w:val="00242E8D"/>
    <w:rsid w:val="002508AE"/>
    <w:rsid w:val="002604CF"/>
    <w:rsid w:val="00261501"/>
    <w:rsid w:val="002744D0"/>
    <w:rsid w:val="0029361A"/>
    <w:rsid w:val="002A178C"/>
    <w:rsid w:val="002A2144"/>
    <w:rsid w:val="002B369A"/>
    <w:rsid w:val="002B4F16"/>
    <w:rsid w:val="002C668E"/>
    <w:rsid w:val="002C7793"/>
    <w:rsid w:val="002D275C"/>
    <w:rsid w:val="002D4264"/>
    <w:rsid w:val="002D42FC"/>
    <w:rsid w:val="002D706D"/>
    <w:rsid w:val="002E0890"/>
    <w:rsid w:val="002E0C00"/>
    <w:rsid w:val="002E385F"/>
    <w:rsid w:val="002E5523"/>
    <w:rsid w:val="002F127F"/>
    <w:rsid w:val="003035A5"/>
    <w:rsid w:val="00312D71"/>
    <w:rsid w:val="00313C97"/>
    <w:rsid w:val="003146B2"/>
    <w:rsid w:val="003156F3"/>
    <w:rsid w:val="00315762"/>
    <w:rsid w:val="00320D45"/>
    <w:rsid w:val="00340B74"/>
    <w:rsid w:val="003531EE"/>
    <w:rsid w:val="00361095"/>
    <w:rsid w:val="00363B11"/>
    <w:rsid w:val="003675A0"/>
    <w:rsid w:val="003678D7"/>
    <w:rsid w:val="00371894"/>
    <w:rsid w:val="00371DFA"/>
    <w:rsid w:val="00372401"/>
    <w:rsid w:val="00380174"/>
    <w:rsid w:val="003856EB"/>
    <w:rsid w:val="00387B35"/>
    <w:rsid w:val="003901E3"/>
    <w:rsid w:val="00392656"/>
    <w:rsid w:val="003A49CC"/>
    <w:rsid w:val="003B02B9"/>
    <w:rsid w:val="003B5B2B"/>
    <w:rsid w:val="003B6E6D"/>
    <w:rsid w:val="003B756F"/>
    <w:rsid w:val="003C18CB"/>
    <w:rsid w:val="003C5226"/>
    <w:rsid w:val="003C6FDE"/>
    <w:rsid w:val="003D2AE8"/>
    <w:rsid w:val="003D2CB7"/>
    <w:rsid w:val="003D485F"/>
    <w:rsid w:val="003D4A34"/>
    <w:rsid w:val="003E0F29"/>
    <w:rsid w:val="003E4174"/>
    <w:rsid w:val="003F4B38"/>
    <w:rsid w:val="003F6BFC"/>
    <w:rsid w:val="00404086"/>
    <w:rsid w:val="004076F9"/>
    <w:rsid w:val="00414837"/>
    <w:rsid w:val="004174E4"/>
    <w:rsid w:val="00424B8B"/>
    <w:rsid w:val="00435926"/>
    <w:rsid w:val="004359DB"/>
    <w:rsid w:val="00440DEA"/>
    <w:rsid w:val="00440F97"/>
    <w:rsid w:val="004419E1"/>
    <w:rsid w:val="0044342B"/>
    <w:rsid w:val="004454AB"/>
    <w:rsid w:val="00446658"/>
    <w:rsid w:val="00447963"/>
    <w:rsid w:val="00451915"/>
    <w:rsid w:val="0045354D"/>
    <w:rsid w:val="00454634"/>
    <w:rsid w:val="00454DAA"/>
    <w:rsid w:val="00472677"/>
    <w:rsid w:val="00485168"/>
    <w:rsid w:val="004856D4"/>
    <w:rsid w:val="00495C77"/>
    <w:rsid w:val="004973DF"/>
    <w:rsid w:val="004A0BD6"/>
    <w:rsid w:val="004A1978"/>
    <w:rsid w:val="004A4078"/>
    <w:rsid w:val="004A4AF4"/>
    <w:rsid w:val="004A7640"/>
    <w:rsid w:val="004B1709"/>
    <w:rsid w:val="004B4FEE"/>
    <w:rsid w:val="004B5493"/>
    <w:rsid w:val="004C3A42"/>
    <w:rsid w:val="004D1ABC"/>
    <w:rsid w:val="004D26B9"/>
    <w:rsid w:val="004D40A5"/>
    <w:rsid w:val="004D6527"/>
    <w:rsid w:val="004E1C52"/>
    <w:rsid w:val="004E4A47"/>
    <w:rsid w:val="004E4C61"/>
    <w:rsid w:val="004F4190"/>
    <w:rsid w:val="0051355C"/>
    <w:rsid w:val="00515190"/>
    <w:rsid w:val="005171A0"/>
    <w:rsid w:val="00522049"/>
    <w:rsid w:val="005345A9"/>
    <w:rsid w:val="00535F35"/>
    <w:rsid w:val="005442AC"/>
    <w:rsid w:val="00553264"/>
    <w:rsid w:val="00557D02"/>
    <w:rsid w:val="00560675"/>
    <w:rsid w:val="00560F97"/>
    <w:rsid w:val="00564E0E"/>
    <w:rsid w:val="00570AB0"/>
    <w:rsid w:val="00571627"/>
    <w:rsid w:val="005772D9"/>
    <w:rsid w:val="005848DF"/>
    <w:rsid w:val="0058504B"/>
    <w:rsid w:val="00585324"/>
    <w:rsid w:val="00594322"/>
    <w:rsid w:val="005968DC"/>
    <w:rsid w:val="00597164"/>
    <w:rsid w:val="005A1497"/>
    <w:rsid w:val="005A3389"/>
    <w:rsid w:val="005A3705"/>
    <w:rsid w:val="005B31B8"/>
    <w:rsid w:val="005B6FBE"/>
    <w:rsid w:val="005C40B9"/>
    <w:rsid w:val="005C57DA"/>
    <w:rsid w:val="005D0437"/>
    <w:rsid w:val="005D2B08"/>
    <w:rsid w:val="005D40C0"/>
    <w:rsid w:val="005D654E"/>
    <w:rsid w:val="005D6859"/>
    <w:rsid w:val="005D68D6"/>
    <w:rsid w:val="005E125C"/>
    <w:rsid w:val="005E4262"/>
    <w:rsid w:val="005E55E1"/>
    <w:rsid w:val="005F3419"/>
    <w:rsid w:val="005F3CBA"/>
    <w:rsid w:val="005F5137"/>
    <w:rsid w:val="006355FE"/>
    <w:rsid w:val="00662F34"/>
    <w:rsid w:val="00663774"/>
    <w:rsid w:val="00677348"/>
    <w:rsid w:val="00677646"/>
    <w:rsid w:val="00677834"/>
    <w:rsid w:val="006831EE"/>
    <w:rsid w:val="00685395"/>
    <w:rsid w:val="006948E0"/>
    <w:rsid w:val="006965E7"/>
    <w:rsid w:val="00697520"/>
    <w:rsid w:val="006A14C4"/>
    <w:rsid w:val="006A3FD5"/>
    <w:rsid w:val="006A4236"/>
    <w:rsid w:val="006A45AC"/>
    <w:rsid w:val="006B3063"/>
    <w:rsid w:val="006B46ED"/>
    <w:rsid w:val="006B79CA"/>
    <w:rsid w:val="006B7B07"/>
    <w:rsid w:val="006C0B18"/>
    <w:rsid w:val="006C19E0"/>
    <w:rsid w:val="006C3746"/>
    <w:rsid w:val="006C4310"/>
    <w:rsid w:val="006D502B"/>
    <w:rsid w:val="006D7757"/>
    <w:rsid w:val="006E02E2"/>
    <w:rsid w:val="006E038A"/>
    <w:rsid w:val="006E0AD0"/>
    <w:rsid w:val="006E26BC"/>
    <w:rsid w:val="006E4B18"/>
    <w:rsid w:val="006F22E5"/>
    <w:rsid w:val="006F51A9"/>
    <w:rsid w:val="006F58EC"/>
    <w:rsid w:val="006F695F"/>
    <w:rsid w:val="006F7CAD"/>
    <w:rsid w:val="007000CC"/>
    <w:rsid w:val="00701870"/>
    <w:rsid w:val="00722E7A"/>
    <w:rsid w:val="00735BB1"/>
    <w:rsid w:val="007402AB"/>
    <w:rsid w:val="0074108F"/>
    <w:rsid w:val="00752C25"/>
    <w:rsid w:val="00754E89"/>
    <w:rsid w:val="0075594B"/>
    <w:rsid w:val="00761524"/>
    <w:rsid w:val="00761D96"/>
    <w:rsid w:val="00761E26"/>
    <w:rsid w:val="00767873"/>
    <w:rsid w:val="00767FE9"/>
    <w:rsid w:val="00770481"/>
    <w:rsid w:val="007707B8"/>
    <w:rsid w:val="00776D2C"/>
    <w:rsid w:val="00780B10"/>
    <w:rsid w:val="0078356B"/>
    <w:rsid w:val="00784FB4"/>
    <w:rsid w:val="0079117B"/>
    <w:rsid w:val="0079327B"/>
    <w:rsid w:val="0079799B"/>
    <w:rsid w:val="007A06D9"/>
    <w:rsid w:val="007A090C"/>
    <w:rsid w:val="007A102C"/>
    <w:rsid w:val="007A32A4"/>
    <w:rsid w:val="007A5CDE"/>
    <w:rsid w:val="007A5E2F"/>
    <w:rsid w:val="007B23E7"/>
    <w:rsid w:val="007B4F28"/>
    <w:rsid w:val="007B718E"/>
    <w:rsid w:val="007B7D9A"/>
    <w:rsid w:val="007C2C6A"/>
    <w:rsid w:val="007C3293"/>
    <w:rsid w:val="007C414E"/>
    <w:rsid w:val="007C78D7"/>
    <w:rsid w:val="007D1928"/>
    <w:rsid w:val="007D54F8"/>
    <w:rsid w:val="007D78C2"/>
    <w:rsid w:val="007E2AE4"/>
    <w:rsid w:val="007E67F8"/>
    <w:rsid w:val="007E7F05"/>
    <w:rsid w:val="007F2134"/>
    <w:rsid w:val="007F2698"/>
    <w:rsid w:val="007F5F7E"/>
    <w:rsid w:val="0080213C"/>
    <w:rsid w:val="008031B2"/>
    <w:rsid w:val="00806E3D"/>
    <w:rsid w:val="00807923"/>
    <w:rsid w:val="008134B8"/>
    <w:rsid w:val="008177FE"/>
    <w:rsid w:val="008205EA"/>
    <w:rsid w:val="00820E94"/>
    <w:rsid w:val="00823B83"/>
    <w:rsid w:val="00824785"/>
    <w:rsid w:val="00832AB1"/>
    <w:rsid w:val="00835200"/>
    <w:rsid w:val="00835705"/>
    <w:rsid w:val="00842350"/>
    <w:rsid w:val="00845612"/>
    <w:rsid w:val="00853410"/>
    <w:rsid w:val="00856E3F"/>
    <w:rsid w:val="00857795"/>
    <w:rsid w:val="00867CFD"/>
    <w:rsid w:val="00873446"/>
    <w:rsid w:val="00876C69"/>
    <w:rsid w:val="00881C34"/>
    <w:rsid w:val="00881C4F"/>
    <w:rsid w:val="00890C89"/>
    <w:rsid w:val="008A0412"/>
    <w:rsid w:val="008A10FF"/>
    <w:rsid w:val="008A5F56"/>
    <w:rsid w:val="008B05BA"/>
    <w:rsid w:val="008B24DA"/>
    <w:rsid w:val="008B4131"/>
    <w:rsid w:val="008B4B5B"/>
    <w:rsid w:val="008C59DC"/>
    <w:rsid w:val="008D0D42"/>
    <w:rsid w:val="008D28BC"/>
    <w:rsid w:val="008D5B68"/>
    <w:rsid w:val="008D7C61"/>
    <w:rsid w:val="008E1FE0"/>
    <w:rsid w:val="008E495C"/>
    <w:rsid w:val="008F48A2"/>
    <w:rsid w:val="009065BE"/>
    <w:rsid w:val="00907379"/>
    <w:rsid w:val="00907AA8"/>
    <w:rsid w:val="00910BC3"/>
    <w:rsid w:val="0091165E"/>
    <w:rsid w:val="00911A94"/>
    <w:rsid w:val="009130CE"/>
    <w:rsid w:val="00924F87"/>
    <w:rsid w:val="00927967"/>
    <w:rsid w:val="00931F35"/>
    <w:rsid w:val="00932F06"/>
    <w:rsid w:val="00934E8E"/>
    <w:rsid w:val="00935C4C"/>
    <w:rsid w:val="00936045"/>
    <w:rsid w:val="0094070D"/>
    <w:rsid w:val="00944814"/>
    <w:rsid w:val="0094537C"/>
    <w:rsid w:val="00947C62"/>
    <w:rsid w:val="00951B0E"/>
    <w:rsid w:val="0095617D"/>
    <w:rsid w:val="00957C1C"/>
    <w:rsid w:val="00962DFE"/>
    <w:rsid w:val="0096782D"/>
    <w:rsid w:val="0097214E"/>
    <w:rsid w:val="00977AAC"/>
    <w:rsid w:val="00977C29"/>
    <w:rsid w:val="00983B74"/>
    <w:rsid w:val="009861E0"/>
    <w:rsid w:val="009969DA"/>
    <w:rsid w:val="009A3615"/>
    <w:rsid w:val="009A365D"/>
    <w:rsid w:val="009A77F1"/>
    <w:rsid w:val="009B1385"/>
    <w:rsid w:val="009B1866"/>
    <w:rsid w:val="009C2658"/>
    <w:rsid w:val="009C27D3"/>
    <w:rsid w:val="009C2F66"/>
    <w:rsid w:val="009C3BD3"/>
    <w:rsid w:val="009C7648"/>
    <w:rsid w:val="009D4128"/>
    <w:rsid w:val="009D76CB"/>
    <w:rsid w:val="009F2544"/>
    <w:rsid w:val="009F32A9"/>
    <w:rsid w:val="009F35ED"/>
    <w:rsid w:val="009F4C85"/>
    <w:rsid w:val="009F72A7"/>
    <w:rsid w:val="00A01EE0"/>
    <w:rsid w:val="00A051B8"/>
    <w:rsid w:val="00A06889"/>
    <w:rsid w:val="00A11B4B"/>
    <w:rsid w:val="00A11DD2"/>
    <w:rsid w:val="00A17ADE"/>
    <w:rsid w:val="00A20AEF"/>
    <w:rsid w:val="00A21E90"/>
    <w:rsid w:val="00A2377B"/>
    <w:rsid w:val="00A40563"/>
    <w:rsid w:val="00A42F87"/>
    <w:rsid w:val="00A47824"/>
    <w:rsid w:val="00A54D46"/>
    <w:rsid w:val="00A62D7B"/>
    <w:rsid w:val="00A652B8"/>
    <w:rsid w:val="00A65E7A"/>
    <w:rsid w:val="00A66374"/>
    <w:rsid w:val="00A72594"/>
    <w:rsid w:val="00A760E9"/>
    <w:rsid w:val="00A81393"/>
    <w:rsid w:val="00A843D0"/>
    <w:rsid w:val="00AB036A"/>
    <w:rsid w:val="00AB3763"/>
    <w:rsid w:val="00AD6367"/>
    <w:rsid w:val="00AE0561"/>
    <w:rsid w:val="00AE2143"/>
    <w:rsid w:val="00AE49CA"/>
    <w:rsid w:val="00AE6ADC"/>
    <w:rsid w:val="00AE7672"/>
    <w:rsid w:val="00AF7D29"/>
    <w:rsid w:val="00B042D2"/>
    <w:rsid w:val="00B052BA"/>
    <w:rsid w:val="00B14E30"/>
    <w:rsid w:val="00B161F6"/>
    <w:rsid w:val="00B21D9F"/>
    <w:rsid w:val="00B300D2"/>
    <w:rsid w:val="00B433D1"/>
    <w:rsid w:val="00B45278"/>
    <w:rsid w:val="00B47BE4"/>
    <w:rsid w:val="00B5185E"/>
    <w:rsid w:val="00B607B6"/>
    <w:rsid w:val="00B666F5"/>
    <w:rsid w:val="00B734FE"/>
    <w:rsid w:val="00B76AC0"/>
    <w:rsid w:val="00B8253B"/>
    <w:rsid w:val="00B8783F"/>
    <w:rsid w:val="00B87C65"/>
    <w:rsid w:val="00B91337"/>
    <w:rsid w:val="00B97927"/>
    <w:rsid w:val="00B97CEE"/>
    <w:rsid w:val="00BA5279"/>
    <w:rsid w:val="00BA76C2"/>
    <w:rsid w:val="00BB1245"/>
    <w:rsid w:val="00BB298E"/>
    <w:rsid w:val="00BB73C4"/>
    <w:rsid w:val="00BC24BB"/>
    <w:rsid w:val="00BC6CCB"/>
    <w:rsid w:val="00BC7AA8"/>
    <w:rsid w:val="00BD0690"/>
    <w:rsid w:val="00BD158F"/>
    <w:rsid w:val="00BD3423"/>
    <w:rsid w:val="00BD3BDF"/>
    <w:rsid w:val="00BD710A"/>
    <w:rsid w:val="00BE2410"/>
    <w:rsid w:val="00BE34E9"/>
    <w:rsid w:val="00BE483F"/>
    <w:rsid w:val="00BE61EF"/>
    <w:rsid w:val="00BE6DD0"/>
    <w:rsid w:val="00BE7D69"/>
    <w:rsid w:val="00BF5A3E"/>
    <w:rsid w:val="00C01D7E"/>
    <w:rsid w:val="00C026C4"/>
    <w:rsid w:val="00C04BD1"/>
    <w:rsid w:val="00C06DCA"/>
    <w:rsid w:val="00C1163A"/>
    <w:rsid w:val="00C14858"/>
    <w:rsid w:val="00C17E10"/>
    <w:rsid w:val="00C25820"/>
    <w:rsid w:val="00C36AEA"/>
    <w:rsid w:val="00C50A56"/>
    <w:rsid w:val="00C64664"/>
    <w:rsid w:val="00C666BF"/>
    <w:rsid w:val="00C67850"/>
    <w:rsid w:val="00C7077F"/>
    <w:rsid w:val="00C81FD2"/>
    <w:rsid w:val="00C8454B"/>
    <w:rsid w:val="00C87B9F"/>
    <w:rsid w:val="00C9306D"/>
    <w:rsid w:val="00CB0E8B"/>
    <w:rsid w:val="00CB0FE6"/>
    <w:rsid w:val="00CB2CB4"/>
    <w:rsid w:val="00CB7AAF"/>
    <w:rsid w:val="00CC3CB9"/>
    <w:rsid w:val="00CD48DE"/>
    <w:rsid w:val="00CE385C"/>
    <w:rsid w:val="00CE57DC"/>
    <w:rsid w:val="00CE72E4"/>
    <w:rsid w:val="00CF2D06"/>
    <w:rsid w:val="00CF414E"/>
    <w:rsid w:val="00CF645D"/>
    <w:rsid w:val="00D00BB2"/>
    <w:rsid w:val="00D01D8C"/>
    <w:rsid w:val="00D04DEB"/>
    <w:rsid w:val="00D058E5"/>
    <w:rsid w:val="00D1016B"/>
    <w:rsid w:val="00D131B6"/>
    <w:rsid w:val="00D13985"/>
    <w:rsid w:val="00D163A5"/>
    <w:rsid w:val="00D16413"/>
    <w:rsid w:val="00D204AE"/>
    <w:rsid w:val="00D24532"/>
    <w:rsid w:val="00D24BD9"/>
    <w:rsid w:val="00D355DA"/>
    <w:rsid w:val="00D41C31"/>
    <w:rsid w:val="00D4335B"/>
    <w:rsid w:val="00D462B4"/>
    <w:rsid w:val="00D468DD"/>
    <w:rsid w:val="00D471E3"/>
    <w:rsid w:val="00D47347"/>
    <w:rsid w:val="00D4775B"/>
    <w:rsid w:val="00D525E0"/>
    <w:rsid w:val="00D547F2"/>
    <w:rsid w:val="00D6134E"/>
    <w:rsid w:val="00D65E96"/>
    <w:rsid w:val="00D66E4B"/>
    <w:rsid w:val="00D71FA2"/>
    <w:rsid w:val="00D7444C"/>
    <w:rsid w:val="00D769DD"/>
    <w:rsid w:val="00D83E63"/>
    <w:rsid w:val="00D8556B"/>
    <w:rsid w:val="00D85EEF"/>
    <w:rsid w:val="00D86643"/>
    <w:rsid w:val="00D918E0"/>
    <w:rsid w:val="00D9492B"/>
    <w:rsid w:val="00D94C8F"/>
    <w:rsid w:val="00DA00B7"/>
    <w:rsid w:val="00DA0B12"/>
    <w:rsid w:val="00DA2DB4"/>
    <w:rsid w:val="00DA4411"/>
    <w:rsid w:val="00DA4CDC"/>
    <w:rsid w:val="00DA6DFB"/>
    <w:rsid w:val="00DB028F"/>
    <w:rsid w:val="00DC2FB6"/>
    <w:rsid w:val="00DD0035"/>
    <w:rsid w:val="00DD1FB9"/>
    <w:rsid w:val="00DD515E"/>
    <w:rsid w:val="00DE358A"/>
    <w:rsid w:val="00DF0606"/>
    <w:rsid w:val="00DF2A89"/>
    <w:rsid w:val="00DF42D7"/>
    <w:rsid w:val="00E03BEA"/>
    <w:rsid w:val="00E1797D"/>
    <w:rsid w:val="00E21407"/>
    <w:rsid w:val="00E216D3"/>
    <w:rsid w:val="00E21D70"/>
    <w:rsid w:val="00E24B64"/>
    <w:rsid w:val="00E360E7"/>
    <w:rsid w:val="00E3787E"/>
    <w:rsid w:val="00E43C5C"/>
    <w:rsid w:val="00E46AB6"/>
    <w:rsid w:val="00E54696"/>
    <w:rsid w:val="00E550F4"/>
    <w:rsid w:val="00E56F20"/>
    <w:rsid w:val="00E675BC"/>
    <w:rsid w:val="00E67788"/>
    <w:rsid w:val="00E72083"/>
    <w:rsid w:val="00E735AC"/>
    <w:rsid w:val="00E9257E"/>
    <w:rsid w:val="00E95998"/>
    <w:rsid w:val="00EA06A4"/>
    <w:rsid w:val="00EB77C9"/>
    <w:rsid w:val="00EC7E99"/>
    <w:rsid w:val="00ED5B06"/>
    <w:rsid w:val="00EE003E"/>
    <w:rsid w:val="00EE180A"/>
    <w:rsid w:val="00EE242C"/>
    <w:rsid w:val="00EE301D"/>
    <w:rsid w:val="00EE4D22"/>
    <w:rsid w:val="00EF78BC"/>
    <w:rsid w:val="00F031B3"/>
    <w:rsid w:val="00F068E0"/>
    <w:rsid w:val="00F11311"/>
    <w:rsid w:val="00F12AC9"/>
    <w:rsid w:val="00F13DB6"/>
    <w:rsid w:val="00F168DE"/>
    <w:rsid w:val="00F16DF3"/>
    <w:rsid w:val="00F27FBA"/>
    <w:rsid w:val="00F33D0D"/>
    <w:rsid w:val="00F42C4A"/>
    <w:rsid w:val="00F4495A"/>
    <w:rsid w:val="00F46070"/>
    <w:rsid w:val="00F47D94"/>
    <w:rsid w:val="00F53E48"/>
    <w:rsid w:val="00F61B60"/>
    <w:rsid w:val="00F62210"/>
    <w:rsid w:val="00F67DCF"/>
    <w:rsid w:val="00F835A3"/>
    <w:rsid w:val="00F8480F"/>
    <w:rsid w:val="00FA133C"/>
    <w:rsid w:val="00FA1C4B"/>
    <w:rsid w:val="00FB08F6"/>
    <w:rsid w:val="00FC23C7"/>
    <w:rsid w:val="00FC7560"/>
    <w:rsid w:val="00FD5131"/>
    <w:rsid w:val="00FD5EB9"/>
    <w:rsid w:val="00FE02A9"/>
    <w:rsid w:val="00FE2DAA"/>
    <w:rsid w:val="00FE4D3A"/>
    <w:rsid w:val="00FE721E"/>
    <w:rsid w:val="00FF13A9"/>
    <w:rsid w:val="00FF1A73"/>
    <w:rsid w:val="00FF4300"/>
    <w:rsid w:val="013F4189"/>
    <w:rsid w:val="142D19F9"/>
    <w:rsid w:val="150219B9"/>
    <w:rsid w:val="1580063C"/>
    <w:rsid w:val="16F716AA"/>
    <w:rsid w:val="1BD792BA"/>
    <w:rsid w:val="247A4D66"/>
    <w:rsid w:val="25E26856"/>
    <w:rsid w:val="263F02C7"/>
    <w:rsid w:val="27FA6A3D"/>
    <w:rsid w:val="298F32B7"/>
    <w:rsid w:val="2F1B4A9E"/>
    <w:rsid w:val="2FC40521"/>
    <w:rsid w:val="2FFC4CEE"/>
    <w:rsid w:val="30684D7B"/>
    <w:rsid w:val="309A0DD7"/>
    <w:rsid w:val="39EC3A8B"/>
    <w:rsid w:val="3CFE57A8"/>
    <w:rsid w:val="3D17003D"/>
    <w:rsid w:val="3EB75BFF"/>
    <w:rsid w:val="4002459F"/>
    <w:rsid w:val="41230975"/>
    <w:rsid w:val="41FF10FA"/>
    <w:rsid w:val="43EA7528"/>
    <w:rsid w:val="44C06BEE"/>
    <w:rsid w:val="48084C71"/>
    <w:rsid w:val="4C1005FF"/>
    <w:rsid w:val="4FC23864"/>
    <w:rsid w:val="5176064D"/>
    <w:rsid w:val="54AB3C68"/>
    <w:rsid w:val="563D798B"/>
    <w:rsid w:val="5B2737C9"/>
    <w:rsid w:val="5C736320"/>
    <w:rsid w:val="5E8F794D"/>
    <w:rsid w:val="5F9C8719"/>
    <w:rsid w:val="5FF43F05"/>
    <w:rsid w:val="637673BB"/>
    <w:rsid w:val="64266808"/>
    <w:rsid w:val="650F6997"/>
    <w:rsid w:val="653047E6"/>
    <w:rsid w:val="6B15282D"/>
    <w:rsid w:val="6D0D5EB2"/>
    <w:rsid w:val="6DF66027"/>
    <w:rsid w:val="6DF8D820"/>
    <w:rsid w:val="6FED328C"/>
    <w:rsid w:val="704E514D"/>
    <w:rsid w:val="71373859"/>
    <w:rsid w:val="732453BC"/>
    <w:rsid w:val="779BD1C3"/>
    <w:rsid w:val="7BBCDE22"/>
    <w:rsid w:val="7E2C0180"/>
    <w:rsid w:val="7EB02B41"/>
    <w:rsid w:val="7F7D9BD7"/>
    <w:rsid w:val="7FFE9D0A"/>
    <w:rsid w:val="7FFFD1BD"/>
    <w:rsid w:val="9AFFE7AB"/>
    <w:rsid w:val="A3B3654A"/>
    <w:rsid w:val="AFFFF606"/>
    <w:rsid w:val="B7DF99F3"/>
    <w:rsid w:val="D3FF4F83"/>
    <w:rsid w:val="D6C765C5"/>
    <w:rsid w:val="DE7B9CEE"/>
    <w:rsid w:val="F35C17EF"/>
    <w:rsid w:val="F3DEDF06"/>
    <w:rsid w:val="F589066F"/>
    <w:rsid w:val="F5C7AFFE"/>
    <w:rsid w:val="F7CE0DBF"/>
    <w:rsid w:val="FD75544E"/>
    <w:rsid w:val="FDDA0E1A"/>
    <w:rsid w:val="FF5BABE2"/>
    <w:rsid w:val="FFC670E8"/>
    <w:rsid w:val="FFD6E599"/>
    <w:rsid w:val="FFDF5F2A"/>
    <w:rsid w:val="FFF31F54"/>
    <w:rsid w:val="FFFF6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17"/>
    <w:autoRedefine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MS Gothic"/>
      <w:b/>
      <w:bCs/>
      <w:kern w:val="44"/>
      <w:sz w:val="44"/>
      <w:szCs w:val="44"/>
      <w:lang w:val="zh-CN" w:eastAsia="zh-CN"/>
    </w:rPr>
  </w:style>
  <w:style w:type="paragraph" w:styleId="4">
    <w:name w:val="heading 2"/>
    <w:basedOn w:val="1"/>
    <w:next w:val="1"/>
    <w:autoRedefine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4">
    <w:name w:val="Default Paragraph Font"/>
    <w:autoRedefine/>
    <w:semiHidden/>
    <w:unhideWhenUsed/>
    <w:qFormat/>
    <w:uiPriority w:val="1"/>
  </w:style>
  <w:style w:type="table" w:default="1" w:styleId="1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5">
    <w:name w:val="Normal Indent"/>
    <w:basedOn w:val="1"/>
    <w:link w:val="21"/>
    <w:autoRedefine/>
    <w:qFormat/>
    <w:uiPriority w:val="0"/>
    <w:pPr>
      <w:spacing w:line="560" w:lineRule="atLeast"/>
      <w:ind w:firstLine="567"/>
    </w:pPr>
    <w:rPr>
      <w:rFonts w:asciiTheme="minorHAnsi" w:hAnsiTheme="minorHAnsi" w:eastAsiaTheme="minorEastAsia" w:cstheme="minorBidi"/>
      <w:sz w:val="28"/>
    </w:rPr>
  </w:style>
  <w:style w:type="paragraph" w:styleId="6">
    <w:name w:val="Date"/>
    <w:basedOn w:val="1"/>
    <w:next w:val="1"/>
    <w:link w:val="26"/>
    <w:autoRedefine/>
    <w:qFormat/>
    <w:uiPriority w:val="0"/>
    <w:pPr>
      <w:ind w:left="100" w:leftChars="2500"/>
    </w:pPr>
    <w:rPr>
      <w:rFonts w:ascii="Times New Roman" w:hAnsi="Times New Roman"/>
      <w:szCs w:val="24"/>
    </w:rPr>
  </w:style>
  <w:style w:type="paragraph" w:styleId="7">
    <w:name w:val="Balloon Text"/>
    <w:basedOn w:val="1"/>
    <w:link w:val="25"/>
    <w:autoRedefine/>
    <w:unhideWhenUsed/>
    <w:qFormat/>
    <w:uiPriority w:val="99"/>
    <w:rPr>
      <w:rFonts w:ascii="Times New Roman" w:hAnsi="Times New Roman"/>
      <w:sz w:val="18"/>
      <w:szCs w:val="18"/>
      <w:lang w:val="zh-CN" w:eastAsia="zh-CN"/>
    </w:rPr>
  </w:style>
  <w:style w:type="paragraph" w:styleId="8">
    <w:name w:val="footer"/>
    <w:basedOn w:val="1"/>
    <w:link w:val="18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9">
    <w:name w:val="header"/>
    <w:basedOn w:val="1"/>
    <w:link w:val="1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paragraph" w:styleId="10">
    <w:name w:val="toc 1"/>
    <w:basedOn w:val="1"/>
    <w:next w:val="1"/>
    <w:autoRedefine/>
    <w:qFormat/>
    <w:uiPriority w:val="0"/>
    <w:pPr>
      <w:tabs>
        <w:tab w:val="right" w:leader="dot" w:pos="9135"/>
      </w:tabs>
      <w:spacing w:line="480" w:lineRule="auto"/>
      <w:ind w:left="105" w:leftChars="50"/>
      <w:jc w:val="center"/>
    </w:pPr>
    <w:rPr>
      <w:rFonts w:ascii="黑体" w:hAnsi="宋体" w:eastAsia="黑体" w:cs="宋体"/>
      <w:color w:val="000000"/>
      <w:kern w:val="0"/>
      <w:sz w:val="32"/>
      <w:szCs w:val="32"/>
    </w:rPr>
  </w:style>
  <w:style w:type="paragraph" w:styleId="11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13">
    <w:name w:val="Table Grid"/>
    <w:basedOn w:val="12"/>
    <w:autoRedefine/>
    <w:qFormat/>
    <w:uiPriority w:val="59"/>
    <w:rPr>
      <w:rFonts w:ascii="Calibri" w:hAnsi="Calibri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5">
    <w:name w:val="page number"/>
    <w:basedOn w:val="14"/>
    <w:autoRedefine/>
    <w:qFormat/>
    <w:uiPriority w:val="0"/>
  </w:style>
  <w:style w:type="character" w:styleId="16">
    <w:name w:val="Hyperlink"/>
    <w:autoRedefine/>
    <w:qFormat/>
    <w:uiPriority w:val="0"/>
    <w:rPr>
      <w:color w:val="0000FF"/>
      <w:u w:val="single"/>
    </w:rPr>
  </w:style>
  <w:style w:type="character" w:customStyle="1" w:styleId="17">
    <w:name w:val="标题 1 Char"/>
    <w:basedOn w:val="14"/>
    <w:link w:val="3"/>
    <w:autoRedefine/>
    <w:qFormat/>
    <w:uiPriority w:val="0"/>
    <w:rPr>
      <w:rFonts w:ascii="Times New Roman" w:hAnsi="Times New Roman" w:eastAsia="MS Gothic" w:cs="Times New Roman"/>
      <w:b/>
      <w:bCs/>
      <w:kern w:val="44"/>
      <w:sz w:val="44"/>
      <w:szCs w:val="44"/>
      <w:lang w:val="zh-CN" w:eastAsia="zh-CN"/>
    </w:rPr>
  </w:style>
  <w:style w:type="character" w:customStyle="1" w:styleId="18">
    <w:name w:val="页脚 Char"/>
    <w:basedOn w:val="14"/>
    <w:link w:val="8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页眉 Char"/>
    <w:basedOn w:val="14"/>
    <w:link w:val="9"/>
    <w:autoRedefine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页脚 Char Char"/>
    <w:autoRedefine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正文缩进 Char"/>
    <w:link w:val="5"/>
    <w:autoRedefine/>
    <w:qFormat/>
    <w:uiPriority w:val="0"/>
    <w:rPr>
      <w:sz w:val="28"/>
    </w:rPr>
  </w:style>
  <w:style w:type="character" w:customStyle="1" w:styleId="22">
    <w:name w:val="正文啊 Char Char"/>
    <w:link w:val="23"/>
    <w:autoRedefine/>
    <w:qFormat/>
    <w:uiPriority w:val="0"/>
    <w:rPr>
      <w:rFonts w:ascii="仿宋_GB2312" w:hAnsi="宋体" w:eastAsia="仿宋_GB2312"/>
      <w:bCs/>
      <w:sz w:val="30"/>
      <w:szCs w:val="30"/>
    </w:rPr>
  </w:style>
  <w:style w:type="paragraph" w:customStyle="1" w:styleId="23">
    <w:name w:val="正文啊"/>
    <w:basedOn w:val="1"/>
    <w:link w:val="22"/>
    <w:autoRedefine/>
    <w:qFormat/>
    <w:uiPriority w:val="0"/>
    <w:pPr>
      <w:spacing w:line="560" w:lineRule="exact"/>
      <w:ind w:firstLine="600" w:firstLineChars="200"/>
    </w:pPr>
    <w:rPr>
      <w:rFonts w:ascii="仿宋_GB2312" w:hAnsi="宋体" w:eastAsia="仿宋_GB2312" w:cstheme="minorBidi"/>
      <w:bCs/>
      <w:sz w:val="30"/>
      <w:szCs w:val="30"/>
    </w:rPr>
  </w:style>
  <w:style w:type="paragraph" w:customStyle="1" w:styleId="24">
    <w:name w:val="Char"/>
    <w:basedOn w:val="1"/>
    <w:next w:val="1"/>
    <w:autoRedefine/>
    <w:qFormat/>
    <w:uiPriority w:val="0"/>
    <w:pPr>
      <w:widowControl/>
      <w:spacing w:line="360" w:lineRule="auto"/>
      <w:jc w:val="left"/>
    </w:pPr>
    <w:rPr>
      <w:rFonts w:ascii="Times New Roman" w:hAnsi="Times New Roman"/>
      <w:kern w:val="0"/>
      <w:szCs w:val="20"/>
      <w:lang w:eastAsia="en-US"/>
    </w:rPr>
  </w:style>
  <w:style w:type="character" w:customStyle="1" w:styleId="25">
    <w:name w:val="批注框文本 Char"/>
    <w:basedOn w:val="14"/>
    <w:link w:val="7"/>
    <w:autoRedefine/>
    <w:qFormat/>
    <w:uiPriority w:val="99"/>
    <w:rPr>
      <w:rFonts w:ascii="Times New Roman" w:hAnsi="Times New Roman" w:eastAsia="宋体" w:cs="Times New Roman"/>
      <w:sz w:val="18"/>
      <w:szCs w:val="18"/>
      <w:lang w:val="zh-CN" w:eastAsia="zh-CN"/>
    </w:rPr>
  </w:style>
  <w:style w:type="character" w:customStyle="1" w:styleId="26">
    <w:name w:val="日期 Char"/>
    <w:basedOn w:val="14"/>
    <w:link w:val="6"/>
    <w:autoRedefine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27">
    <w:name w:val="Default Paragraph Char Char Char Char"/>
    <w:basedOn w:val="1"/>
    <w:next w:val="1"/>
    <w:autoRedefine/>
    <w:qFormat/>
    <w:uiPriority w:val="0"/>
    <w:pPr>
      <w:widowControl/>
      <w:spacing w:line="360" w:lineRule="auto"/>
      <w:jc w:val="center"/>
    </w:pPr>
    <w:rPr>
      <w:rFonts w:ascii="Times New Roman" w:hAnsi="Times New Roman" w:eastAsia="方正小标宋简体"/>
      <w:kern w:val="0"/>
      <w:sz w:val="44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22</Pages>
  <Words>5304</Words>
  <Characters>5654</Characters>
  <Lines>102</Lines>
  <Paragraphs>28</Paragraphs>
  <TotalTime>21</TotalTime>
  <ScaleCrop>false</ScaleCrop>
  <LinksUpToDate>false</LinksUpToDate>
  <CharactersWithSpaces>5862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2020-12-26T02:41:00Z</dcterms:created>
  <dc:creator>王焱</dc:creator>
  <cp:lastModifiedBy>X</cp:lastModifiedBy>
  <cp:lastPrinted>2024-03-13T07:21:10Z</cp:lastPrinted>
  <dcterms:modified xsi:type="dcterms:W3CDTF">2024-03-13T07:23:54Z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D929270FEEF4438BB26FADF3D9CB3160_13</vt:lpwstr>
  </property>
</Properties>
</file>