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ascii="Times New Roman" w:hAnsi="Times New Roman" w:eastAsia="黑体"/>
          <w:bCs/>
          <w:sz w:val="32"/>
          <w:szCs w:val="32"/>
          <w:lang w:val="en-US" w:eastAsia="zh-CN"/>
        </w:rPr>
      </w:pPr>
      <w:r>
        <w:rPr>
          <w:rFonts w:ascii="Times New Roman" w:hAnsi="Times New Roman" w:eastAsia="黑体"/>
          <w:bCs/>
          <w:sz w:val="32"/>
          <w:szCs w:val="32"/>
        </w:rPr>
        <w:t>附件</w:t>
      </w:r>
      <w:r>
        <w:rPr>
          <w:rFonts w:hint="eastAsia" w:ascii="Times New Roman" w:hAnsi="Times New Roman" w:eastAsia="黑体"/>
          <w:bCs/>
          <w:sz w:val="32"/>
          <w:szCs w:val="32"/>
          <w:lang w:val="en-US" w:eastAsia="zh-CN"/>
        </w:rPr>
        <w:t>2</w:t>
      </w:r>
    </w:p>
    <w:p>
      <w:pPr>
        <w:ind w:right="120"/>
        <w:jc w:val="right"/>
        <w:rPr>
          <w:rFonts w:ascii="Times New Roman" w:hAnsi="Times New Roman" w:eastAsia="华文楷体"/>
          <w:bCs/>
          <w:sz w:val="16"/>
          <w:szCs w:val="21"/>
        </w:rPr>
      </w:pPr>
    </w:p>
    <w:p>
      <w:pPr>
        <w:ind w:right="120"/>
        <w:jc w:val="right"/>
        <w:rPr>
          <w:rFonts w:ascii="Times New Roman" w:hAnsi="Times New Roman" w:eastAsia="华文楷体"/>
          <w:bCs/>
          <w:sz w:val="16"/>
          <w:szCs w:val="21"/>
        </w:rPr>
      </w:pPr>
    </w:p>
    <w:p>
      <w:pPr>
        <w:ind w:right="120"/>
        <w:jc w:val="right"/>
        <w:rPr>
          <w:rFonts w:ascii="Times New Roman" w:hAnsi="Times New Roman" w:eastAsia="华文楷体"/>
          <w:bCs/>
          <w:sz w:val="16"/>
          <w:szCs w:val="21"/>
        </w:rPr>
      </w:pPr>
    </w:p>
    <w:p>
      <w:pPr>
        <w:jc w:val="center"/>
        <w:rPr>
          <w:rFonts w:ascii="Times New Roman" w:hAnsi="Times New Roman" w:eastAsia="黑体"/>
          <w:bCs/>
          <w:sz w:val="44"/>
        </w:rPr>
      </w:pPr>
    </w:p>
    <w:p>
      <w:pPr>
        <w:jc w:val="center"/>
        <w:rPr>
          <w:rFonts w:ascii="Times New Roman" w:hAnsi="Times New Roman" w:eastAsia="黑体"/>
          <w:bCs/>
          <w:sz w:val="44"/>
        </w:rPr>
      </w:pPr>
    </w:p>
    <w:p>
      <w:pPr>
        <w:spacing w:line="600" w:lineRule="exact"/>
        <w:jc w:val="center"/>
        <w:rPr>
          <w:rFonts w:ascii="Times New Roman" w:hAnsi="Times New Roman" w:eastAsia="方正小标宋简体"/>
          <w:bCs/>
          <w:sz w:val="44"/>
        </w:rPr>
      </w:pPr>
      <w:r>
        <w:rPr>
          <w:rFonts w:ascii="Times New Roman" w:hAnsi="Times New Roman" w:eastAsia="方正小标宋简体"/>
          <w:bCs/>
          <w:sz w:val="44"/>
        </w:rPr>
        <w:t>合肥市财政支出项目</w:t>
      </w:r>
      <w:r>
        <w:rPr>
          <w:rFonts w:hint="eastAsia" w:ascii="Times New Roman" w:hAnsi="Times New Roman" w:eastAsia="方正小标宋简体"/>
          <w:bCs/>
          <w:sz w:val="44"/>
        </w:rPr>
        <w:t>部门评价</w:t>
      </w:r>
      <w:r>
        <w:rPr>
          <w:rFonts w:ascii="Times New Roman" w:hAnsi="Times New Roman" w:eastAsia="方正小标宋简体"/>
          <w:bCs/>
          <w:sz w:val="44"/>
        </w:rPr>
        <w:t>报告</w:t>
      </w:r>
    </w:p>
    <w:p>
      <w:pPr>
        <w:spacing w:line="600" w:lineRule="exact"/>
        <w:jc w:val="center"/>
        <w:rPr>
          <w:rFonts w:hint="eastAsia" w:ascii="Times New Roman" w:hAnsi="Times New Roman" w:eastAsia="方正小标宋简体"/>
          <w:b/>
          <w:bCs/>
          <w:sz w:val="32"/>
          <w:lang w:eastAsia="zh-CN"/>
        </w:rPr>
      </w:pPr>
      <w:r>
        <w:rPr>
          <w:rFonts w:hint="eastAsia" w:ascii="Times New Roman" w:hAnsi="Times New Roman" w:eastAsia="方正小标宋简体"/>
          <w:bCs/>
          <w:sz w:val="32"/>
          <w:lang w:val="en-US" w:eastAsia="zh-CN"/>
        </w:rPr>
        <w:t xml:space="preserve"> </w:t>
      </w:r>
    </w:p>
    <w:p>
      <w:pPr>
        <w:spacing w:before="156" w:beforeLines="50" w:after="156" w:afterLines="50"/>
        <w:ind w:firstLine="614" w:firstLineChars="192"/>
        <w:rPr>
          <w:rFonts w:ascii="Times New Roman" w:hAnsi="Times New Roman" w:eastAsia="楷体_GB2312"/>
          <w:sz w:val="32"/>
        </w:rPr>
      </w:pPr>
    </w:p>
    <w:p>
      <w:pPr>
        <w:spacing w:before="156" w:beforeLines="50" w:after="156" w:afterLines="50"/>
        <w:ind w:left="2207" w:leftChars="289" w:hanging="1600" w:hangingChars="500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项   目   名   称 ：</w:t>
      </w:r>
      <w:r>
        <w:rPr>
          <w:rFonts w:ascii="Times New Roman" w:hAnsi="Times New Roman" w:eastAsia="楷体_GB2312"/>
          <w:sz w:val="32"/>
          <w:u w:val="single"/>
        </w:rPr>
        <w:t xml:space="preserve"> </w:t>
      </w:r>
      <w:r>
        <w:rPr>
          <w:rFonts w:hint="eastAsia" w:ascii="Times New Roman" w:hAnsi="Times New Roman" w:eastAsia="楷体_GB2312"/>
          <w:sz w:val="32"/>
          <w:u w:val="single"/>
        </w:rPr>
        <w:t>购买社区基本公共养老服务</w:t>
      </w:r>
      <w:r>
        <w:rPr>
          <w:rFonts w:ascii="Times New Roman" w:hAnsi="Times New Roman" w:eastAsia="楷体_GB2312"/>
          <w:sz w:val="32"/>
          <w:u w:val="single"/>
        </w:rPr>
        <w:t xml:space="preserve">                          </w:t>
      </w:r>
    </w:p>
    <w:p>
      <w:pPr>
        <w:spacing w:before="156" w:beforeLines="50" w:after="156" w:afterLines="50"/>
        <w:ind w:left="1887" w:leftChars="289" w:hanging="1280" w:hangingChars="400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项   目   单   位 ：</w:t>
      </w:r>
      <w:r>
        <w:rPr>
          <w:rFonts w:ascii="Times New Roman" w:hAnsi="Times New Roman" w:eastAsia="楷体_GB2312"/>
          <w:sz w:val="32"/>
          <w:u w:val="single"/>
        </w:rPr>
        <w:t xml:space="preserve"> </w:t>
      </w:r>
      <w:r>
        <w:rPr>
          <w:rFonts w:hint="eastAsia" w:ascii="Times New Roman" w:hAnsi="Times New Roman" w:eastAsia="楷体_GB2312"/>
          <w:sz w:val="32"/>
          <w:u w:val="single"/>
          <w:lang w:val="en-US" w:eastAsia="zh-CN"/>
        </w:rPr>
        <w:t>合肥市瑶海区民政局</w:t>
      </w:r>
      <w:r>
        <w:rPr>
          <w:rFonts w:ascii="Times New Roman" w:hAnsi="Times New Roman" w:eastAsia="楷体_GB2312"/>
          <w:sz w:val="32"/>
          <w:u w:val="single"/>
        </w:rPr>
        <w:t xml:space="preserve">                          </w:t>
      </w:r>
    </w:p>
    <w:p>
      <w:pPr>
        <w:spacing w:before="156" w:beforeLines="50" w:after="156" w:afterLines="50"/>
        <w:ind w:left="1887" w:leftChars="289" w:hanging="1280" w:hangingChars="400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项目责任人 （签字）：</w:t>
      </w:r>
      <w:r>
        <w:rPr>
          <w:rFonts w:ascii="Times New Roman" w:hAnsi="Times New Roman" w:eastAsia="楷体_GB2312"/>
          <w:sz w:val="32"/>
          <w:u w:val="single"/>
        </w:rPr>
        <w:t xml:space="preserve">                           </w:t>
      </w:r>
    </w:p>
    <w:p>
      <w:pPr>
        <w:spacing w:before="156" w:beforeLines="50" w:after="156" w:afterLines="50"/>
        <w:ind w:firstLine="614" w:firstLineChars="192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主 管 部 门（盖章）：</w:t>
      </w:r>
      <w:r>
        <w:rPr>
          <w:rFonts w:ascii="Times New Roman" w:hAnsi="Times New Roman" w:eastAsia="楷体_GB2312"/>
          <w:sz w:val="32"/>
          <w:u w:val="single"/>
        </w:rPr>
        <w:t xml:space="preserve">                           </w:t>
      </w:r>
    </w:p>
    <w:p>
      <w:pPr>
        <w:spacing w:before="156" w:beforeLines="50" w:after="156" w:afterLines="50"/>
        <w:ind w:firstLine="614" w:firstLineChars="192"/>
        <w:rPr>
          <w:rFonts w:ascii="Times New Roman" w:hAnsi="Times New Roman" w:eastAsia="楷体_GB2312"/>
          <w:sz w:val="32"/>
        </w:rPr>
      </w:pPr>
    </w:p>
    <w:p>
      <w:pPr>
        <w:ind w:firstLine="614" w:firstLineChars="192"/>
        <w:jc w:val="center"/>
        <w:rPr>
          <w:rFonts w:ascii="Times New Roman" w:hAnsi="Times New Roman" w:eastAsia="楷体_GB2312"/>
          <w:sz w:val="32"/>
        </w:rPr>
      </w:pPr>
    </w:p>
    <w:p>
      <w:pPr>
        <w:spacing w:line="600" w:lineRule="exact"/>
        <w:jc w:val="center"/>
        <w:rPr>
          <w:rFonts w:hint="eastAsia" w:ascii="Times New Roman" w:hAnsi="Times New Roman" w:eastAsia="方正小标宋简体"/>
          <w:bCs/>
          <w:sz w:val="44"/>
          <w:szCs w:val="24"/>
        </w:rPr>
      </w:pPr>
      <w:r>
        <w:rPr>
          <w:rFonts w:ascii="Times New Roman" w:hAnsi="Times New Roman" w:eastAsia="楷体"/>
          <w:sz w:val="32"/>
        </w:rPr>
        <w:t xml:space="preserve">      202</w:t>
      </w:r>
      <w:r>
        <w:rPr>
          <w:rFonts w:hint="eastAsia" w:ascii="Times New Roman" w:hAnsi="Times New Roman" w:eastAsia="楷体"/>
          <w:sz w:val="32"/>
          <w:lang w:val="en-US" w:eastAsia="zh-CN"/>
        </w:rPr>
        <w:t>4</w:t>
      </w:r>
      <w:r>
        <w:rPr>
          <w:rFonts w:ascii="Times New Roman" w:hAnsi="Times New Roman" w:eastAsia="楷体_GB2312"/>
          <w:sz w:val="32"/>
        </w:rPr>
        <w:t>年</w:t>
      </w:r>
      <w:r>
        <w:rPr>
          <w:rFonts w:hint="eastAsia" w:ascii="Times New Roman" w:hAnsi="Times New Roman" w:eastAsia="楷体"/>
          <w:sz w:val="32"/>
          <w:lang w:val="en-US" w:eastAsia="zh-CN"/>
        </w:rPr>
        <w:t>3</w:t>
      </w:r>
      <w:r>
        <w:rPr>
          <w:rFonts w:ascii="Times New Roman" w:hAnsi="Times New Roman" w:eastAsia="楷体_GB2312"/>
          <w:sz w:val="32"/>
        </w:rPr>
        <w:t>月</w:t>
      </w:r>
      <w:r>
        <w:rPr>
          <w:rFonts w:ascii="Times New Roman" w:hAnsi="Times New Roman" w:eastAsia="楷体_GB2312"/>
          <w:sz w:val="32"/>
        </w:rPr>
        <w:br w:type="page"/>
      </w:r>
      <w:r>
        <w:rPr>
          <w:rFonts w:hint="eastAsia" w:ascii="Times New Roman" w:hAnsi="Times New Roman" w:eastAsia="方正小标宋简体"/>
          <w:bCs/>
          <w:sz w:val="44"/>
          <w:szCs w:val="24"/>
          <w:lang w:eastAsia="zh-CN"/>
        </w:rPr>
        <w:t>2023</w:t>
      </w:r>
      <w:r>
        <w:rPr>
          <w:rFonts w:ascii="Times New Roman" w:hAnsi="Times New Roman" w:eastAsia="方正小标宋简体"/>
          <w:bCs/>
          <w:sz w:val="44"/>
          <w:szCs w:val="24"/>
        </w:rPr>
        <w:t>年</w:t>
      </w:r>
      <w:r>
        <w:rPr>
          <w:rFonts w:hint="eastAsia" w:ascii="Times New Roman" w:hAnsi="Times New Roman" w:eastAsia="方正小标宋简体"/>
          <w:bCs/>
          <w:sz w:val="44"/>
          <w:szCs w:val="24"/>
        </w:rPr>
        <w:t>购买社区基本公共养老服务</w:t>
      </w:r>
    </w:p>
    <w:p>
      <w:pPr>
        <w:spacing w:line="600" w:lineRule="exact"/>
        <w:jc w:val="center"/>
        <w:rPr>
          <w:rFonts w:ascii="Times New Roman" w:hAnsi="Times New Roman" w:eastAsia="方正小标宋简体"/>
          <w:bCs/>
          <w:sz w:val="44"/>
          <w:szCs w:val="24"/>
        </w:rPr>
      </w:pPr>
      <w:r>
        <w:rPr>
          <w:rFonts w:ascii="Times New Roman" w:hAnsi="Times New Roman" w:eastAsia="方正小标宋简体"/>
          <w:bCs/>
          <w:sz w:val="44"/>
          <w:szCs w:val="24"/>
        </w:rPr>
        <w:t>项目</w:t>
      </w:r>
      <w:r>
        <w:rPr>
          <w:rFonts w:hint="eastAsia" w:ascii="Times New Roman" w:hAnsi="Times New Roman" w:eastAsia="方正小标宋简体"/>
          <w:bCs/>
          <w:sz w:val="44"/>
          <w:szCs w:val="24"/>
        </w:rPr>
        <w:t>部门评价</w:t>
      </w:r>
      <w:r>
        <w:rPr>
          <w:rFonts w:ascii="Times New Roman" w:hAnsi="Times New Roman" w:eastAsia="方正小标宋简体"/>
          <w:bCs/>
          <w:sz w:val="44"/>
          <w:szCs w:val="24"/>
        </w:rPr>
        <w:t>报告</w:t>
      </w:r>
    </w:p>
    <w:p>
      <w:pPr>
        <w:spacing w:line="580" w:lineRule="exact"/>
        <w:jc w:val="center"/>
        <w:rPr>
          <w:rFonts w:ascii="Times New Roman" w:hAnsi="Times New Roman" w:eastAsia="仿宋_GB2312"/>
          <w:bCs/>
          <w:sz w:val="32"/>
          <w:szCs w:val="32"/>
        </w:rPr>
      </w:pPr>
    </w:p>
    <w:p>
      <w:pPr>
        <w:widowControl/>
        <w:spacing w:line="560" w:lineRule="exact"/>
        <w:ind w:firstLine="640" w:firstLineChars="20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一、项目基本情况</w:t>
      </w:r>
    </w:p>
    <w:p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（一）项目概况</w:t>
      </w:r>
    </w:p>
    <w:p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1.项目立项情况</w:t>
      </w:r>
    </w:p>
    <w:p>
      <w:pPr>
        <w:widowControl/>
        <w:spacing w:line="60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根据《合肥市政府购买社区基本公共养老、青少年活动服务实施办法》（合民〔2017〕347号）文件精神执行，每个城市社区基本公共养老每年3.5万元，全区共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68</w:t>
      </w:r>
      <w:r>
        <w:rPr>
          <w:rFonts w:hint="eastAsia" w:ascii="仿宋_GB2312" w:eastAsia="仿宋_GB2312"/>
          <w:sz w:val="32"/>
          <w:szCs w:val="32"/>
        </w:rPr>
        <w:t>个社区，市区财政按1:1比例分担。</w:t>
      </w:r>
    </w:p>
    <w:p>
      <w:pPr>
        <w:spacing w:line="560" w:lineRule="exact"/>
        <w:ind w:firstLine="646" w:firstLineChars="202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2.项目执行情况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按照全年进度，购买社区基本公共养老服务项目按合同约定，实施进度正常，按序时进度支付到位。</w:t>
      </w:r>
    </w:p>
    <w:p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（二）项目绩效目标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1.项目年度总体目标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申请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115.5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万元财政资金，通过政府购买服务，为全区老年人提供公共养老服务，丰富养老服务供给方式，不断满足老年群体的养老服务需求。</w:t>
      </w:r>
      <w:r>
        <w:rPr>
          <w:rFonts w:ascii="Times New Roman" w:hAnsi="Times New Roman" w:eastAsia="仿宋_GB2312"/>
          <w:color w:val="000000"/>
          <w:sz w:val="32"/>
          <w:szCs w:val="32"/>
        </w:rPr>
        <w:t>年度设定的数量指标为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覆盖所有社区（68个社区），</w:t>
      </w:r>
      <w:r>
        <w:rPr>
          <w:rFonts w:ascii="Times New Roman" w:hAnsi="Times New Roman" w:eastAsia="仿宋_GB2312"/>
          <w:color w:val="000000"/>
          <w:sz w:val="32"/>
          <w:szCs w:val="32"/>
        </w:rPr>
        <w:t>截至202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ascii="Times New Roman" w:hAnsi="Times New Roman" w:eastAsia="仿宋_GB2312"/>
          <w:color w:val="000000"/>
          <w:sz w:val="32"/>
          <w:szCs w:val="32"/>
        </w:rPr>
        <w:t>年底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全覆盖。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2.总体目标完成情况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按照合同约定，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已全部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支付到位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。</w:t>
      </w:r>
    </w:p>
    <w:p>
      <w:pPr>
        <w:spacing w:line="56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二、绩效</w:t>
      </w:r>
      <w:r>
        <w:rPr>
          <w:rFonts w:hint="eastAsia" w:ascii="Times New Roman" w:hAnsi="Times New Roman" w:eastAsia="黑体"/>
          <w:color w:val="000000"/>
          <w:sz w:val="32"/>
          <w:szCs w:val="32"/>
        </w:rPr>
        <w:t>评价</w:t>
      </w:r>
      <w:r>
        <w:rPr>
          <w:rFonts w:ascii="Times New Roman" w:hAnsi="Times New Roman" w:eastAsia="黑体"/>
          <w:color w:val="000000"/>
          <w:sz w:val="32"/>
          <w:szCs w:val="32"/>
        </w:rPr>
        <w:t>结论</w:t>
      </w:r>
    </w:p>
    <w:p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（一）总体结论</w:t>
      </w:r>
    </w:p>
    <w:p>
      <w:pPr>
        <w:widowControl/>
        <w:spacing w:line="560" w:lineRule="exact"/>
        <w:ind w:firstLine="640" w:firstLineChars="200"/>
        <w:rPr>
          <w:rFonts w:hint="eastAsia"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202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年度，购买社区基本公共养老服务项目通过申请财政资金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115.5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万元，共完成为全区老年人提供公共养老服务，丰富养老服务供给方式等工作，已完成年度设定的绩效目标，达到项目预期效果。具体包括：一是：通过政府购买服务，为全区老年人提供公共养老服务；二是：丰富养老服务供给方式，不断满足老年群体的养老服务需求。</w:t>
      </w:r>
    </w:p>
    <w:p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（二）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评价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结果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经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，</w:t>
      </w:r>
      <w:r>
        <w:rPr>
          <w:rFonts w:ascii="Times New Roman" w:hAnsi="Times New Roman" w:eastAsia="仿宋_GB2312"/>
          <w:sz w:val="32"/>
          <w:szCs w:val="32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3</w:t>
      </w:r>
      <w:r>
        <w:rPr>
          <w:rFonts w:ascii="Times New Roman" w:hAnsi="Times New Roman" w:eastAsia="仿宋_GB2312"/>
          <w:color w:val="000000"/>
          <w:sz w:val="32"/>
          <w:szCs w:val="32"/>
        </w:rPr>
        <w:t>年度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购买社区基本公共养老服务</w:t>
      </w:r>
      <w:r>
        <w:rPr>
          <w:rFonts w:ascii="Times New Roman" w:hAnsi="Times New Roman" w:eastAsia="仿宋_GB2312"/>
          <w:sz w:val="32"/>
          <w:szCs w:val="32"/>
        </w:rPr>
        <w:t>项目</w:t>
      </w:r>
      <w:r>
        <w:rPr>
          <w:rFonts w:ascii="Times New Roman" w:hAnsi="Times New Roman" w:eastAsia="仿宋_GB2312"/>
          <w:color w:val="000000"/>
          <w:sz w:val="32"/>
          <w:szCs w:val="32"/>
        </w:rPr>
        <w:t>绩效自评综合得分为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100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分，自评结果为“</w:t>
      </w:r>
      <w:r>
        <w:rPr>
          <w:rFonts w:hint="eastAsia" w:ascii="Times New Roman" w:hAnsi="Times New Roman" w:eastAsia="仿宋_GB2312"/>
          <w:sz w:val="32"/>
          <w:szCs w:val="32"/>
        </w:rPr>
        <w:t>优</w:t>
      </w:r>
      <w:r>
        <w:rPr>
          <w:rFonts w:ascii="Times New Roman" w:hAnsi="Times New Roman" w:eastAsia="仿宋_GB2312"/>
          <w:color w:val="000000"/>
          <w:sz w:val="32"/>
          <w:szCs w:val="32"/>
        </w:rPr>
        <w:t>”。</w:t>
      </w:r>
    </w:p>
    <w:p>
      <w:p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三、指标分析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3</w:t>
      </w:r>
      <w:r>
        <w:rPr>
          <w:rFonts w:ascii="Times New Roman" w:hAnsi="Times New Roman" w:eastAsia="仿宋_GB2312"/>
          <w:color w:val="000000"/>
          <w:sz w:val="32"/>
          <w:szCs w:val="32"/>
        </w:rPr>
        <w:t>年度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购买社区基本公共养老服务</w:t>
      </w:r>
      <w:r>
        <w:rPr>
          <w:rFonts w:ascii="Times New Roman" w:hAnsi="Times New Roman" w:eastAsia="仿宋_GB2312"/>
          <w:sz w:val="32"/>
          <w:szCs w:val="32"/>
        </w:rPr>
        <w:t>项目</w:t>
      </w:r>
      <w:r>
        <w:rPr>
          <w:rFonts w:ascii="Times New Roman" w:hAnsi="Times New Roman" w:eastAsia="仿宋_GB2312"/>
          <w:color w:val="000000"/>
          <w:sz w:val="32"/>
          <w:szCs w:val="32"/>
        </w:rPr>
        <w:t>绩效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指标体系设置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预算执行率和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3</w:t>
      </w:r>
      <w:r>
        <w:rPr>
          <w:rFonts w:ascii="Times New Roman" w:hAnsi="Times New Roman" w:eastAsia="仿宋_GB2312"/>
          <w:color w:val="000000"/>
          <w:sz w:val="32"/>
          <w:szCs w:val="32"/>
        </w:rPr>
        <w:t>个一级指标，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7</w:t>
      </w:r>
      <w:r>
        <w:rPr>
          <w:rFonts w:ascii="Times New Roman" w:hAnsi="Times New Roman" w:eastAsia="仿宋_GB2312"/>
          <w:color w:val="000000"/>
          <w:sz w:val="32"/>
          <w:szCs w:val="32"/>
        </w:rPr>
        <w:t>个二级指标，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7</w:t>
      </w:r>
      <w:r>
        <w:rPr>
          <w:rFonts w:ascii="Times New Roman" w:hAnsi="Times New Roman" w:eastAsia="仿宋_GB2312"/>
          <w:color w:val="000000"/>
          <w:sz w:val="32"/>
          <w:szCs w:val="32"/>
        </w:rPr>
        <w:t>个三级指标，各项指标评分情况分析如下：</w:t>
      </w:r>
    </w:p>
    <w:p>
      <w:pPr>
        <w:spacing w:line="592" w:lineRule="exact"/>
        <w:ind w:firstLine="643" w:firstLineChars="200"/>
        <w:rPr>
          <w:rFonts w:ascii="Times New Roman" w:hAnsi="Times New Roman" w:eastAsia="楷体_GB2312"/>
          <w:b/>
          <w:bCs/>
          <w:sz w:val="32"/>
        </w:rPr>
      </w:pPr>
      <w:r>
        <w:rPr>
          <w:rFonts w:ascii="Times New Roman" w:hAnsi="Times New Roman" w:eastAsia="楷体_GB2312"/>
          <w:b/>
          <w:bCs/>
          <w:sz w:val="32"/>
        </w:rPr>
        <w:t>（一）预算执行率（满分10分，实得</w:t>
      </w:r>
      <w:r>
        <w:rPr>
          <w:rFonts w:hint="eastAsia" w:ascii="Times New Roman" w:hAnsi="Times New Roman" w:eastAsia="楷体_GB2312"/>
          <w:b/>
          <w:bCs/>
          <w:sz w:val="32"/>
          <w:lang w:val="en-US" w:eastAsia="zh-CN"/>
        </w:rPr>
        <w:t>10</w:t>
      </w:r>
      <w:r>
        <w:rPr>
          <w:rFonts w:ascii="Times New Roman" w:hAnsi="Times New Roman" w:eastAsia="楷体_GB2312"/>
          <w:b/>
          <w:bCs/>
          <w:sz w:val="32"/>
        </w:rPr>
        <w:t>分）</w:t>
      </w:r>
    </w:p>
    <w:p>
      <w:pPr>
        <w:widowControl/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202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ascii="Times New Roman" w:hAnsi="Times New Roman" w:eastAsia="仿宋_GB2312"/>
          <w:color w:val="000000"/>
          <w:sz w:val="32"/>
          <w:szCs w:val="32"/>
        </w:rPr>
        <w:t>年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购买社区基本公共养老服务</w:t>
      </w:r>
      <w:r>
        <w:rPr>
          <w:rFonts w:ascii="Times New Roman" w:hAnsi="Times New Roman" w:eastAsia="仿宋_GB2312"/>
          <w:sz w:val="32"/>
          <w:szCs w:val="32"/>
        </w:rPr>
        <w:t>项目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年初预算115.5万元，</w:t>
      </w:r>
      <w:r>
        <w:rPr>
          <w:rFonts w:ascii="Times New Roman" w:hAnsi="Times New Roman" w:eastAsia="仿宋_GB2312"/>
          <w:color w:val="000000"/>
          <w:sz w:val="32"/>
          <w:szCs w:val="32"/>
        </w:rPr>
        <w:t>全年预算安排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115.5</w:t>
      </w:r>
      <w:r>
        <w:rPr>
          <w:rFonts w:ascii="Times New Roman" w:hAnsi="Times New Roman" w:eastAsia="仿宋_GB2312"/>
          <w:color w:val="000000"/>
          <w:sz w:val="32"/>
          <w:szCs w:val="32"/>
        </w:rPr>
        <w:t>万元，全年执行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115.5</w:t>
      </w:r>
      <w:r>
        <w:rPr>
          <w:rFonts w:ascii="Times New Roman" w:hAnsi="Times New Roman" w:eastAsia="仿宋_GB2312"/>
          <w:color w:val="000000"/>
          <w:sz w:val="32"/>
          <w:szCs w:val="32"/>
        </w:rPr>
        <w:t>万元，预算执行率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/>
          <w:color w:val="000000"/>
          <w:sz w:val="32"/>
          <w:szCs w:val="32"/>
        </w:rPr>
        <w:t>%，得分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>
      <w:pPr>
        <w:widowControl/>
        <w:spacing w:line="60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二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）产出指标（满分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50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50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1.数量指标（满分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sz w:val="32"/>
          <w:szCs w:val="32"/>
        </w:rPr>
        <w:t>分，</w:t>
      </w:r>
      <w:r>
        <w:rPr>
          <w:rFonts w:ascii="Times New Roman" w:hAnsi="Times New Roman" w:eastAsia="仿宋_GB2312"/>
          <w:color w:val="000000"/>
          <w:sz w:val="32"/>
          <w:szCs w:val="32"/>
        </w:rPr>
        <w:t>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年度设定的数量指标为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覆盖所有社区（68个社区）</w:t>
      </w:r>
      <w:r>
        <w:rPr>
          <w:rFonts w:ascii="Times New Roman" w:hAnsi="Times New Roman" w:eastAsia="仿宋_GB2312"/>
          <w:color w:val="000000"/>
          <w:sz w:val="32"/>
          <w:szCs w:val="32"/>
        </w:rPr>
        <w:t>；截至202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ascii="Times New Roman" w:hAnsi="Times New Roman" w:eastAsia="仿宋_GB2312"/>
          <w:color w:val="000000"/>
          <w:sz w:val="32"/>
          <w:szCs w:val="32"/>
        </w:rPr>
        <w:t>年底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全覆盖，</w:t>
      </w:r>
      <w:r>
        <w:rPr>
          <w:rFonts w:ascii="Times New Roman" w:hAnsi="Times New Roman" w:eastAsia="仿宋_GB2312"/>
          <w:color w:val="000000"/>
          <w:sz w:val="32"/>
          <w:szCs w:val="32"/>
        </w:rPr>
        <w:t>实际完成率为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100</w:t>
      </w:r>
      <w:r>
        <w:rPr>
          <w:rFonts w:ascii="Times New Roman" w:hAnsi="Times New Roman" w:eastAsia="仿宋_GB2312"/>
          <w:color w:val="000000"/>
          <w:sz w:val="32"/>
          <w:szCs w:val="32"/>
        </w:rPr>
        <w:t>%，得分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2.时效指标（满分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年度设定的时效指标为20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23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年12月前完成；实际完成情况为按时完成，得分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分。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3.质量指标（满分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年度设定的质量指标为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共享经济社会发展成果</w:t>
      </w:r>
      <w:r>
        <w:rPr>
          <w:rFonts w:ascii="Times New Roman" w:hAnsi="Times New Roman" w:eastAsia="仿宋_GB2312"/>
          <w:color w:val="000000"/>
          <w:sz w:val="32"/>
          <w:szCs w:val="32"/>
        </w:rPr>
        <w:t>；实际完成情况为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达成预期目标</w:t>
      </w:r>
      <w:r>
        <w:rPr>
          <w:rFonts w:ascii="Times New Roman" w:hAnsi="Times New Roman" w:eastAsia="仿宋_GB2312"/>
          <w:color w:val="000000"/>
          <w:sz w:val="32"/>
          <w:szCs w:val="32"/>
        </w:rPr>
        <w:t>，得分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20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4.成本指标（满分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  <w:r>
        <w:rPr>
          <w:rFonts w:ascii="Times New Roman" w:hAnsi="Times New Roman" w:eastAsia="仿宋_GB2312"/>
          <w:sz w:val="32"/>
          <w:szCs w:val="32"/>
        </w:rPr>
        <w:tab/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年度设定的成本指标为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项目总成本小于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或等于115.5</w:t>
      </w:r>
      <w:r>
        <w:rPr>
          <w:rFonts w:ascii="Times New Roman" w:hAnsi="Times New Roman" w:eastAsia="仿宋_GB2312"/>
          <w:color w:val="000000"/>
          <w:sz w:val="32"/>
          <w:szCs w:val="32"/>
        </w:rPr>
        <w:t>万元；实际完成情况为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项目总成本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等于115.5</w:t>
      </w:r>
      <w:r>
        <w:rPr>
          <w:rFonts w:ascii="Times New Roman" w:hAnsi="Times New Roman" w:eastAsia="仿宋_GB2312"/>
          <w:color w:val="000000"/>
          <w:sz w:val="32"/>
          <w:szCs w:val="32"/>
        </w:rPr>
        <w:t>万元</w:t>
      </w:r>
      <w:r>
        <w:rPr>
          <w:rFonts w:ascii="Times New Roman" w:hAnsi="Times New Roman" w:eastAsia="仿宋_GB2312"/>
          <w:b/>
          <w:color w:val="000000"/>
          <w:sz w:val="32"/>
          <w:szCs w:val="32"/>
        </w:rPr>
        <w:t>，</w:t>
      </w:r>
      <w:r>
        <w:rPr>
          <w:rFonts w:ascii="Times New Roman" w:hAnsi="Times New Roman" w:eastAsia="仿宋_GB2312"/>
          <w:color w:val="000000"/>
          <w:sz w:val="32"/>
          <w:szCs w:val="32"/>
        </w:rPr>
        <w:t>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>
      <w:pPr>
        <w:widowControl/>
        <w:spacing w:line="600" w:lineRule="exact"/>
        <w:ind w:right="-283"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三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）效益指标（满分30分，实得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30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分）</w:t>
      </w:r>
      <w:bookmarkStart w:id="0" w:name="_GoBack"/>
      <w:bookmarkEnd w:id="0"/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1.经济效益指标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：本指标不适用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2.</w:t>
      </w:r>
      <w:r>
        <w:rPr>
          <w:rFonts w:ascii="Times New Roman" w:hAnsi="Times New Roman" w:eastAsia="仿宋_GB2312"/>
          <w:color w:val="000000"/>
          <w:sz w:val="32"/>
          <w:szCs w:val="32"/>
        </w:rPr>
        <w:t>社会效益指标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：提高便民性服务质量的影响程度效果明显</w:t>
      </w:r>
      <w:r>
        <w:rPr>
          <w:rFonts w:ascii="Times New Roman" w:hAnsi="Times New Roman" w:eastAsia="仿宋_GB2312"/>
          <w:color w:val="000000"/>
          <w:sz w:val="32"/>
          <w:szCs w:val="32"/>
        </w:rPr>
        <w:t>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3.生态效益指标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：本指标不适用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4.可持续影响指标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：提高养老服务质量水平效果明显</w:t>
      </w:r>
      <w:r>
        <w:rPr>
          <w:rFonts w:ascii="Times New Roman" w:hAnsi="Times New Roman" w:eastAsia="仿宋_GB2312"/>
          <w:color w:val="000000"/>
          <w:sz w:val="32"/>
          <w:szCs w:val="32"/>
        </w:rPr>
        <w:t>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>
      <w:pPr>
        <w:spacing w:line="600" w:lineRule="exact"/>
        <w:ind w:right="-283" w:firstLine="643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四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满意度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指标（满分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满意度</w:t>
      </w:r>
      <w:r>
        <w:rPr>
          <w:rFonts w:ascii="Times New Roman" w:hAnsi="Times New Roman" w:eastAsia="仿宋_GB2312"/>
          <w:color w:val="000000"/>
          <w:sz w:val="32"/>
          <w:szCs w:val="32"/>
        </w:rPr>
        <w:t>指标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：群众满意度≥9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%</w:t>
      </w:r>
      <w:r>
        <w:rPr>
          <w:rFonts w:ascii="Times New Roman" w:hAnsi="Times New Roman" w:eastAsia="仿宋_GB2312"/>
          <w:color w:val="000000"/>
          <w:sz w:val="32"/>
          <w:szCs w:val="32"/>
        </w:rPr>
        <w:t>（满分</w:t>
      </w:r>
      <w:r>
        <w:rPr>
          <w:rFonts w:hint="eastAsia" w:eastAsia="仿宋_GB2312"/>
          <w:color w:val="000000"/>
          <w:sz w:val="32"/>
          <w:szCs w:val="32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四、存在问题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通过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发现，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2023</w:t>
      </w:r>
      <w:r>
        <w:rPr>
          <w:rFonts w:ascii="Times New Roman" w:hAnsi="Times New Roman" w:eastAsia="仿宋_GB2312"/>
          <w:color w:val="000000"/>
          <w:sz w:val="32"/>
          <w:szCs w:val="32"/>
        </w:rPr>
        <w:t>年度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购买社区基本公共养老服务</w:t>
      </w:r>
      <w:r>
        <w:rPr>
          <w:rFonts w:ascii="Times New Roman" w:hAnsi="Times New Roman" w:eastAsia="仿宋_GB2312"/>
          <w:color w:val="000000"/>
          <w:sz w:val="32"/>
          <w:szCs w:val="32"/>
        </w:rPr>
        <w:t>项目实施虽取得了一定的成效，但还存在一些问题和不足，主要表现在：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购买社区基本公共养老服务人员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流动大，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稳定性较差。</w:t>
      </w:r>
      <w:r>
        <w:rPr>
          <w:rFonts w:ascii="Times New Roman" w:hAnsi="Times New Roman" w:eastAsia="仿宋_GB2312"/>
          <w:color w:val="000000"/>
          <w:sz w:val="32"/>
          <w:szCs w:val="32"/>
        </w:rPr>
        <w:t>项目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服务人员兼任</w:t>
      </w:r>
      <w:r>
        <w:rPr>
          <w:rFonts w:ascii="Times New Roman" w:hAnsi="Times New Roman" w:eastAsia="仿宋_GB2312"/>
          <w:color w:val="000000"/>
          <w:sz w:val="32"/>
          <w:szCs w:val="32"/>
        </w:rPr>
        <w:t>较多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，影响社区基本公共养老服务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质量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。专业化程度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有局限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，服务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效果有限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，活动策划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有待创新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。</w:t>
      </w:r>
    </w:p>
    <w:p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五、意见和建议</w:t>
      </w:r>
    </w:p>
    <w:p>
      <w:pPr>
        <w:widowControl/>
        <w:spacing w:line="600" w:lineRule="exact"/>
        <w:ind w:firstLine="640" w:firstLineChars="200"/>
        <w:rPr>
          <w:rFonts w:ascii="仿宋_GB2312" w:eastAsia="仿宋_GB2312" w:cs="Times New Roman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为进一步提高专项资金使用效益，针对存在的问题，提出如下建议：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强化项目管理，制定标准化工作流程，提升养老服务质量水平。为项目工作人员开展专题培训，提升服务专业化程度。</w:t>
      </w:r>
    </w:p>
    <w:p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六、</w:t>
      </w:r>
      <w:r>
        <w:rPr>
          <w:rFonts w:hint="eastAsia" w:ascii="Times New Roman" w:hAnsi="Times New Roman" w:eastAsia="黑体"/>
          <w:color w:val="000000"/>
          <w:sz w:val="32"/>
          <w:szCs w:val="32"/>
        </w:rPr>
        <w:t>评价</w:t>
      </w:r>
      <w:r>
        <w:rPr>
          <w:rFonts w:ascii="Times New Roman" w:hAnsi="Times New Roman" w:eastAsia="黑体"/>
          <w:color w:val="000000"/>
          <w:sz w:val="32"/>
          <w:szCs w:val="32"/>
        </w:rPr>
        <w:t>依据</w:t>
      </w:r>
    </w:p>
    <w:p>
      <w:pPr>
        <w:widowControl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sz w:val="32"/>
          <w:szCs w:val="32"/>
        </w:rPr>
        <w:t>1.</w:t>
      </w:r>
      <w:r>
        <w:rPr>
          <w:rFonts w:hint="eastAsia" w:ascii="仿宋_GB2312" w:eastAsia="仿宋_GB2312"/>
          <w:sz w:val="32"/>
          <w:szCs w:val="32"/>
        </w:rPr>
        <w:t>《合肥市政府购买社区基本公共养老、青少年活动服务实施办法》（合民〔2017〕347号）</w:t>
      </w:r>
    </w:p>
    <w:p>
      <w:pPr>
        <w:widowControl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</w:t>
      </w:r>
      <w:r>
        <w:rPr>
          <w:rFonts w:ascii="Times New Roman" w:hAnsi="Times New Roman" w:eastAsia="仿宋_GB2312"/>
          <w:color w:val="000000"/>
          <w:sz w:val="32"/>
          <w:szCs w:val="32"/>
        </w:rPr>
        <w:t>项目支出绩效自评表</w:t>
      </w:r>
    </w:p>
    <w:p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七、附件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1.项目支出绩效自评表</w:t>
      </w:r>
    </w:p>
    <w:p>
      <w:pPr>
        <w:spacing w:line="600" w:lineRule="exact"/>
        <w:ind w:firstLine="420" w:firstLineChars="200"/>
      </w:pP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ind w:right="280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</w:t>
    </w:r>
    <w:r>
      <w:rPr>
        <w:rFonts w:ascii="宋体" w:hAnsi="宋体"/>
        <w:sz w:val="28"/>
        <w:szCs w:val="28"/>
      </w:rPr>
      <w:fldChar w:fldCharType="end"/>
    </w:r>
  </w:p>
  <w:p>
    <w:pPr>
      <w:pStyle w:val="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rPr>
        <w:rFonts w:ascii="宋体" w:hAnsi="宋体"/>
        <w:sz w:val="28"/>
        <w:szCs w:val="28"/>
      </w:rPr>
    </w:pPr>
    <w:r>
      <w:rPr>
        <w:rFonts w:hint="eastAsia" w:ascii="宋体" w:hAnsi="宋体"/>
        <w:sz w:val="28"/>
        <w:szCs w:val="28"/>
      </w:rPr>
      <w:t xml:space="preserve"> 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4 -</w:t>
    </w:r>
    <w:r>
      <w:rPr>
        <w:rFonts w:ascii="宋体" w:hAnsi="宋体"/>
        <w:sz w:val="28"/>
        <w:szCs w:val="28"/>
      </w:rPr>
      <w:fldChar w:fldCharType="end"/>
    </w:r>
  </w:p>
  <w:p>
    <w:pPr>
      <w:pStyle w:val="8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E4Mjk5NzRlYTZlZGFhMDFkMzljYTI2YmZkMjA0NzIifQ=="/>
  </w:docVars>
  <w:rsids>
    <w:rsidRoot w:val="00192156"/>
    <w:rsid w:val="0000272A"/>
    <w:rsid w:val="000074DB"/>
    <w:rsid w:val="000101D3"/>
    <w:rsid w:val="000215E7"/>
    <w:rsid w:val="00024B78"/>
    <w:rsid w:val="000333B7"/>
    <w:rsid w:val="000369D0"/>
    <w:rsid w:val="00045A25"/>
    <w:rsid w:val="000466BE"/>
    <w:rsid w:val="00050B99"/>
    <w:rsid w:val="000521A2"/>
    <w:rsid w:val="00060E82"/>
    <w:rsid w:val="000618D5"/>
    <w:rsid w:val="00071A73"/>
    <w:rsid w:val="00087AD9"/>
    <w:rsid w:val="000921B9"/>
    <w:rsid w:val="00094DDF"/>
    <w:rsid w:val="00096024"/>
    <w:rsid w:val="00096BEA"/>
    <w:rsid w:val="000A060D"/>
    <w:rsid w:val="000A0BD2"/>
    <w:rsid w:val="000A2B01"/>
    <w:rsid w:val="000A3270"/>
    <w:rsid w:val="000B05BB"/>
    <w:rsid w:val="000B24DC"/>
    <w:rsid w:val="000C07BA"/>
    <w:rsid w:val="000C3815"/>
    <w:rsid w:val="000C3EFC"/>
    <w:rsid w:val="000C6717"/>
    <w:rsid w:val="000D56B4"/>
    <w:rsid w:val="000E18F6"/>
    <w:rsid w:val="000F77CE"/>
    <w:rsid w:val="001004CC"/>
    <w:rsid w:val="00100BCA"/>
    <w:rsid w:val="001018B2"/>
    <w:rsid w:val="00110A25"/>
    <w:rsid w:val="00111B1D"/>
    <w:rsid w:val="00125A14"/>
    <w:rsid w:val="00130D97"/>
    <w:rsid w:val="00136701"/>
    <w:rsid w:val="00136886"/>
    <w:rsid w:val="001415D0"/>
    <w:rsid w:val="00142159"/>
    <w:rsid w:val="00150D36"/>
    <w:rsid w:val="001536B6"/>
    <w:rsid w:val="001620B3"/>
    <w:rsid w:val="00165688"/>
    <w:rsid w:val="00170D4C"/>
    <w:rsid w:val="001734CA"/>
    <w:rsid w:val="00174CDA"/>
    <w:rsid w:val="0017600E"/>
    <w:rsid w:val="00181564"/>
    <w:rsid w:val="00181FC4"/>
    <w:rsid w:val="00184AD9"/>
    <w:rsid w:val="0019017C"/>
    <w:rsid w:val="00191913"/>
    <w:rsid w:val="00191969"/>
    <w:rsid w:val="00192156"/>
    <w:rsid w:val="00192ACC"/>
    <w:rsid w:val="001940C5"/>
    <w:rsid w:val="001A0A5F"/>
    <w:rsid w:val="001A0D99"/>
    <w:rsid w:val="001A3CC7"/>
    <w:rsid w:val="001A58CB"/>
    <w:rsid w:val="001A5C8B"/>
    <w:rsid w:val="001A694B"/>
    <w:rsid w:val="001C4318"/>
    <w:rsid w:val="001D1E4C"/>
    <w:rsid w:val="001D3226"/>
    <w:rsid w:val="001D4994"/>
    <w:rsid w:val="001D5615"/>
    <w:rsid w:val="001D6B55"/>
    <w:rsid w:val="001E02D9"/>
    <w:rsid w:val="001F1D49"/>
    <w:rsid w:val="001F43A9"/>
    <w:rsid w:val="00204E47"/>
    <w:rsid w:val="002124CD"/>
    <w:rsid w:val="00220B48"/>
    <w:rsid w:val="00225F36"/>
    <w:rsid w:val="00234311"/>
    <w:rsid w:val="00235D77"/>
    <w:rsid w:val="002366F3"/>
    <w:rsid w:val="00237881"/>
    <w:rsid w:val="002422EF"/>
    <w:rsid w:val="00242E8D"/>
    <w:rsid w:val="002508AE"/>
    <w:rsid w:val="002604CF"/>
    <w:rsid w:val="00261501"/>
    <w:rsid w:val="002744D0"/>
    <w:rsid w:val="0029361A"/>
    <w:rsid w:val="002A178C"/>
    <w:rsid w:val="002A2144"/>
    <w:rsid w:val="002B369A"/>
    <w:rsid w:val="002B4F16"/>
    <w:rsid w:val="002C668E"/>
    <w:rsid w:val="002C7793"/>
    <w:rsid w:val="002D275C"/>
    <w:rsid w:val="002D4264"/>
    <w:rsid w:val="002D42FC"/>
    <w:rsid w:val="002D706D"/>
    <w:rsid w:val="002E0890"/>
    <w:rsid w:val="002E0C00"/>
    <w:rsid w:val="002E385F"/>
    <w:rsid w:val="002E5523"/>
    <w:rsid w:val="002F127F"/>
    <w:rsid w:val="003035A5"/>
    <w:rsid w:val="00312D71"/>
    <w:rsid w:val="00313C97"/>
    <w:rsid w:val="003146B2"/>
    <w:rsid w:val="003156F3"/>
    <w:rsid w:val="00315762"/>
    <w:rsid w:val="00320D45"/>
    <w:rsid w:val="00340B74"/>
    <w:rsid w:val="003531EE"/>
    <w:rsid w:val="00361095"/>
    <w:rsid w:val="00363B11"/>
    <w:rsid w:val="003675A0"/>
    <w:rsid w:val="003678D7"/>
    <w:rsid w:val="00371894"/>
    <w:rsid w:val="00371DFA"/>
    <w:rsid w:val="00372401"/>
    <w:rsid w:val="00380174"/>
    <w:rsid w:val="003856EB"/>
    <w:rsid w:val="00387B35"/>
    <w:rsid w:val="003901E3"/>
    <w:rsid w:val="00392656"/>
    <w:rsid w:val="003A49CC"/>
    <w:rsid w:val="003B02B9"/>
    <w:rsid w:val="003B5B2B"/>
    <w:rsid w:val="003B6E6D"/>
    <w:rsid w:val="003B756F"/>
    <w:rsid w:val="003C18CB"/>
    <w:rsid w:val="003C5226"/>
    <w:rsid w:val="003C6FDE"/>
    <w:rsid w:val="003D2AE8"/>
    <w:rsid w:val="003D2CB7"/>
    <w:rsid w:val="003D485F"/>
    <w:rsid w:val="003D4A34"/>
    <w:rsid w:val="003E0F29"/>
    <w:rsid w:val="003E4174"/>
    <w:rsid w:val="003F4B38"/>
    <w:rsid w:val="003F6BFC"/>
    <w:rsid w:val="00404086"/>
    <w:rsid w:val="004076F9"/>
    <w:rsid w:val="00414837"/>
    <w:rsid w:val="004174E4"/>
    <w:rsid w:val="00424B8B"/>
    <w:rsid w:val="00435926"/>
    <w:rsid w:val="004359DB"/>
    <w:rsid w:val="00440DEA"/>
    <w:rsid w:val="00440F97"/>
    <w:rsid w:val="004419E1"/>
    <w:rsid w:val="0044342B"/>
    <w:rsid w:val="004454AB"/>
    <w:rsid w:val="00446658"/>
    <w:rsid w:val="00447963"/>
    <w:rsid w:val="00451915"/>
    <w:rsid w:val="0045354D"/>
    <w:rsid w:val="00454634"/>
    <w:rsid w:val="00454DAA"/>
    <w:rsid w:val="00472677"/>
    <w:rsid w:val="00485168"/>
    <w:rsid w:val="004856D4"/>
    <w:rsid w:val="00495C77"/>
    <w:rsid w:val="004973DF"/>
    <w:rsid w:val="004A0BD6"/>
    <w:rsid w:val="004A1978"/>
    <w:rsid w:val="004A4078"/>
    <w:rsid w:val="004A4AF4"/>
    <w:rsid w:val="004A7640"/>
    <w:rsid w:val="004B1709"/>
    <w:rsid w:val="004B4FEE"/>
    <w:rsid w:val="004B5493"/>
    <w:rsid w:val="004C3A42"/>
    <w:rsid w:val="004D1ABC"/>
    <w:rsid w:val="004D26B9"/>
    <w:rsid w:val="004D40A5"/>
    <w:rsid w:val="004D6527"/>
    <w:rsid w:val="004E1C52"/>
    <w:rsid w:val="004E4A47"/>
    <w:rsid w:val="004E4C61"/>
    <w:rsid w:val="004F4190"/>
    <w:rsid w:val="0051355C"/>
    <w:rsid w:val="00515190"/>
    <w:rsid w:val="005171A0"/>
    <w:rsid w:val="00522049"/>
    <w:rsid w:val="005345A9"/>
    <w:rsid w:val="00535F35"/>
    <w:rsid w:val="005442AC"/>
    <w:rsid w:val="00553264"/>
    <w:rsid w:val="00557D02"/>
    <w:rsid w:val="00560675"/>
    <w:rsid w:val="00560F97"/>
    <w:rsid w:val="00564E0E"/>
    <w:rsid w:val="00570AB0"/>
    <w:rsid w:val="00571627"/>
    <w:rsid w:val="005772D9"/>
    <w:rsid w:val="005848DF"/>
    <w:rsid w:val="0058504B"/>
    <w:rsid w:val="00585324"/>
    <w:rsid w:val="00594322"/>
    <w:rsid w:val="005968DC"/>
    <w:rsid w:val="00597164"/>
    <w:rsid w:val="005A1497"/>
    <w:rsid w:val="005A3389"/>
    <w:rsid w:val="005A3705"/>
    <w:rsid w:val="005B31B8"/>
    <w:rsid w:val="005B6FBE"/>
    <w:rsid w:val="005C40B9"/>
    <w:rsid w:val="005C57DA"/>
    <w:rsid w:val="005D0437"/>
    <w:rsid w:val="005D2B08"/>
    <w:rsid w:val="005D40C0"/>
    <w:rsid w:val="005D654E"/>
    <w:rsid w:val="005D6859"/>
    <w:rsid w:val="005D68D6"/>
    <w:rsid w:val="005E125C"/>
    <w:rsid w:val="005E4262"/>
    <w:rsid w:val="005E55E1"/>
    <w:rsid w:val="005F3419"/>
    <w:rsid w:val="005F3CBA"/>
    <w:rsid w:val="005F5137"/>
    <w:rsid w:val="006355FE"/>
    <w:rsid w:val="00662F34"/>
    <w:rsid w:val="00663774"/>
    <w:rsid w:val="00677348"/>
    <w:rsid w:val="00677646"/>
    <w:rsid w:val="00677834"/>
    <w:rsid w:val="006831EE"/>
    <w:rsid w:val="00685395"/>
    <w:rsid w:val="006948E0"/>
    <w:rsid w:val="006965E7"/>
    <w:rsid w:val="00697520"/>
    <w:rsid w:val="006A14C4"/>
    <w:rsid w:val="006A3FD5"/>
    <w:rsid w:val="006A4236"/>
    <w:rsid w:val="006A45AC"/>
    <w:rsid w:val="006B3063"/>
    <w:rsid w:val="006B46ED"/>
    <w:rsid w:val="006B79CA"/>
    <w:rsid w:val="006B7B07"/>
    <w:rsid w:val="006C0B18"/>
    <w:rsid w:val="006C19E0"/>
    <w:rsid w:val="006C3746"/>
    <w:rsid w:val="006C4310"/>
    <w:rsid w:val="006D502B"/>
    <w:rsid w:val="006D7757"/>
    <w:rsid w:val="006E02E2"/>
    <w:rsid w:val="006E038A"/>
    <w:rsid w:val="006E0AD0"/>
    <w:rsid w:val="006E26BC"/>
    <w:rsid w:val="006E4B18"/>
    <w:rsid w:val="006F22E5"/>
    <w:rsid w:val="006F51A9"/>
    <w:rsid w:val="006F58EC"/>
    <w:rsid w:val="006F695F"/>
    <w:rsid w:val="006F7CAD"/>
    <w:rsid w:val="007000CC"/>
    <w:rsid w:val="00701870"/>
    <w:rsid w:val="00722E7A"/>
    <w:rsid w:val="00735BB1"/>
    <w:rsid w:val="007402AB"/>
    <w:rsid w:val="0074108F"/>
    <w:rsid w:val="00752C25"/>
    <w:rsid w:val="00754E89"/>
    <w:rsid w:val="0075594B"/>
    <w:rsid w:val="00761524"/>
    <w:rsid w:val="00761D96"/>
    <w:rsid w:val="00761E26"/>
    <w:rsid w:val="00767873"/>
    <w:rsid w:val="00767FE9"/>
    <w:rsid w:val="00770481"/>
    <w:rsid w:val="007707B8"/>
    <w:rsid w:val="00776D2C"/>
    <w:rsid w:val="00780B10"/>
    <w:rsid w:val="0078356B"/>
    <w:rsid w:val="00784FB4"/>
    <w:rsid w:val="0079117B"/>
    <w:rsid w:val="0079327B"/>
    <w:rsid w:val="0079799B"/>
    <w:rsid w:val="007A06D9"/>
    <w:rsid w:val="007A090C"/>
    <w:rsid w:val="007A102C"/>
    <w:rsid w:val="007A32A4"/>
    <w:rsid w:val="007A5CDE"/>
    <w:rsid w:val="007A5E2F"/>
    <w:rsid w:val="007B23E7"/>
    <w:rsid w:val="007B4F28"/>
    <w:rsid w:val="007B718E"/>
    <w:rsid w:val="007B7D9A"/>
    <w:rsid w:val="007C2C6A"/>
    <w:rsid w:val="007C3293"/>
    <w:rsid w:val="007C414E"/>
    <w:rsid w:val="007C78D7"/>
    <w:rsid w:val="007D1928"/>
    <w:rsid w:val="007D54F8"/>
    <w:rsid w:val="007D78C2"/>
    <w:rsid w:val="007E2AE4"/>
    <w:rsid w:val="007E67F8"/>
    <w:rsid w:val="007E7F05"/>
    <w:rsid w:val="007F2134"/>
    <w:rsid w:val="007F2698"/>
    <w:rsid w:val="007F5F7E"/>
    <w:rsid w:val="0080213C"/>
    <w:rsid w:val="008031B2"/>
    <w:rsid w:val="00806E3D"/>
    <w:rsid w:val="00807923"/>
    <w:rsid w:val="008134B8"/>
    <w:rsid w:val="008177FE"/>
    <w:rsid w:val="008205EA"/>
    <w:rsid w:val="00820E94"/>
    <w:rsid w:val="00823B83"/>
    <w:rsid w:val="00824785"/>
    <w:rsid w:val="00832AB1"/>
    <w:rsid w:val="00835200"/>
    <w:rsid w:val="00835705"/>
    <w:rsid w:val="00842350"/>
    <w:rsid w:val="00845612"/>
    <w:rsid w:val="00853410"/>
    <w:rsid w:val="00856E3F"/>
    <w:rsid w:val="00857795"/>
    <w:rsid w:val="00867CFD"/>
    <w:rsid w:val="00873446"/>
    <w:rsid w:val="00876C69"/>
    <w:rsid w:val="00881C34"/>
    <w:rsid w:val="00881C4F"/>
    <w:rsid w:val="00890C89"/>
    <w:rsid w:val="008A0412"/>
    <w:rsid w:val="008A10FF"/>
    <w:rsid w:val="008A5F56"/>
    <w:rsid w:val="008B05BA"/>
    <w:rsid w:val="008B24DA"/>
    <w:rsid w:val="008B4131"/>
    <w:rsid w:val="008B4B5B"/>
    <w:rsid w:val="008C59DC"/>
    <w:rsid w:val="008D0D42"/>
    <w:rsid w:val="008D28BC"/>
    <w:rsid w:val="008D5B68"/>
    <w:rsid w:val="008D7C61"/>
    <w:rsid w:val="008E1FE0"/>
    <w:rsid w:val="008E495C"/>
    <w:rsid w:val="008F48A2"/>
    <w:rsid w:val="009065BE"/>
    <w:rsid w:val="00907379"/>
    <w:rsid w:val="00907AA8"/>
    <w:rsid w:val="00910BC3"/>
    <w:rsid w:val="0091165E"/>
    <w:rsid w:val="00911A94"/>
    <w:rsid w:val="009130CE"/>
    <w:rsid w:val="00924F87"/>
    <w:rsid w:val="00927967"/>
    <w:rsid w:val="00931F35"/>
    <w:rsid w:val="00932F06"/>
    <w:rsid w:val="00934E8E"/>
    <w:rsid w:val="00935C4C"/>
    <w:rsid w:val="00936045"/>
    <w:rsid w:val="0094070D"/>
    <w:rsid w:val="00944814"/>
    <w:rsid w:val="0094537C"/>
    <w:rsid w:val="00947C62"/>
    <w:rsid w:val="00951B0E"/>
    <w:rsid w:val="0095617D"/>
    <w:rsid w:val="00957C1C"/>
    <w:rsid w:val="00962DFE"/>
    <w:rsid w:val="0096782D"/>
    <w:rsid w:val="0097214E"/>
    <w:rsid w:val="00977AAC"/>
    <w:rsid w:val="00977C29"/>
    <w:rsid w:val="00983B74"/>
    <w:rsid w:val="009861E0"/>
    <w:rsid w:val="009969DA"/>
    <w:rsid w:val="009A3615"/>
    <w:rsid w:val="009A365D"/>
    <w:rsid w:val="009A77F1"/>
    <w:rsid w:val="009B1385"/>
    <w:rsid w:val="009B1866"/>
    <w:rsid w:val="009C2658"/>
    <w:rsid w:val="009C27D3"/>
    <w:rsid w:val="009C2F66"/>
    <w:rsid w:val="009C3BD3"/>
    <w:rsid w:val="009C7648"/>
    <w:rsid w:val="009D4128"/>
    <w:rsid w:val="009D76CB"/>
    <w:rsid w:val="009F2544"/>
    <w:rsid w:val="009F32A9"/>
    <w:rsid w:val="009F35ED"/>
    <w:rsid w:val="009F4C85"/>
    <w:rsid w:val="009F72A7"/>
    <w:rsid w:val="00A01EE0"/>
    <w:rsid w:val="00A051B8"/>
    <w:rsid w:val="00A06889"/>
    <w:rsid w:val="00A11B4B"/>
    <w:rsid w:val="00A11DD2"/>
    <w:rsid w:val="00A17ADE"/>
    <w:rsid w:val="00A20AEF"/>
    <w:rsid w:val="00A21E90"/>
    <w:rsid w:val="00A2377B"/>
    <w:rsid w:val="00A40563"/>
    <w:rsid w:val="00A42F87"/>
    <w:rsid w:val="00A47824"/>
    <w:rsid w:val="00A54D46"/>
    <w:rsid w:val="00A62D7B"/>
    <w:rsid w:val="00A652B8"/>
    <w:rsid w:val="00A65E7A"/>
    <w:rsid w:val="00A66374"/>
    <w:rsid w:val="00A72594"/>
    <w:rsid w:val="00A760E9"/>
    <w:rsid w:val="00A81393"/>
    <w:rsid w:val="00A843D0"/>
    <w:rsid w:val="00AB036A"/>
    <w:rsid w:val="00AB3763"/>
    <w:rsid w:val="00AD6367"/>
    <w:rsid w:val="00AE0561"/>
    <w:rsid w:val="00AE2143"/>
    <w:rsid w:val="00AE49CA"/>
    <w:rsid w:val="00AE6ADC"/>
    <w:rsid w:val="00AE7672"/>
    <w:rsid w:val="00AF7D29"/>
    <w:rsid w:val="00B042D2"/>
    <w:rsid w:val="00B052BA"/>
    <w:rsid w:val="00B14E30"/>
    <w:rsid w:val="00B161F6"/>
    <w:rsid w:val="00B21D9F"/>
    <w:rsid w:val="00B300D2"/>
    <w:rsid w:val="00B433D1"/>
    <w:rsid w:val="00B45278"/>
    <w:rsid w:val="00B47BE4"/>
    <w:rsid w:val="00B5185E"/>
    <w:rsid w:val="00B607B6"/>
    <w:rsid w:val="00B666F5"/>
    <w:rsid w:val="00B734FE"/>
    <w:rsid w:val="00B76AC0"/>
    <w:rsid w:val="00B8253B"/>
    <w:rsid w:val="00B8783F"/>
    <w:rsid w:val="00B87C65"/>
    <w:rsid w:val="00B91337"/>
    <w:rsid w:val="00B97927"/>
    <w:rsid w:val="00B97CEE"/>
    <w:rsid w:val="00BA5279"/>
    <w:rsid w:val="00BA76C2"/>
    <w:rsid w:val="00BB1245"/>
    <w:rsid w:val="00BB298E"/>
    <w:rsid w:val="00BB73C4"/>
    <w:rsid w:val="00BC24BB"/>
    <w:rsid w:val="00BC6CCB"/>
    <w:rsid w:val="00BC7AA8"/>
    <w:rsid w:val="00BD0690"/>
    <w:rsid w:val="00BD158F"/>
    <w:rsid w:val="00BD3423"/>
    <w:rsid w:val="00BD3BDF"/>
    <w:rsid w:val="00BD710A"/>
    <w:rsid w:val="00BE2410"/>
    <w:rsid w:val="00BE34E9"/>
    <w:rsid w:val="00BE483F"/>
    <w:rsid w:val="00BE61EF"/>
    <w:rsid w:val="00BE6DD0"/>
    <w:rsid w:val="00BE7D69"/>
    <w:rsid w:val="00BF5A3E"/>
    <w:rsid w:val="00C01D7E"/>
    <w:rsid w:val="00C026C4"/>
    <w:rsid w:val="00C04BD1"/>
    <w:rsid w:val="00C06DCA"/>
    <w:rsid w:val="00C1163A"/>
    <w:rsid w:val="00C14858"/>
    <w:rsid w:val="00C17E10"/>
    <w:rsid w:val="00C25820"/>
    <w:rsid w:val="00C36AEA"/>
    <w:rsid w:val="00C50A56"/>
    <w:rsid w:val="00C64664"/>
    <w:rsid w:val="00C666BF"/>
    <w:rsid w:val="00C67850"/>
    <w:rsid w:val="00C7077F"/>
    <w:rsid w:val="00C81FD2"/>
    <w:rsid w:val="00C8454B"/>
    <w:rsid w:val="00C87B9F"/>
    <w:rsid w:val="00C9306D"/>
    <w:rsid w:val="00CB0E8B"/>
    <w:rsid w:val="00CB0FE6"/>
    <w:rsid w:val="00CB2CB4"/>
    <w:rsid w:val="00CB7AAF"/>
    <w:rsid w:val="00CC3CB9"/>
    <w:rsid w:val="00CD48DE"/>
    <w:rsid w:val="00CE385C"/>
    <w:rsid w:val="00CE57DC"/>
    <w:rsid w:val="00CE72E4"/>
    <w:rsid w:val="00CF2D06"/>
    <w:rsid w:val="00CF414E"/>
    <w:rsid w:val="00CF645D"/>
    <w:rsid w:val="00D00BB2"/>
    <w:rsid w:val="00D01D8C"/>
    <w:rsid w:val="00D04DEB"/>
    <w:rsid w:val="00D058E5"/>
    <w:rsid w:val="00D1016B"/>
    <w:rsid w:val="00D131B6"/>
    <w:rsid w:val="00D13985"/>
    <w:rsid w:val="00D163A5"/>
    <w:rsid w:val="00D16413"/>
    <w:rsid w:val="00D204AE"/>
    <w:rsid w:val="00D24532"/>
    <w:rsid w:val="00D24BD9"/>
    <w:rsid w:val="00D355DA"/>
    <w:rsid w:val="00D41C31"/>
    <w:rsid w:val="00D4335B"/>
    <w:rsid w:val="00D462B4"/>
    <w:rsid w:val="00D468DD"/>
    <w:rsid w:val="00D471E3"/>
    <w:rsid w:val="00D47347"/>
    <w:rsid w:val="00D4775B"/>
    <w:rsid w:val="00D525E0"/>
    <w:rsid w:val="00D547F2"/>
    <w:rsid w:val="00D6134E"/>
    <w:rsid w:val="00D65E96"/>
    <w:rsid w:val="00D66E4B"/>
    <w:rsid w:val="00D71FA2"/>
    <w:rsid w:val="00D7444C"/>
    <w:rsid w:val="00D769DD"/>
    <w:rsid w:val="00D83E63"/>
    <w:rsid w:val="00D8556B"/>
    <w:rsid w:val="00D85EEF"/>
    <w:rsid w:val="00D86643"/>
    <w:rsid w:val="00D918E0"/>
    <w:rsid w:val="00D9492B"/>
    <w:rsid w:val="00D94C8F"/>
    <w:rsid w:val="00DA00B7"/>
    <w:rsid w:val="00DA0B12"/>
    <w:rsid w:val="00DA2DB4"/>
    <w:rsid w:val="00DA4411"/>
    <w:rsid w:val="00DA4CDC"/>
    <w:rsid w:val="00DA6DFB"/>
    <w:rsid w:val="00DB028F"/>
    <w:rsid w:val="00DC2FB6"/>
    <w:rsid w:val="00DD0035"/>
    <w:rsid w:val="00DD1FB9"/>
    <w:rsid w:val="00DD515E"/>
    <w:rsid w:val="00DE358A"/>
    <w:rsid w:val="00DF0606"/>
    <w:rsid w:val="00DF2A89"/>
    <w:rsid w:val="00DF42D7"/>
    <w:rsid w:val="00E03BEA"/>
    <w:rsid w:val="00E1797D"/>
    <w:rsid w:val="00E21407"/>
    <w:rsid w:val="00E216D3"/>
    <w:rsid w:val="00E21D70"/>
    <w:rsid w:val="00E24B64"/>
    <w:rsid w:val="00E360E7"/>
    <w:rsid w:val="00E3787E"/>
    <w:rsid w:val="00E43C5C"/>
    <w:rsid w:val="00E46AB6"/>
    <w:rsid w:val="00E54696"/>
    <w:rsid w:val="00E550F4"/>
    <w:rsid w:val="00E56F20"/>
    <w:rsid w:val="00E675BC"/>
    <w:rsid w:val="00E67788"/>
    <w:rsid w:val="00E72083"/>
    <w:rsid w:val="00E735AC"/>
    <w:rsid w:val="00E9257E"/>
    <w:rsid w:val="00E95998"/>
    <w:rsid w:val="00EA06A4"/>
    <w:rsid w:val="00EB77C9"/>
    <w:rsid w:val="00EC7E99"/>
    <w:rsid w:val="00ED5B06"/>
    <w:rsid w:val="00EE003E"/>
    <w:rsid w:val="00EE180A"/>
    <w:rsid w:val="00EE242C"/>
    <w:rsid w:val="00EE301D"/>
    <w:rsid w:val="00EE4D22"/>
    <w:rsid w:val="00EF78BC"/>
    <w:rsid w:val="00F031B3"/>
    <w:rsid w:val="00F068E0"/>
    <w:rsid w:val="00F11311"/>
    <w:rsid w:val="00F12AC9"/>
    <w:rsid w:val="00F13DB6"/>
    <w:rsid w:val="00F168DE"/>
    <w:rsid w:val="00F16DF3"/>
    <w:rsid w:val="00F27FBA"/>
    <w:rsid w:val="00F33D0D"/>
    <w:rsid w:val="00F42C4A"/>
    <w:rsid w:val="00F4495A"/>
    <w:rsid w:val="00F46070"/>
    <w:rsid w:val="00F47D94"/>
    <w:rsid w:val="00F53E48"/>
    <w:rsid w:val="00F61B60"/>
    <w:rsid w:val="00F62210"/>
    <w:rsid w:val="00F67DCF"/>
    <w:rsid w:val="00F835A3"/>
    <w:rsid w:val="00F8480F"/>
    <w:rsid w:val="00FA133C"/>
    <w:rsid w:val="00FA1C4B"/>
    <w:rsid w:val="00FB08F6"/>
    <w:rsid w:val="00FC23C7"/>
    <w:rsid w:val="00FC7560"/>
    <w:rsid w:val="00FD5131"/>
    <w:rsid w:val="00FD5EB9"/>
    <w:rsid w:val="00FE02A9"/>
    <w:rsid w:val="00FE2DAA"/>
    <w:rsid w:val="00FE4D3A"/>
    <w:rsid w:val="00FE721E"/>
    <w:rsid w:val="00FF13A9"/>
    <w:rsid w:val="00FF1A73"/>
    <w:rsid w:val="00FF4300"/>
    <w:rsid w:val="013F4189"/>
    <w:rsid w:val="1580063C"/>
    <w:rsid w:val="168E2A6B"/>
    <w:rsid w:val="16F716AA"/>
    <w:rsid w:val="1BD792BA"/>
    <w:rsid w:val="26FF0298"/>
    <w:rsid w:val="27FA6A3D"/>
    <w:rsid w:val="29111992"/>
    <w:rsid w:val="2F1B4A9E"/>
    <w:rsid w:val="2FC40521"/>
    <w:rsid w:val="2FFC4CEE"/>
    <w:rsid w:val="30684D7B"/>
    <w:rsid w:val="309A0DD7"/>
    <w:rsid w:val="39EC3A8B"/>
    <w:rsid w:val="3CFE57A8"/>
    <w:rsid w:val="3D17003D"/>
    <w:rsid w:val="3EB75BFF"/>
    <w:rsid w:val="41230975"/>
    <w:rsid w:val="41FF10FA"/>
    <w:rsid w:val="44C06BEE"/>
    <w:rsid w:val="48084C71"/>
    <w:rsid w:val="4C1005FF"/>
    <w:rsid w:val="4FC23864"/>
    <w:rsid w:val="54AB3C68"/>
    <w:rsid w:val="5A700A8F"/>
    <w:rsid w:val="5B2737C9"/>
    <w:rsid w:val="5C736320"/>
    <w:rsid w:val="5E8F794D"/>
    <w:rsid w:val="5F9C8719"/>
    <w:rsid w:val="5FF43F05"/>
    <w:rsid w:val="637673BB"/>
    <w:rsid w:val="64266808"/>
    <w:rsid w:val="653047E6"/>
    <w:rsid w:val="6D0D5EB2"/>
    <w:rsid w:val="6DF8D820"/>
    <w:rsid w:val="6FED328C"/>
    <w:rsid w:val="71373859"/>
    <w:rsid w:val="732453BC"/>
    <w:rsid w:val="779BD1C3"/>
    <w:rsid w:val="7BBCDE22"/>
    <w:rsid w:val="7F7D9BD7"/>
    <w:rsid w:val="7FFE9D0A"/>
    <w:rsid w:val="7FFFD1BD"/>
    <w:rsid w:val="9AFFE7AB"/>
    <w:rsid w:val="A3B3654A"/>
    <w:rsid w:val="AFFFF606"/>
    <w:rsid w:val="B7DF99F3"/>
    <w:rsid w:val="D3FF4F83"/>
    <w:rsid w:val="D6C765C5"/>
    <w:rsid w:val="DE7B9CEE"/>
    <w:rsid w:val="F35C17EF"/>
    <w:rsid w:val="F3DEDF06"/>
    <w:rsid w:val="F589066F"/>
    <w:rsid w:val="F5C7AFFE"/>
    <w:rsid w:val="F7CE0DBF"/>
    <w:rsid w:val="FD75544E"/>
    <w:rsid w:val="FDDA0E1A"/>
    <w:rsid w:val="FF5BABE2"/>
    <w:rsid w:val="FFC670E8"/>
    <w:rsid w:val="FFD6E599"/>
    <w:rsid w:val="FFDF5F2A"/>
    <w:rsid w:val="FFF31F54"/>
    <w:rsid w:val="FFFF6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17"/>
    <w:autoRedefine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 w:eastAsia="MS Gothic"/>
      <w:b/>
      <w:bCs/>
      <w:kern w:val="44"/>
      <w:sz w:val="44"/>
      <w:szCs w:val="44"/>
      <w:lang w:val="zh-CN" w:eastAsia="zh-CN"/>
    </w:rPr>
  </w:style>
  <w:style w:type="paragraph" w:styleId="4">
    <w:name w:val="heading 2"/>
    <w:basedOn w:val="1"/>
    <w:next w:val="1"/>
    <w:autoRedefine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4">
    <w:name w:val="Default Paragraph Font"/>
    <w:autoRedefine/>
    <w:semiHidden/>
    <w:unhideWhenUsed/>
    <w:qFormat/>
    <w:uiPriority w:val="1"/>
  </w:style>
  <w:style w:type="table" w:default="1" w:styleId="1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5">
    <w:name w:val="Normal Indent"/>
    <w:basedOn w:val="1"/>
    <w:link w:val="21"/>
    <w:autoRedefine/>
    <w:qFormat/>
    <w:uiPriority w:val="0"/>
    <w:pPr>
      <w:spacing w:line="560" w:lineRule="atLeast"/>
      <w:ind w:firstLine="567"/>
    </w:pPr>
    <w:rPr>
      <w:rFonts w:asciiTheme="minorHAnsi" w:hAnsiTheme="minorHAnsi" w:eastAsiaTheme="minorEastAsia" w:cstheme="minorBidi"/>
      <w:sz w:val="28"/>
    </w:rPr>
  </w:style>
  <w:style w:type="paragraph" w:styleId="6">
    <w:name w:val="Date"/>
    <w:basedOn w:val="1"/>
    <w:next w:val="1"/>
    <w:link w:val="26"/>
    <w:autoRedefine/>
    <w:qFormat/>
    <w:uiPriority w:val="0"/>
    <w:pPr>
      <w:ind w:left="100" w:leftChars="2500"/>
    </w:pPr>
    <w:rPr>
      <w:rFonts w:ascii="Times New Roman" w:hAnsi="Times New Roman"/>
      <w:szCs w:val="24"/>
    </w:rPr>
  </w:style>
  <w:style w:type="paragraph" w:styleId="7">
    <w:name w:val="Balloon Text"/>
    <w:basedOn w:val="1"/>
    <w:link w:val="25"/>
    <w:autoRedefine/>
    <w:unhideWhenUsed/>
    <w:qFormat/>
    <w:uiPriority w:val="99"/>
    <w:rPr>
      <w:rFonts w:ascii="Times New Roman" w:hAnsi="Times New Roman"/>
      <w:sz w:val="18"/>
      <w:szCs w:val="18"/>
      <w:lang w:val="zh-CN" w:eastAsia="zh-CN"/>
    </w:rPr>
  </w:style>
  <w:style w:type="paragraph" w:styleId="8">
    <w:name w:val="footer"/>
    <w:basedOn w:val="1"/>
    <w:link w:val="18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paragraph" w:styleId="9">
    <w:name w:val="header"/>
    <w:basedOn w:val="1"/>
    <w:link w:val="19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paragraph" w:styleId="10">
    <w:name w:val="toc 1"/>
    <w:basedOn w:val="1"/>
    <w:next w:val="1"/>
    <w:autoRedefine/>
    <w:qFormat/>
    <w:uiPriority w:val="0"/>
    <w:pPr>
      <w:tabs>
        <w:tab w:val="right" w:leader="dot" w:pos="9135"/>
      </w:tabs>
      <w:spacing w:line="480" w:lineRule="auto"/>
      <w:ind w:left="105" w:leftChars="50"/>
      <w:jc w:val="center"/>
    </w:pPr>
    <w:rPr>
      <w:rFonts w:ascii="黑体" w:hAnsi="宋体" w:eastAsia="黑体" w:cs="宋体"/>
      <w:color w:val="000000"/>
      <w:kern w:val="0"/>
      <w:sz w:val="32"/>
      <w:szCs w:val="32"/>
    </w:rPr>
  </w:style>
  <w:style w:type="paragraph" w:styleId="11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13">
    <w:name w:val="Table Grid"/>
    <w:basedOn w:val="12"/>
    <w:autoRedefine/>
    <w:qFormat/>
    <w:uiPriority w:val="59"/>
    <w:rPr>
      <w:rFonts w:ascii="Calibri" w:hAnsi="Calibri"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5">
    <w:name w:val="page number"/>
    <w:basedOn w:val="14"/>
    <w:autoRedefine/>
    <w:qFormat/>
    <w:uiPriority w:val="0"/>
  </w:style>
  <w:style w:type="character" w:styleId="16">
    <w:name w:val="Hyperlink"/>
    <w:autoRedefine/>
    <w:qFormat/>
    <w:uiPriority w:val="0"/>
    <w:rPr>
      <w:color w:val="0000FF"/>
      <w:u w:val="single"/>
    </w:rPr>
  </w:style>
  <w:style w:type="character" w:customStyle="1" w:styleId="17">
    <w:name w:val="标题 1 Char"/>
    <w:basedOn w:val="14"/>
    <w:link w:val="3"/>
    <w:autoRedefine/>
    <w:qFormat/>
    <w:uiPriority w:val="0"/>
    <w:rPr>
      <w:rFonts w:ascii="Times New Roman" w:hAnsi="Times New Roman" w:eastAsia="MS Gothic" w:cs="Times New Roman"/>
      <w:b/>
      <w:bCs/>
      <w:kern w:val="44"/>
      <w:sz w:val="44"/>
      <w:szCs w:val="44"/>
      <w:lang w:val="zh-CN" w:eastAsia="zh-CN"/>
    </w:rPr>
  </w:style>
  <w:style w:type="character" w:customStyle="1" w:styleId="18">
    <w:name w:val="页脚 Char"/>
    <w:basedOn w:val="14"/>
    <w:link w:val="8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9">
    <w:name w:val="页眉 Char"/>
    <w:basedOn w:val="14"/>
    <w:link w:val="9"/>
    <w:autoRedefine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0">
    <w:name w:val="页脚 Char Char"/>
    <w:autoRedefine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正文缩进 Char"/>
    <w:link w:val="5"/>
    <w:autoRedefine/>
    <w:qFormat/>
    <w:uiPriority w:val="0"/>
    <w:rPr>
      <w:sz w:val="28"/>
    </w:rPr>
  </w:style>
  <w:style w:type="character" w:customStyle="1" w:styleId="22">
    <w:name w:val="正文啊 Char Char"/>
    <w:link w:val="23"/>
    <w:autoRedefine/>
    <w:qFormat/>
    <w:uiPriority w:val="0"/>
    <w:rPr>
      <w:rFonts w:ascii="仿宋_GB2312" w:hAnsi="宋体" w:eastAsia="仿宋_GB2312"/>
      <w:bCs/>
      <w:sz w:val="30"/>
      <w:szCs w:val="30"/>
    </w:rPr>
  </w:style>
  <w:style w:type="paragraph" w:customStyle="1" w:styleId="23">
    <w:name w:val="正文啊"/>
    <w:basedOn w:val="1"/>
    <w:link w:val="22"/>
    <w:autoRedefine/>
    <w:qFormat/>
    <w:uiPriority w:val="0"/>
    <w:pPr>
      <w:spacing w:line="560" w:lineRule="exact"/>
      <w:ind w:firstLine="600" w:firstLineChars="200"/>
    </w:pPr>
    <w:rPr>
      <w:rFonts w:ascii="仿宋_GB2312" w:hAnsi="宋体" w:eastAsia="仿宋_GB2312" w:cstheme="minorBidi"/>
      <w:bCs/>
      <w:sz w:val="30"/>
      <w:szCs w:val="30"/>
    </w:rPr>
  </w:style>
  <w:style w:type="paragraph" w:customStyle="1" w:styleId="24">
    <w:name w:val="Char"/>
    <w:basedOn w:val="1"/>
    <w:next w:val="1"/>
    <w:autoRedefine/>
    <w:qFormat/>
    <w:uiPriority w:val="0"/>
    <w:pPr>
      <w:widowControl/>
      <w:spacing w:line="360" w:lineRule="auto"/>
      <w:jc w:val="left"/>
    </w:pPr>
    <w:rPr>
      <w:rFonts w:ascii="Times New Roman" w:hAnsi="Times New Roman"/>
      <w:kern w:val="0"/>
      <w:szCs w:val="20"/>
      <w:lang w:eastAsia="en-US"/>
    </w:rPr>
  </w:style>
  <w:style w:type="character" w:customStyle="1" w:styleId="25">
    <w:name w:val="批注框文本 Char"/>
    <w:basedOn w:val="14"/>
    <w:link w:val="7"/>
    <w:autoRedefine/>
    <w:qFormat/>
    <w:uiPriority w:val="99"/>
    <w:rPr>
      <w:rFonts w:ascii="Times New Roman" w:hAnsi="Times New Roman" w:eastAsia="宋体" w:cs="Times New Roman"/>
      <w:sz w:val="18"/>
      <w:szCs w:val="18"/>
      <w:lang w:val="zh-CN" w:eastAsia="zh-CN"/>
    </w:rPr>
  </w:style>
  <w:style w:type="character" w:customStyle="1" w:styleId="26">
    <w:name w:val="日期 Char"/>
    <w:basedOn w:val="14"/>
    <w:link w:val="6"/>
    <w:autoRedefine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27">
    <w:name w:val="Default Paragraph Char Char Char Char"/>
    <w:basedOn w:val="1"/>
    <w:next w:val="1"/>
    <w:autoRedefine/>
    <w:qFormat/>
    <w:uiPriority w:val="0"/>
    <w:pPr>
      <w:widowControl/>
      <w:spacing w:line="360" w:lineRule="auto"/>
      <w:jc w:val="center"/>
    </w:pPr>
    <w:rPr>
      <w:rFonts w:ascii="Times New Roman" w:hAnsi="Times New Roman" w:eastAsia="方正小标宋简体"/>
      <w:kern w:val="0"/>
      <w:sz w:val="44"/>
      <w:szCs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22</Pages>
  <Words>5304</Words>
  <Characters>5654</Characters>
  <Lines>102</Lines>
  <Paragraphs>28</Paragraphs>
  <TotalTime>0</TotalTime>
  <ScaleCrop>false</ScaleCrop>
  <LinksUpToDate>false</LinksUpToDate>
  <CharactersWithSpaces>5862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2020-12-26T02:41:00Z</dcterms:created>
  <dc:creator>王焱</dc:creator>
  <cp:lastModifiedBy>X</cp:lastModifiedBy>
  <cp:lastPrinted>2022-12-06T16:18:00Z</cp:lastPrinted>
  <dcterms:modified xsi:type="dcterms:W3CDTF">2024-04-03T01:21:31Z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F11AD605B7434B0987F1077B1A913043_13</vt:lpwstr>
  </property>
</Properties>
</file>