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3</w:t>
      </w:r>
    </w:p>
    <w:p>
      <w:pPr>
        <w:spacing w:before="156" w:line="600" w:lineRule="exact"/>
        <w:ind w:right="119"/>
        <w:jc w:val="right"/>
        <w:rPr>
          <w:rFonts w:ascii="Times New Roman" w:hAnsi="Times New Roman" w:eastAsia="华文楷体"/>
          <w:bCs/>
          <w:sz w:val="18"/>
          <w:szCs w:val="18"/>
        </w:rPr>
      </w:pPr>
      <w:r>
        <w:rPr>
          <w:rFonts w:ascii="Times New Roman" w:hAnsi="Times New Roman"/>
          <w:bCs/>
          <w:sz w:val="18"/>
          <w:szCs w:val="18"/>
        </w:rPr>
        <w:t>项目序号</w:t>
      </w:r>
      <w:r>
        <w:rPr>
          <w:rFonts w:ascii="Times New Roman" w:hAnsi="Times New Roman" w:eastAsia="华文楷体"/>
          <w:bCs/>
          <w:sz w:val="18"/>
          <w:szCs w:val="18"/>
        </w:rPr>
        <w:t>：</w:t>
      </w: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jc w:val="center"/>
        <w:rPr>
          <w:rFonts w:ascii="Times New Roman" w:hAnsi="Times New Roman" w:eastAsia="黑体"/>
          <w:bCs/>
          <w:sz w:val="44"/>
        </w:rPr>
      </w:pPr>
    </w:p>
    <w:p>
      <w:pPr>
        <w:jc w:val="center"/>
        <w:rPr>
          <w:rFonts w:ascii="Times New Roman" w:hAnsi="Times New Roman" w:eastAsia="黑体"/>
          <w:bCs/>
          <w:sz w:val="44"/>
        </w:rPr>
      </w:pPr>
    </w:p>
    <w:p>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pPr>
        <w:spacing w:line="600" w:lineRule="exact"/>
        <w:jc w:val="center"/>
        <w:rPr>
          <w:rFonts w:ascii="Times New Roman" w:hAnsi="Times New Roman" w:eastAsia="方正小标宋简体"/>
          <w:bCs/>
          <w:sz w:val="32"/>
        </w:rPr>
      </w:pPr>
    </w:p>
    <w:p>
      <w:pPr>
        <w:jc w:val="center"/>
        <w:rPr>
          <w:rFonts w:ascii="Times New Roman" w:hAnsi="Times New Roman" w:eastAsia="楷体_GB2312"/>
          <w:b/>
          <w:bCs/>
          <w:sz w:val="32"/>
        </w:rPr>
      </w:pPr>
    </w:p>
    <w:p>
      <w:pPr>
        <w:spacing w:before="156" w:beforeLines="50" w:after="156" w:afterLines="50"/>
        <w:ind w:firstLine="614" w:firstLineChars="192"/>
        <w:rPr>
          <w:rFonts w:ascii="Times New Roman" w:hAnsi="Times New Roman" w:eastAsia="楷体_GB2312"/>
          <w:sz w:val="32"/>
        </w:rPr>
      </w:pPr>
    </w:p>
    <w:p>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r>
        <w:rPr>
          <w:rFonts w:hint="eastAsia" w:ascii="仿宋_GB2312" w:hAnsi="仿宋_GB2312" w:eastAsia="仿宋_GB2312" w:cs="仿宋_GB2312"/>
          <w:sz w:val="30"/>
          <w:szCs w:val="30"/>
          <w:u w:val="single"/>
          <w:lang w:eastAsia="zh-CN"/>
        </w:rPr>
        <w:t>临时救助</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hint="default" w:ascii="Times New Roman" w:hAnsi="Times New Roman" w:eastAsia="仿宋_GB2312"/>
          <w:sz w:val="30"/>
          <w:szCs w:val="30"/>
          <w:u w:val="single"/>
          <w:lang w:val="en-US" w:eastAsia="zh-CN"/>
        </w:rPr>
      </w:pPr>
      <w:r>
        <w:rPr>
          <w:rFonts w:ascii="Times New Roman" w:hAnsi="Times New Roman" w:eastAsia="楷体_GB2312"/>
          <w:sz w:val="32"/>
        </w:rPr>
        <w:t>项   目   单   位 ：</w:t>
      </w:r>
      <w:r>
        <w:rPr>
          <w:rFonts w:hint="eastAsia" w:ascii="仿宋_GB2312" w:hAnsi="仿宋_GB2312" w:eastAsia="仿宋_GB2312" w:cs="仿宋_GB2312"/>
          <w:sz w:val="30"/>
          <w:szCs w:val="30"/>
          <w:u w:val="single"/>
          <w:lang w:val="en-US" w:eastAsia="zh-CN"/>
        </w:rPr>
        <w:t xml:space="preserve">        </w:t>
      </w:r>
      <w:r>
        <w:rPr>
          <w:rFonts w:hint="eastAsia" w:ascii="仿宋_GB2312" w:hAnsi="仿宋_GB2312" w:eastAsia="仿宋_GB2312" w:cs="仿宋_GB2312"/>
          <w:sz w:val="30"/>
          <w:szCs w:val="30"/>
          <w:u w:val="single"/>
        </w:rPr>
        <w:t>瑶海区民政局</w:t>
      </w:r>
      <w:r>
        <w:rPr>
          <w:rFonts w:hint="eastAsia" w:ascii="仿宋_GB2312" w:hAnsi="仿宋_GB2312" w:eastAsia="仿宋_GB2312" w:cs="仿宋_GB2312"/>
          <w:sz w:val="30"/>
          <w:szCs w:val="30"/>
          <w:u w:val="single"/>
          <w:lang w:val="en-US" w:eastAsia="zh-CN"/>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rPr>
      </w:pPr>
    </w:p>
    <w:p>
      <w:pPr>
        <w:ind w:firstLine="614" w:firstLineChars="192"/>
        <w:jc w:val="center"/>
        <w:rPr>
          <w:rFonts w:ascii="Times New Roman" w:hAnsi="Times New Roman" w:eastAsia="楷体_GB2312"/>
          <w:sz w:val="32"/>
        </w:rPr>
      </w:pPr>
    </w:p>
    <w:p>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4</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ascii="Times New Roman" w:hAnsi="Times New Roman" w:eastAsia="方正小标宋简体"/>
          <w:bCs/>
          <w:sz w:val="44"/>
          <w:szCs w:val="24"/>
        </w:rPr>
        <w:t>202</w:t>
      </w:r>
      <w:r>
        <w:rPr>
          <w:rFonts w:hint="eastAsia" w:ascii="Times New Roman" w:hAnsi="Times New Roman" w:eastAsia="方正小标宋简体"/>
          <w:bCs/>
          <w:sz w:val="44"/>
          <w:szCs w:val="24"/>
          <w:lang w:val="en-US" w:eastAsia="zh-CN"/>
        </w:rPr>
        <w:t>3</w:t>
      </w:r>
      <w:bookmarkStart w:id="0" w:name="_GoBack"/>
      <w:bookmarkEnd w:id="0"/>
      <w:r>
        <w:rPr>
          <w:rFonts w:ascii="Times New Roman" w:hAnsi="Times New Roman" w:eastAsia="方正小标宋简体"/>
          <w:bCs/>
          <w:sz w:val="44"/>
          <w:szCs w:val="24"/>
        </w:rPr>
        <w:t>年</w:t>
      </w:r>
      <w:r>
        <w:rPr>
          <w:rFonts w:hint="eastAsia" w:ascii="Times New Roman" w:hAnsi="Times New Roman" w:eastAsia="方正小标宋简体"/>
          <w:bCs/>
          <w:sz w:val="44"/>
          <w:szCs w:val="24"/>
          <w:lang w:eastAsia="zh-CN"/>
        </w:rPr>
        <w:t>临时救助</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pPr>
        <w:spacing w:line="580" w:lineRule="exact"/>
        <w:jc w:val="center"/>
        <w:rPr>
          <w:rFonts w:ascii="Times New Roman" w:hAnsi="Times New Roman" w:eastAsia="仿宋_GB2312"/>
          <w:bCs/>
          <w:sz w:val="32"/>
          <w:szCs w:val="32"/>
        </w:rPr>
      </w:pPr>
    </w:p>
    <w:p>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pPr>
        <w:widowControl/>
        <w:spacing w:line="56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1.项目立项情况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临时救助制度是货国家对遭遇突发事件、意外伤害、重大疾病或者其他特殊原因导致基本生活困难的家庭或个人给予的应急性、过渡性的救助。2023年临时救助，立项常年项目。瑶海区民政局严格按照省、市相关财务管理规定使用资金。</w:t>
      </w:r>
    </w:p>
    <w:p>
      <w:pPr>
        <w:spacing w:line="560" w:lineRule="exact"/>
        <w:ind w:firstLine="646" w:firstLineChars="202"/>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2.项目执行情况</w:t>
      </w:r>
    </w:p>
    <w:p>
      <w:pPr>
        <w:widowControl/>
        <w:spacing w:line="560" w:lineRule="exact"/>
        <w:ind w:firstLine="640" w:firstLineChars="200"/>
        <w:rPr>
          <w:rFonts w:ascii="Times New Roman" w:hAnsi="Times New Roman" w:eastAsia="楷体_GB2312"/>
          <w:b/>
          <w:color w:val="000000"/>
          <w:sz w:val="32"/>
          <w:szCs w:val="32"/>
        </w:rPr>
      </w:pPr>
      <w:r>
        <w:rPr>
          <w:rFonts w:hint="eastAsia" w:ascii="仿宋" w:hAnsi="仿宋" w:eastAsia="仿宋"/>
          <w:sz w:val="32"/>
          <w:szCs w:val="32"/>
        </w:rPr>
        <w:t>区财政及时配套相关资金，专款专用、专项管理，资金100%到位，发放程序是补贴发放花名册在区民政局、区财政局两家盖章后，交给银行打卡发放，做到当月申请下月发放。</w:t>
      </w:r>
      <w:r>
        <w:rPr>
          <w:rFonts w:ascii="Times New Roman" w:hAnsi="Times New Roman" w:eastAsia="楷体_GB2312"/>
          <w:b/>
          <w:color w:val="000000"/>
          <w:sz w:val="32"/>
          <w:szCs w:val="32"/>
        </w:rPr>
        <w:t>（二）项目绩效目标</w:t>
      </w:r>
    </w:p>
    <w:p>
      <w:pPr>
        <w:widowControl/>
        <w:spacing w:line="56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1.项目年度总体目标</w:t>
      </w:r>
    </w:p>
    <w:p>
      <w:pPr>
        <w:spacing w:line="600" w:lineRule="exact"/>
        <w:ind w:firstLine="640" w:firstLineChars="200"/>
        <w:rPr>
          <w:rFonts w:ascii="Times New Roman" w:eastAsia="仿宋_GB2312"/>
          <w:color w:val="000000"/>
          <w:sz w:val="32"/>
          <w:szCs w:val="32"/>
        </w:rPr>
      </w:pPr>
      <w:r>
        <w:rPr>
          <w:rFonts w:hint="eastAsia" w:ascii="仿宋_GB2312" w:eastAsia="仿宋_GB2312"/>
          <w:sz w:val="32"/>
          <w:szCs w:val="32"/>
        </w:rPr>
        <w:t>进一步发挥社会救助托底线、救急难作用，解决城乡困难群众突发性、紧迫性、临时性生活困难</w:t>
      </w:r>
      <w:r>
        <w:rPr>
          <w:rFonts w:hint="eastAsia" w:ascii="Times New Roman" w:eastAsia="仿宋_GB2312"/>
          <w:color w:val="000000"/>
          <w:sz w:val="32"/>
          <w:szCs w:val="32"/>
        </w:rPr>
        <w:t>。</w:t>
      </w:r>
    </w:p>
    <w:p>
      <w:pPr>
        <w:widowControl/>
        <w:spacing w:line="56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2.总体目标完成情况</w:t>
      </w:r>
    </w:p>
    <w:p>
      <w:pPr>
        <w:widowControl/>
        <w:spacing w:line="56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lang w:eastAsia="zh-CN"/>
        </w:rPr>
        <w:t>年度设定绩效总体目标完成率</w:t>
      </w:r>
      <w:r>
        <w:rPr>
          <w:rFonts w:hint="eastAsia" w:ascii="仿宋_GB2312" w:hAnsi="仿宋_GB2312" w:eastAsia="仿宋_GB2312" w:cs="仿宋_GB2312"/>
          <w:snapToGrid w:val="0"/>
          <w:color w:val="000000"/>
          <w:sz w:val="32"/>
          <w:szCs w:val="32"/>
          <w:lang w:val="en-US" w:eastAsia="zh-CN"/>
        </w:rPr>
        <w:t>50.6%。全年预算83万元，截至12月，累计保障临时救助对象600人次，累计发放42万元，部分项目资金根据工作需要统筹使用。</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pPr>
        <w:widowControl/>
        <w:spacing w:line="56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lang w:eastAsia="zh-CN"/>
        </w:rPr>
        <w:t>202</w:t>
      </w:r>
      <w:r>
        <w:rPr>
          <w:rFonts w:hint="eastAsia" w:ascii="仿宋_GB2312" w:hAnsi="仿宋_GB2312" w:eastAsia="仿宋_GB2312" w:cs="仿宋_GB2312"/>
          <w:snapToGrid w:val="0"/>
          <w:color w:val="000000"/>
          <w:sz w:val="32"/>
          <w:szCs w:val="32"/>
          <w:lang w:val="en-US" w:eastAsia="zh-CN"/>
        </w:rPr>
        <w:t>3</w:t>
      </w:r>
      <w:r>
        <w:rPr>
          <w:rFonts w:hint="eastAsia" w:ascii="仿宋_GB2312" w:hAnsi="仿宋_GB2312" w:eastAsia="仿宋_GB2312" w:cs="仿宋_GB2312"/>
          <w:snapToGrid w:val="0"/>
          <w:color w:val="000000"/>
          <w:sz w:val="32"/>
          <w:szCs w:val="32"/>
          <w:lang w:eastAsia="zh-CN"/>
        </w:rPr>
        <w:t>年度严格执行《关于印发</w:t>
      </w:r>
      <w:r>
        <w:rPr>
          <w:rFonts w:hint="eastAsia" w:ascii="仿宋_GB2312" w:hAnsi="仿宋_GB2312" w:eastAsia="仿宋_GB2312" w:cs="仿宋_GB2312"/>
          <w:snapToGrid w:val="0"/>
          <w:color w:val="000000"/>
          <w:sz w:val="32"/>
          <w:szCs w:val="32"/>
          <w:lang w:val="en-US" w:eastAsia="zh-CN"/>
        </w:rPr>
        <w:t>&lt;</w:t>
      </w:r>
      <w:r>
        <w:rPr>
          <w:rFonts w:hint="eastAsia" w:ascii="仿宋_GB2312" w:hAnsi="仿宋_GB2312" w:eastAsia="仿宋_GB2312" w:cs="仿宋_GB2312"/>
          <w:snapToGrid w:val="0"/>
          <w:color w:val="000000"/>
          <w:sz w:val="32"/>
          <w:szCs w:val="32"/>
          <w:lang w:eastAsia="zh-CN"/>
        </w:rPr>
        <w:t>合肥市城乡居民临时救助实施细则</w:t>
      </w:r>
      <w:r>
        <w:rPr>
          <w:rFonts w:hint="eastAsia" w:ascii="仿宋_GB2312" w:hAnsi="仿宋_GB2312" w:eastAsia="仿宋_GB2312" w:cs="仿宋_GB2312"/>
          <w:snapToGrid w:val="0"/>
          <w:color w:val="000000"/>
          <w:sz w:val="32"/>
          <w:szCs w:val="32"/>
          <w:lang w:val="en-US" w:eastAsia="zh-CN"/>
        </w:rPr>
        <w:t>&gt;</w:t>
      </w:r>
      <w:r>
        <w:rPr>
          <w:rFonts w:hint="eastAsia" w:ascii="仿宋_GB2312" w:hAnsi="仿宋_GB2312" w:eastAsia="仿宋_GB2312" w:cs="仿宋_GB2312"/>
          <w:snapToGrid w:val="0"/>
          <w:color w:val="000000"/>
          <w:sz w:val="32"/>
          <w:szCs w:val="32"/>
          <w:lang w:eastAsia="zh-CN"/>
        </w:rPr>
        <w:t>的通知》（合民〔2022〕1号）文件规定救助标准，对辖区符合政策的救助对象应保尽保，应救尽救。实行按月社会化发放，保障救助对象基本生活</w:t>
      </w:r>
      <w:r>
        <w:rPr>
          <w:rFonts w:hint="eastAsia" w:ascii="仿宋_GB2312" w:hAnsi="仿宋_GB2312" w:eastAsia="仿宋_GB2312" w:cs="仿宋_GB2312"/>
          <w:snapToGrid w:val="0"/>
          <w:color w:val="000000"/>
          <w:sz w:val="32"/>
          <w:szCs w:val="32"/>
          <w:lang w:val="en-US" w:eastAsia="zh-CN"/>
        </w:rPr>
        <w:t>,</w:t>
      </w:r>
      <w:r>
        <w:rPr>
          <w:rFonts w:hint="eastAsia" w:ascii="仿宋_GB2312" w:eastAsia="仿宋_GB2312"/>
          <w:color w:val="000000"/>
          <w:sz w:val="32"/>
          <w:szCs w:val="32"/>
        </w:rPr>
        <w:t>着力缓解低收入家庭突发的临时困难</w:t>
      </w:r>
      <w:r>
        <w:rPr>
          <w:rFonts w:hint="eastAsia" w:ascii="仿宋_GB2312" w:hAnsi="仿宋_GB2312" w:eastAsia="仿宋_GB2312" w:cs="仿宋_GB2312"/>
          <w:snapToGrid w:val="0"/>
          <w:color w:val="000000"/>
          <w:sz w:val="32"/>
          <w:szCs w:val="32"/>
          <w:lang w:eastAsia="zh-CN"/>
        </w:rPr>
        <w:t>。已完成项目绩效目标，达到项目预期效果。</w:t>
      </w:r>
      <w:r>
        <w:rPr>
          <w:rFonts w:ascii="Times New Roman" w:eastAsia="仿宋_GB2312"/>
          <w:color w:val="000000"/>
          <w:sz w:val="32"/>
          <w:szCs w:val="32"/>
        </w:rPr>
        <w:t>具体包括</w:t>
      </w:r>
      <w:r>
        <w:rPr>
          <w:rFonts w:ascii="Times New Roman" w:hAnsi="Times New Roman" w:eastAsia="仿宋_GB2312"/>
          <w:color w:val="000000"/>
          <w:sz w:val="32"/>
          <w:szCs w:val="32"/>
        </w:rPr>
        <w:t>：一是</w:t>
      </w:r>
      <w:r>
        <w:rPr>
          <w:rFonts w:hint="eastAsia" w:ascii="Times New Roman" w:hAnsi="Times New Roman" w:eastAsia="仿宋_GB2312"/>
          <w:color w:val="000000"/>
          <w:sz w:val="32"/>
          <w:szCs w:val="32"/>
        </w:rPr>
        <w:t>政策执行度较高，每月资金按时发放</w:t>
      </w:r>
      <w:r>
        <w:rPr>
          <w:rFonts w:ascii="Times New Roman" w:hAnsi="Times New Roman" w:eastAsia="仿宋_GB2312"/>
          <w:color w:val="000000"/>
          <w:sz w:val="32"/>
          <w:szCs w:val="32"/>
        </w:rPr>
        <w:t>；二是</w:t>
      </w:r>
      <w:r>
        <w:rPr>
          <w:rFonts w:hint="eastAsia" w:ascii="Times New Roman" w:hAnsi="Times New Roman" w:eastAsia="仿宋_GB2312"/>
          <w:color w:val="000000"/>
          <w:sz w:val="32"/>
          <w:szCs w:val="32"/>
        </w:rPr>
        <w:t>政策掌握度提升，严格执行审核审批要求</w:t>
      </w:r>
      <w:r>
        <w:rPr>
          <w:rFonts w:ascii="Times New Roman" w:hAnsi="Times New Roman" w:eastAsia="仿宋_GB2312"/>
          <w:color w:val="000000"/>
          <w:sz w:val="32"/>
          <w:szCs w:val="32"/>
        </w:rPr>
        <w:t>；三是</w:t>
      </w:r>
      <w:r>
        <w:rPr>
          <w:rFonts w:hint="eastAsia" w:ascii="Times New Roman" w:hAnsi="Times New Roman" w:eastAsia="仿宋_GB2312"/>
          <w:color w:val="000000"/>
          <w:sz w:val="32"/>
          <w:szCs w:val="32"/>
        </w:rPr>
        <w:t>政策满意度增加，保障对象基本生活普遍改善</w:t>
      </w:r>
      <w:r>
        <w:rPr>
          <w:rFonts w:ascii="Times New Roman" w:hAnsi="Times New Roman" w:eastAsia="仿宋_GB2312"/>
          <w:color w:val="000000"/>
          <w:sz w:val="32"/>
          <w:szCs w:val="32"/>
        </w:rPr>
        <w:t>。</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pPr>
        <w:spacing w:line="600" w:lineRule="exact"/>
        <w:ind w:firstLine="640" w:firstLineChars="200"/>
        <w:rPr>
          <w:rFonts w:ascii="Times New Roman" w:eastAsia="仿宋_GB2312"/>
          <w:color w:val="000000"/>
          <w:sz w:val="32"/>
          <w:szCs w:val="32"/>
        </w:rPr>
      </w:pPr>
      <w:r>
        <w:rPr>
          <w:rFonts w:hint="eastAsia" w:ascii="仿宋_GB2312" w:hAnsi="仿宋_GB2312" w:eastAsia="仿宋_GB2312" w:cs="仿宋_GB2312"/>
          <w:snapToGrid w:val="0"/>
          <w:color w:val="000000"/>
          <w:sz w:val="32"/>
          <w:szCs w:val="32"/>
        </w:rPr>
        <w:t>经自评，202</w:t>
      </w:r>
      <w:r>
        <w:rPr>
          <w:rFonts w:hint="eastAsia" w:ascii="仿宋_GB2312" w:hAnsi="仿宋_GB2312" w:eastAsia="仿宋_GB2312" w:cs="仿宋_GB2312"/>
          <w:snapToGrid w:val="0"/>
          <w:color w:val="000000"/>
          <w:sz w:val="32"/>
          <w:szCs w:val="32"/>
          <w:lang w:val="en-US" w:eastAsia="zh-CN"/>
        </w:rPr>
        <w:t>3</w:t>
      </w:r>
      <w:r>
        <w:rPr>
          <w:rFonts w:hint="eastAsia" w:ascii="仿宋_GB2312" w:hAnsi="仿宋_GB2312" w:eastAsia="仿宋_GB2312" w:cs="仿宋_GB2312"/>
          <w:snapToGrid w:val="0"/>
          <w:color w:val="000000"/>
          <w:sz w:val="32"/>
          <w:szCs w:val="32"/>
        </w:rPr>
        <w:t>年度</w:t>
      </w:r>
      <w:r>
        <w:rPr>
          <w:rFonts w:hint="eastAsia" w:ascii="仿宋_GB2312" w:hAnsi="仿宋_GB2312" w:eastAsia="仿宋_GB2312" w:cs="仿宋_GB2312"/>
          <w:snapToGrid w:val="0"/>
          <w:color w:val="000000"/>
          <w:sz w:val="32"/>
          <w:szCs w:val="32"/>
          <w:lang w:eastAsia="zh-CN"/>
        </w:rPr>
        <w:t>临时救助</w:t>
      </w:r>
      <w:r>
        <w:rPr>
          <w:rFonts w:hint="eastAsia" w:ascii="仿宋_GB2312" w:hAnsi="仿宋_GB2312" w:eastAsia="仿宋_GB2312" w:cs="仿宋_GB2312"/>
          <w:snapToGrid w:val="0"/>
          <w:color w:val="000000"/>
          <w:sz w:val="32"/>
          <w:szCs w:val="32"/>
        </w:rPr>
        <w:t>项目绩效自评综合得分为</w:t>
      </w:r>
      <w:r>
        <w:rPr>
          <w:rFonts w:hint="eastAsia" w:ascii="仿宋_GB2312" w:hAnsi="仿宋_GB2312" w:eastAsia="仿宋_GB2312" w:cs="仿宋_GB2312"/>
          <w:snapToGrid w:val="0"/>
          <w:color w:val="000000"/>
          <w:sz w:val="32"/>
          <w:szCs w:val="32"/>
          <w:lang w:val="en-US" w:eastAsia="zh-CN"/>
        </w:rPr>
        <w:t>94.06</w:t>
      </w:r>
      <w:r>
        <w:rPr>
          <w:rFonts w:hint="eastAsia" w:ascii="仿宋_GB2312" w:hAnsi="仿宋_GB2312" w:eastAsia="仿宋_GB2312" w:cs="仿宋_GB2312"/>
          <w:snapToGrid w:val="0"/>
          <w:color w:val="000000"/>
          <w:sz w:val="32"/>
          <w:szCs w:val="32"/>
        </w:rPr>
        <w:t>分，自评结果为“</w:t>
      </w:r>
      <w:r>
        <w:rPr>
          <w:rFonts w:hint="eastAsia" w:ascii="仿宋_GB2312" w:hAnsi="仿宋_GB2312" w:eastAsia="仿宋_GB2312" w:cs="仿宋_GB2312"/>
          <w:snapToGrid w:val="0"/>
          <w:color w:val="000000"/>
          <w:sz w:val="32"/>
          <w:szCs w:val="32"/>
          <w:lang w:eastAsia="zh-CN"/>
        </w:rPr>
        <w:t>优</w:t>
      </w:r>
      <w:r>
        <w:rPr>
          <w:rFonts w:hint="eastAsia" w:ascii="仿宋_GB2312" w:hAnsi="仿宋_GB2312" w:eastAsia="仿宋_GB2312" w:cs="仿宋_GB2312"/>
          <w:snapToGrid w:val="0"/>
          <w:color w:val="000000"/>
          <w:sz w:val="32"/>
          <w:szCs w:val="32"/>
        </w:rPr>
        <w:t>”。</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2022年度</w:t>
      </w:r>
      <w:r>
        <w:rPr>
          <w:rFonts w:hint="eastAsia" w:ascii="仿宋_GB2312" w:hAnsi="仿宋_GB2312" w:eastAsia="仿宋_GB2312" w:cs="仿宋_GB2312"/>
          <w:snapToGrid w:val="0"/>
          <w:color w:val="000000"/>
          <w:sz w:val="32"/>
          <w:szCs w:val="32"/>
          <w:lang w:val="en-US" w:eastAsia="zh-CN"/>
        </w:rPr>
        <w:t>临时救助</w:t>
      </w:r>
      <w:r>
        <w:rPr>
          <w:rFonts w:hint="eastAsia" w:ascii="仿宋_GB2312" w:hAnsi="仿宋_GB2312" w:eastAsia="仿宋_GB2312" w:cs="仿宋_GB2312"/>
          <w:snapToGrid w:val="0"/>
          <w:color w:val="000000"/>
          <w:sz w:val="32"/>
          <w:szCs w:val="32"/>
        </w:rPr>
        <w:t>项目绩效自评指标体系共设置</w:t>
      </w:r>
      <w:r>
        <w:rPr>
          <w:rFonts w:hint="default" w:ascii="仿宋_GB2312" w:hAnsi="仿宋_GB2312" w:eastAsia="仿宋_GB2312" w:cs="仿宋_GB2312"/>
          <w:snapToGrid w:val="0"/>
          <w:color w:val="000000"/>
          <w:sz w:val="32"/>
          <w:szCs w:val="32"/>
          <w:lang w:eastAsia="zh-CN"/>
        </w:rPr>
        <w:t>3</w:t>
      </w:r>
      <w:r>
        <w:rPr>
          <w:rFonts w:hint="eastAsia" w:ascii="仿宋_GB2312" w:hAnsi="仿宋_GB2312" w:eastAsia="仿宋_GB2312" w:cs="仿宋_GB2312"/>
          <w:snapToGrid w:val="0"/>
          <w:color w:val="000000"/>
          <w:sz w:val="32"/>
          <w:szCs w:val="32"/>
        </w:rPr>
        <w:t>个一级指标，</w:t>
      </w:r>
      <w:r>
        <w:rPr>
          <w:rFonts w:hint="default" w:ascii="仿宋_GB2312" w:hAnsi="仿宋_GB2312" w:eastAsia="仿宋_GB2312" w:cs="仿宋_GB2312"/>
          <w:snapToGrid w:val="0"/>
          <w:color w:val="000000"/>
          <w:sz w:val="32"/>
          <w:szCs w:val="32"/>
          <w:lang w:eastAsia="zh-CN"/>
        </w:rPr>
        <w:t>9</w:t>
      </w:r>
      <w:r>
        <w:rPr>
          <w:rFonts w:hint="eastAsia" w:ascii="仿宋_GB2312" w:hAnsi="仿宋_GB2312" w:eastAsia="仿宋_GB2312" w:cs="仿宋_GB2312"/>
          <w:snapToGrid w:val="0"/>
          <w:color w:val="000000"/>
          <w:sz w:val="32"/>
          <w:szCs w:val="32"/>
        </w:rPr>
        <w:t>个二级指标，</w:t>
      </w:r>
      <w:r>
        <w:rPr>
          <w:rFonts w:hint="default" w:ascii="仿宋_GB2312" w:hAnsi="仿宋_GB2312" w:eastAsia="仿宋_GB2312" w:cs="仿宋_GB2312"/>
          <w:snapToGrid w:val="0"/>
          <w:color w:val="000000"/>
          <w:sz w:val="32"/>
          <w:szCs w:val="32"/>
          <w:lang w:eastAsia="zh-CN"/>
        </w:rPr>
        <w:t>9</w:t>
      </w:r>
      <w:r>
        <w:rPr>
          <w:rFonts w:hint="eastAsia" w:ascii="仿宋_GB2312" w:hAnsi="仿宋_GB2312" w:eastAsia="仿宋_GB2312" w:cs="仿宋_GB2312"/>
          <w:snapToGrid w:val="0"/>
          <w:color w:val="000000"/>
          <w:sz w:val="32"/>
          <w:szCs w:val="32"/>
        </w:rPr>
        <w:t>个三级指标，各项指标评分情况分析如下：</w:t>
      </w:r>
    </w:p>
    <w:p>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5.06</w:t>
      </w:r>
      <w:r>
        <w:rPr>
          <w:rFonts w:ascii="Times New Roman" w:hAnsi="Times New Roman" w:eastAsia="楷体_GB2312"/>
          <w:b/>
          <w:bCs/>
          <w:sz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202</w:t>
      </w:r>
      <w:r>
        <w:rPr>
          <w:rFonts w:hint="eastAsia" w:ascii="仿宋_GB2312" w:hAnsi="仿宋_GB2312" w:eastAsia="仿宋_GB2312" w:cs="仿宋_GB2312"/>
          <w:snapToGrid w:val="0"/>
          <w:color w:val="000000"/>
          <w:sz w:val="32"/>
          <w:szCs w:val="32"/>
          <w:lang w:val="en-US" w:eastAsia="zh-CN"/>
        </w:rPr>
        <w:t>2</w:t>
      </w:r>
      <w:r>
        <w:rPr>
          <w:rFonts w:hint="eastAsia" w:ascii="仿宋_GB2312" w:hAnsi="仿宋_GB2312" w:eastAsia="仿宋_GB2312" w:cs="仿宋_GB2312"/>
          <w:snapToGrid w:val="0"/>
          <w:color w:val="000000"/>
          <w:sz w:val="32"/>
          <w:szCs w:val="32"/>
        </w:rPr>
        <w:t>年</w:t>
      </w:r>
      <w:r>
        <w:rPr>
          <w:rFonts w:hint="eastAsia" w:ascii="仿宋_GB2312" w:hAnsi="仿宋_GB2312" w:eastAsia="仿宋_GB2312" w:cs="仿宋_GB2312"/>
          <w:snapToGrid w:val="0"/>
          <w:color w:val="000000"/>
          <w:sz w:val="32"/>
          <w:szCs w:val="32"/>
          <w:lang w:eastAsia="zh-CN"/>
        </w:rPr>
        <w:t>，临时救助项目</w:t>
      </w:r>
      <w:r>
        <w:rPr>
          <w:rFonts w:hint="eastAsia" w:ascii="仿宋_GB2312" w:hAnsi="仿宋_GB2312" w:eastAsia="仿宋_GB2312" w:cs="仿宋_GB2312"/>
          <w:snapToGrid w:val="0"/>
          <w:color w:val="000000"/>
          <w:sz w:val="32"/>
          <w:szCs w:val="32"/>
        </w:rPr>
        <w:t>全年预算安排</w:t>
      </w:r>
      <w:r>
        <w:rPr>
          <w:rFonts w:hint="eastAsia" w:ascii="仿宋_GB2312" w:hAnsi="仿宋_GB2312" w:eastAsia="仿宋_GB2312" w:cs="仿宋_GB2312"/>
          <w:snapToGrid w:val="0"/>
          <w:color w:val="000000"/>
          <w:sz w:val="32"/>
          <w:szCs w:val="32"/>
          <w:lang w:val="en-US" w:eastAsia="zh-CN"/>
        </w:rPr>
        <w:t>83</w:t>
      </w:r>
      <w:r>
        <w:rPr>
          <w:rFonts w:hint="eastAsia" w:ascii="仿宋_GB2312" w:hAnsi="仿宋_GB2312" w:eastAsia="仿宋_GB2312" w:cs="仿宋_GB2312"/>
          <w:snapToGrid w:val="0"/>
          <w:color w:val="000000"/>
          <w:sz w:val="32"/>
          <w:szCs w:val="32"/>
        </w:rPr>
        <w:t>万元，全年执行</w:t>
      </w:r>
      <w:r>
        <w:rPr>
          <w:rFonts w:hint="eastAsia" w:ascii="仿宋_GB2312" w:hAnsi="仿宋_GB2312" w:eastAsia="仿宋_GB2312" w:cs="仿宋_GB2312"/>
          <w:snapToGrid w:val="0"/>
          <w:color w:val="000000"/>
          <w:sz w:val="32"/>
          <w:szCs w:val="32"/>
          <w:lang w:val="en-US" w:eastAsia="zh-CN"/>
        </w:rPr>
        <w:t>42</w:t>
      </w:r>
      <w:r>
        <w:rPr>
          <w:rFonts w:hint="eastAsia" w:ascii="仿宋_GB2312" w:hAnsi="仿宋_GB2312" w:eastAsia="仿宋_GB2312" w:cs="仿宋_GB2312"/>
          <w:snapToGrid w:val="0"/>
          <w:color w:val="000000"/>
          <w:sz w:val="32"/>
          <w:szCs w:val="32"/>
        </w:rPr>
        <w:t>万元，预算执行率</w:t>
      </w:r>
      <w:r>
        <w:rPr>
          <w:rFonts w:hint="eastAsia" w:ascii="仿宋_GB2312" w:hAnsi="仿宋_GB2312" w:eastAsia="仿宋_GB2312" w:cs="仿宋_GB2312"/>
          <w:snapToGrid w:val="0"/>
          <w:color w:val="000000"/>
          <w:sz w:val="32"/>
          <w:szCs w:val="32"/>
          <w:lang w:val="en-US" w:eastAsia="zh-CN"/>
        </w:rPr>
        <w:t>50.6</w:t>
      </w:r>
      <w:r>
        <w:rPr>
          <w:rFonts w:hint="eastAsia" w:ascii="仿宋_GB2312" w:hAnsi="仿宋_GB2312" w:eastAsia="仿宋_GB2312" w:cs="仿宋_GB2312"/>
          <w:snapToGrid w:val="0"/>
          <w:color w:val="000000"/>
          <w:sz w:val="32"/>
          <w:szCs w:val="32"/>
        </w:rPr>
        <w:t>%，得分</w:t>
      </w:r>
      <w:r>
        <w:rPr>
          <w:rFonts w:hint="eastAsia" w:ascii="仿宋_GB2312" w:hAnsi="仿宋_GB2312" w:eastAsia="仿宋_GB2312" w:cs="仿宋_GB2312"/>
          <w:snapToGrid w:val="0"/>
          <w:color w:val="000000"/>
          <w:sz w:val="32"/>
          <w:szCs w:val="32"/>
          <w:lang w:val="en-US" w:eastAsia="zh-CN"/>
        </w:rPr>
        <w:t>5.06</w:t>
      </w:r>
      <w:r>
        <w:rPr>
          <w:rFonts w:hint="eastAsia" w:ascii="仿宋_GB2312" w:hAnsi="仿宋_GB2312" w:eastAsia="仿宋_GB2312" w:cs="仿宋_GB2312"/>
          <w:snapToGrid w:val="0"/>
          <w:color w:val="000000"/>
          <w:sz w:val="32"/>
          <w:szCs w:val="32"/>
        </w:rPr>
        <w:t>分。</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1.数量指标（满分</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分，实得</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年度设定的数量指标为</w:t>
      </w:r>
      <w:r>
        <w:rPr>
          <w:rFonts w:hint="eastAsia" w:ascii="仿宋_GB2312" w:hAnsi="仿宋_GB2312" w:eastAsia="仿宋_GB2312" w:cs="仿宋_GB2312"/>
          <w:snapToGrid w:val="0"/>
          <w:color w:val="000000"/>
          <w:sz w:val="32"/>
          <w:szCs w:val="32"/>
          <w:lang w:eastAsia="zh-CN"/>
        </w:rPr>
        <w:t>大于等于</w:t>
      </w:r>
      <w:r>
        <w:rPr>
          <w:rFonts w:hint="eastAsia" w:ascii="仿宋_GB2312" w:hAnsi="仿宋_GB2312" w:eastAsia="仿宋_GB2312" w:cs="仿宋_GB2312"/>
          <w:snapToGrid w:val="0"/>
          <w:color w:val="000000"/>
          <w:sz w:val="32"/>
          <w:szCs w:val="32"/>
          <w:lang w:val="en-US" w:eastAsia="zh-CN"/>
        </w:rPr>
        <w:t>610人，</w:t>
      </w:r>
      <w:r>
        <w:rPr>
          <w:rFonts w:hint="eastAsia" w:ascii="仿宋_GB2312" w:hAnsi="仿宋_GB2312" w:eastAsia="仿宋_GB2312" w:cs="仿宋_GB2312"/>
          <w:snapToGrid w:val="0"/>
          <w:color w:val="000000"/>
          <w:sz w:val="32"/>
          <w:szCs w:val="32"/>
        </w:rPr>
        <w:t>202</w:t>
      </w:r>
      <w:r>
        <w:rPr>
          <w:rFonts w:hint="eastAsia" w:ascii="仿宋_GB2312" w:hAnsi="仿宋_GB2312" w:eastAsia="仿宋_GB2312" w:cs="仿宋_GB2312"/>
          <w:snapToGrid w:val="0"/>
          <w:color w:val="000000"/>
          <w:sz w:val="32"/>
          <w:szCs w:val="32"/>
          <w:lang w:val="en-US" w:eastAsia="zh-CN"/>
        </w:rPr>
        <w:t>2</w:t>
      </w:r>
      <w:r>
        <w:rPr>
          <w:rFonts w:hint="eastAsia" w:ascii="仿宋_GB2312" w:hAnsi="仿宋_GB2312" w:eastAsia="仿宋_GB2312" w:cs="仿宋_GB2312"/>
          <w:snapToGrid w:val="0"/>
          <w:color w:val="000000"/>
          <w:sz w:val="32"/>
          <w:szCs w:val="32"/>
        </w:rPr>
        <w:t>年实际完成率为</w:t>
      </w:r>
      <w:r>
        <w:rPr>
          <w:rFonts w:hint="eastAsia" w:ascii="仿宋_GB2312" w:hAnsi="仿宋_GB2312" w:eastAsia="仿宋_GB2312" w:cs="仿宋_GB2312"/>
          <w:snapToGrid w:val="0"/>
          <w:color w:val="000000"/>
          <w:sz w:val="32"/>
          <w:szCs w:val="32"/>
          <w:lang w:val="en-US" w:eastAsia="zh-CN"/>
        </w:rPr>
        <w:t>100</w:t>
      </w:r>
      <w:r>
        <w:rPr>
          <w:rFonts w:hint="eastAsia" w:ascii="仿宋_GB2312" w:hAnsi="仿宋_GB2312" w:eastAsia="仿宋_GB2312" w:cs="仿宋_GB2312"/>
          <w:snapToGrid w:val="0"/>
          <w:color w:val="000000"/>
          <w:sz w:val="32"/>
          <w:szCs w:val="32"/>
        </w:rPr>
        <w:t>%，得分</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2.时效指标（满分</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分，实得</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年度设定的时效指标为年底完成；实际完成情况为</w:t>
      </w:r>
      <w:r>
        <w:rPr>
          <w:rFonts w:hint="eastAsia" w:ascii="仿宋_GB2312" w:hAnsi="仿宋_GB2312" w:eastAsia="仿宋_GB2312" w:cs="仿宋_GB2312"/>
          <w:snapToGrid w:val="0"/>
          <w:color w:val="000000"/>
          <w:sz w:val="32"/>
          <w:szCs w:val="32"/>
          <w:lang w:eastAsia="zh-CN"/>
        </w:rPr>
        <w:t>达成预期指标</w:t>
      </w:r>
      <w:r>
        <w:rPr>
          <w:rFonts w:hint="eastAsia" w:ascii="仿宋_GB2312" w:hAnsi="仿宋_GB2312" w:eastAsia="仿宋_GB2312" w:cs="仿宋_GB2312"/>
          <w:snapToGrid w:val="0"/>
          <w:color w:val="000000"/>
          <w:sz w:val="32"/>
          <w:szCs w:val="32"/>
        </w:rPr>
        <w:t>，得分</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3.质量指标（满分</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分，实得</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年度设定的质量指标为</w:t>
      </w:r>
      <w:r>
        <w:rPr>
          <w:rFonts w:hint="eastAsia" w:ascii="仿宋_GB2312" w:hAnsi="仿宋_GB2312" w:eastAsia="仿宋_GB2312" w:cs="仿宋_GB2312"/>
          <w:snapToGrid w:val="0"/>
          <w:color w:val="000000"/>
          <w:sz w:val="32"/>
          <w:szCs w:val="32"/>
          <w:lang w:eastAsia="zh-CN"/>
        </w:rPr>
        <w:t>完成率</w:t>
      </w:r>
      <w:r>
        <w:rPr>
          <w:rFonts w:hint="eastAsia" w:ascii="仿宋_GB2312" w:hAnsi="仿宋_GB2312" w:eastAsia="仿宋_GB2312" w:cs="仿宋_GB2312"/>
          <w:snapToGrid w:val="0"/>
          <w:color w:val="000000"/>
          <w:sz w:val="32"/>
          <w:szCs w:val="32"/>
          <w:lang w:val="en-US" w:eastAsia="zh-CN"/>
        </w:rPr>
        <w:t>100%</w:t>
      </w:r>
      <w:r>
        <w:rPr>
          <w:rFonts w:hint="eastAsia" w:ascii="仿宋_GB2312" w:hAnsi="仿宋_GB2312" w:eastAsia="仿宋_GB2312" w:cs="仿宋_GB2312"/>
          <w:snapToGrid w:val="0"/>
          <w:color w:val="000000"/>
          <w:sz w:val="32"/>
          <w:szCs w:val="32"/>
        </w:rPr>
        <w:t>；实际完成情况为</w:t>
      </w:r>
      <w:r>
        <w:rPr>
          <w:rFonts w:hint="eastAsia" w:ascii="仿宋_GB2312" w:hAnsi="仿宋_GB2312" w:eastAsia="仿宋_GB2312" w:cs="仿宋_GB2312"/>
          <w:snapToGrid w:val="0"/>
          <w:color w:val="000000"/>
          <w:sz w:val="32"/>
          <w:szCs w:val="32"/>
          <w:lang w:eastAsia="zh-CN"/>
        </w:rPr>
        <w:t>完成率</w:t>
      </w:r>
      <w:r>
        <w:rPr>
          <w:rFonts w:hint="eastAsia" w:ascii="仿宋_GB2312" w:hAnsi="仿宋_GB2312" w:eastAsia="仿宋_GB2312" w:cs="仿宋_GB2312"/>
          <w:snapToGrid w:val="0"/>
          <w:color w:val="000000"/>
          <w:sz w:val="32"/>
          <w:szCs w:val="32"/>
          <w:lang w:val="en-US" w:eastAsia="zh-CN"/>
        </w:rPr>
        <w:t>100%</w:t>
      </w:r>
      <w:r>
        <w:rPr>
          <w:rFonts w:hint="eastAsia" w:ascii="仿宋_GB2312" w:hAnsi="仿宋_GB2312" w:eastAsia="仿宋_GB2312" w:cs="仿宋_GB2312"/>
          <w:snapToGrid w:val="0"/>
          <w:color w:val="000000"/>
          <w:sz w:val="32"/>
          <w:szCs w:val="32"/>
        </w:rPr>
        <w:t>，得分</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4.成本指标（满分</w:t>
      </w:r>
      <w:r>
        <w:rPr>
          <w:rFonts w:hint="eastAsia" w:ascii="仿宋_GB2312" w:hAnsi="仿宋_GB2312" w:eastAsia="仿宋_GB2312" w:cs="仿宋_GB2312"/>
          <w:snapToGrid w:val="0"/>
          <w:color w:val="000000"/>
          <w:sz w:val="32"/>
          <w:szCs w:val="32"/>
          <w:lang w:val="en-US" w:eastAsia="zh-CN"/>
        </w:rPr>
        <w:t>20</w:t>
      </w:r>
      <w:r>
        <w:rPr>
          <w:rFonts w:hint="eastAsia" w:ascii="仿宋_GB2312" w:hAnsi="仿宋_GB2312" w:eastAsia="仿宋_GB2312" w:cs="仿宋_GB2312"/>
          <w:snapToGrid w:val="0"/>
          <w:color w:val="000000"/>
          <w:sz w:val="32"/>
          <w:szCs w:val="32"/>
        </w:rPr>
        <w:t>分，实得</w:t>
      </w:r>
      <w:r>
        <w:rPr>
          <w:rFonts w:hint="eastAsia" w:ascii="仿宋_GB2312" w:hAnsi="仿宋_GB2312" w:eastAsia="仿宋_GB2312" w:cs="仿宋_GB2312"/>
          <w:snapToGrid w:val="0"/>
          <w:color w:val="000000"/>
          <w:sz w:val="32"/>
          <w:szCs w:val="32"/>
          <w:lang w:val="en-US" w:eastAsia="zh-CN"/>
        </w:rPr>
        <w:t>20</w:t>
      </w:r>
      <w:r>
        <w:rPr>
          <w:rFonts w:hint="eastAsia" w:ascii="仿宋_GB2312" w:hAnsi="仿宋_GB2312" w:eastAsia="仿宋_GB2312" w:cs="仿宋_GB2312"/>
          <w:snapToGrid w:val="0"/>
          <w:color w:val="000000"/>
          <w:sz w:val="32"/>
          <w:szCs w:val="32"/>
        </w:rPr>
        <w:t>分）</w:t>
      </w:r>
      <w:r>
        <w:rPr>
          <w:rFonts w:hint="eastAsia" w:ascii="仿宋_GB2312" w:hAnsi="仿宋_GB2312" w:eastAsia="仿宋_GB2312" w:cs="仿宋_GB2312"/>
          <w:snapToGrid w:val="0"/>
          <w:color w:val="000000"/>
          <w:sz w:val="32"/>
          <w:szCs w:val="32"/>
        </w:rPr>
        <w:tab/>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年度设定的成本指标为</w:t>
      </w:r>
      <w:r>
        <w:rPr>
          <w:rFonts w:hint="eastAsia" w:ascii="仿宋_GB2312" w:hAnsi="仿宋_GB2312" w:eastAsia="仿宋_GB2312" w:cs="仿宋_GB2312"/>
          <w:snapToGrid w:val="0"/>
          <w:color w:val="000000"/>
          <w:sz w:val="32"/>
          <w:szCs w:val="32"/>
          <w:lang w:eastAsia="zh-CN"/>
        </w:rPr>
        <w:t>预算数</w:t>
      </w:r>
      <w:r>
        <w:rPr>
          <w:rFonts w:hint="eastAsia" w:ascii="仿宋_GB2312" w:hAnsi="仿宋_GB2312" w:eastAsia="仿宋_GB2312" w:cs="仿宋_GB2312"/>
          <w:snapToGrid w:val="0"/>
          <w:color w:val="000000"/>
          <w:sz w:val="32"/>
          <w:szCs w:val="32"/>
        </w:rPr>
        <w:t>；实际完成情况为</w:t>
      </w:r>
      <w:r>
        <w:rPr>
          <w:rFonts w:hint="eastAsia" w:ascii="仿宋_GB2312" w:hAnsi="仿宋_GB2312" w:eastAsia="仿宋_GB2312" w:cs="仿宋_GB2312"/>
          <w:snapToGrid w:val="0"/>
          <w:color w:val="000000"/>
          <w:sz w:val="32"/>
          <w:szCs w:val="32"/>
          <w:lang w:eastAsia="zh-CN"/>
        </w:rPr>
        <w:t>达成预期指标</w:t>
      </w:r>
      <w:r>
        <w:rPr>
          <w:rFonts w:hint="eastAsia" w:ascii="仿宋_GB2312" w:hAnsi="仿宋_GB2312" w:eastAsia="仿宋_GB2312" w:cs="仿宋_GB2312"/>
          <w:snapToGrid w:val="0"/>
          <w:color w:val="000000"/>
          <w:sz w:val="32"/>
          <w:szCs w:val="32"/>
        </w:rPr>
        <w:t>，得分</w:t>
      </w:r>
      <w:r>
        <w:rPr>
          <w:rFonts w:hint="eastAsia" w:ascii="仿宋_GB2312" w:hAnsi="仿宋_GB2312" w:eastAsia="仿宋_GB2312" w:cs="仿宋_GB2312"/>
          <w:snapToGrid w:val="0"/>
          <w:color w:val="000000"/>
          <w:sz w:val="32"/>
          <w:szCs w:val="32"/>
          <w:lang w:val="en-US" w:eastAsia="zh-CN"/>
        </w:rPr>
        <w:t>20</w:t>
      </w:r>
      <w:r>
        <w:rPr>
          <w:rFonts w:hint="eastAsia" w:ascii="仿宋_GB2312" w:hAnsi="仿宋_GB2312" w:eastAsia="仿宋_GB2312" w:cs="仿宋_GB2312"/>
          <w:snapToGrid w:val="0"/>
          <w:color w:val="000000"/>
          <w:sz w:val="32"/>
          <w:szCs w:val="32"/>
        </w:rPr>
        <w:t>分。</w:t>
      </w:r>
    </w:p>
    <w:p>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1.经济效益指标（满分</w:t>
      </w:r>
      <w:r>
        <w:rPr>
          <w:rFonts w:hint="eastAsia" w:ascii="仿宋_GB2312" w:hAnsi="仿宋_GB2312" w:eastAsia="仿宋_GB2312" w:cs="仿宋_GB2312"/>
          <w:snapToGrid w:val="0"/>
          <w:color w:val="000000"/>
          <w:sz w:val="32"/>
          <w:szCs w:val="32"/>
          <w:lang w:val="en-US" w:eastAsia="zh-CN"/>
        </w:rPr>
        <w:t>0</w:t>
      </w:r>
      <w:r>
        <w:rPr>
          <w:rFonts w:hint="eastAsia" w:ascii="仿宋_GB2312" w:hAnsi="仿宋_GB2312" w:eastAsia="仿宋_GB2312" w:cs="仿宋_GB2312"/>
          <w:snapToGrid w:val="0"/>
          <w:color w:val="000000"/>
          <w:sz w:val="32"/>
          <w:szCs w:val="32"/>
        </w:rPr>
        <w:t>分，实得</w:t>
      </w:r>
      <w:r>
        <w:rPr>
          <w:rFonts w:hint="eastAsia" w:ascii="仿宋_GB2312" w:hAnsi="仿宋_GB2312" w:eastAsia="仿宋_GB2312" w:cs="仿宋_GB2312"/>
          <w:snapToGrid w:val="0"/>
          <w:color w:val="000000"/>
          <w:sz w:val="32"/>
          <w:szCs w:val="32"/>
          <w:lang w:val="en-US" w:eastAsia="zh-CN"/>
        </w:rPr>
        <w:t>0</w:t>
      </w:r>
      <w:r>
        <w:rPr>
          <w:rFonts w:hint="eastAsia" w:ascii="仿宋_GB2312" w:hAnsi="仿宋_GB2312" w:eastAsia="仿宋_GB2312" w:cs="仿宋_GB2312"/>
          <w:snapToGrid w:val="0"/>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2.社会效益指标（满分</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分，实得</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3.生态效益指标（满分</w:t>
      </w:r>
      <w:r>
        <w:rPr>
          <w:rFonts w:hint="eastAsia" w:ascii="仿宋_GB2312" w:hAnsi="仿宋_GB2312" w:eastAsia="仿宋_GB2312" w:cs="仿宋_GB2312"/>
          <w:snapToGrid w:val="0"/>
          <w:color w:val="000000"/>
          <w:sz w:val="32"/>
          <w:szCs w:val="32"/>
          <w:lang w:val="en-US" w:eastAsia="zh-CN"/>
        </w:rPr>
        <w:t>0</w:t>
      </w:r>
      <w:r>
        <w:rPr>
          <w:rFonts w:hint="eastAsia" w:ascii="仿宋_GB2312" w:hAnsi="仿宋_GB2312" w:eastAsia="仿宋_GB2312" w:cs="仿宋_GB2312"/>
          <w:snapToGrid w:val="0"/>
          <w:color w:val="000000"/>
          <w:sz w:val="32"/>
          <w:szCs w:val="32"/>
        </w:rPr>
        <w:t>分，实得</w:t>
      </w:r>
      <w:r>
        <w:rPr>
          <w:rFonts w:hint="eastAsia" w:ascii="仿宋_GB2312" w:hAnsi="仿宋_GB2312" w:eastAsia="仿宋_GB2312" w:cs="仿宋_GB2312"/>
          <w:snapToGrid w:val="0"/>
          <w:color w:val="000000"/>
          <w:sz w:val="32"/>
          <w:szCs w:val="32"/>
          <w:lang w:val="en-US" w:eastAsia="zh-CN"/>
        </w:rPr>
        <w:t>0</w:t>
      </w:r>
      <w:r>
        <w:rPr>
          <w:rFonts w:hint="eastAsia" w:ascii="仿宋_GB2312" w:hAnsi="仿宋_GB2312" w:eastAsia="仿宋_GB2312" w:cs="仿宋_GB2312"/>
          <w:snapToGrid w:val="0"/>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4.可持续影响指标（满分</w:t>
      </w:r>
      <w:r>
        <w:rPr>
          <w:rFonts w:hint="eastAsia" w:ascii="仿宋_GB2312" w:hAnsi="仿宋_GB2312" w:eastAsia="仿宋_GB2312" w:cs="仿宋_GB2312"/>
          <w:snapToGrid w:val="0"/>
          <w:color w:val="000000"/>
          <w:sz w:val="32"/>
          <w:szCs w:val="32"/>
          <w:lang w:val="en-US" w:eastAsia="zh-CN"/>
        </w:rPr>
        <w:t>20</w:t>
      </w:r>
      <w:r>
        <w:rPr>
          <w:rFonts w:hint="eastAsia" w:ascii="仿宋_GB2312" w:hAnsi="仿宋_GB2312" w:eastAsia="仿宋_GB2312" w:cs="仿宋_GB2312"/>
          <w:snapToGrid w:val="0"/>
          <w:color w:val="000000"/>
          <w:sz w:val="32"/>
          <w:szCs w:val="32"/>
        </w:rPr>
        <w:t>分，实得</w:t>
      </w:r>
      <w:r>
        <w:rPr>
          <w:rFonts w:hint="eastAsia" w:ascii="仿宋_GB2312" w:hAnsi="仿宋_GB2312" w:eastAsia="仿宋_GB2312" w:cs="仿宋_GB2312"/>
          <w:snapToGrid w:val="0"/>
          <w:color w:val="000000"/>
          <w:sz w:val="32"/>
          <w:szCs w:val="32"/>
          <w:lang w:val="en-US" w:eastAsia="zh-CN"/>
        </w:rPr>
        <w:t>20</w:t>
      </w:r>
      <w:r>
        <w:rPr>
          <w:rFonts w:hint="eastAsia" w:ascii="仿宋_GB2312" w:hAnsi="仿宋_GB2312" w:eastAsia="仿宋_GB2312" w:cs="仿宋_GB2312"/>
          <w:snapToGrid w:val="0"/>
          <w:color w:val="000000"/>
          <w:sz w:val="32"/>
          <w:szCs w:val="32"/>
        </w:rPr>
        <w:t>分）</w:t>
      </w:r>
    </w:p>
    <w:p>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lang w:eastAsia="zh-CN"/>
        </w:rPr>
        <w:t>满意度</w:t>
      </w:r>
      <w:r>
        <w:rPr>
          <w:rFonts w:hint="eastAsia" w:ascii="仿宋_GB2312" w:hAnsi="仿宋_GB2312" w:eastAsia="仿宋_GB2312" w:cs="仿宋_GB2312"/>
          <w:snapToGrid w:val="0"/>
          <w:color w:val="000000"/>
          <w:sz w:val="32"/>
          <w:szCs w:val="32"/>
        </w:rPr>
        <w:t>指标（满分</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分，实得</w:t>
      </w:r>
      <w:r>
        <w:rPr>
          <w:rFonts w:hint="eastAsia" w:ascii="仿宋_GB2312" w:hAnsi="仿宋_GB2312" w:eastAsia="仿宋_GB2312" w:cs="仿宋_GB2312"/>
          <w:snapToGrid w:val="0"/>
          <w:color w:val="000000"/>
          <w:sz w:val="32"/>
          <w:szCs w:val="32"/>
          <w:lang w:val="en-US" w:eastAsia="zh-CN"/>
        </w:rPr>
        <w:t>10</w:t>
      </w:r>
      <w:r>
        <w:rPr>
          <w:rFonts w:hint="eastAsia" w:ascii="仿宋_GB2312" w:hAnsi="仿宋_GB2312" w:eastAsia="仿宋_GB2312" w:cs="仿宋_GB2312"/>
          <w:snapToGrid w:val="0"/>
          <w:color w:val="000000"/>
          <w:sz w:val="32"/>
          <w:szCs w:val="32"/>
        </w:rPr>
        <w:t>分）</w:t>
      </w:r>
    </w:p>
    <w:p>
      <w:pPr>
        <w:spacing w:line="600" w:lineRule="exact"/>
        <w:ind w:firstLine="640" w:firstLineChars="200"/>
        <w:rPr>
          <w:rFonts w:hint="eastAsia" w:ascii="仿宋_GB2312" w:hAnsi="仿宋_GB2312" w:eastAsia="仿宋_GB2312" w:cs="仿宋_GB2312"/>
          <w:snapToGrid w:val="0"/>
          <w:color w:val="000000"/>
          <w:sz w:val="32"/>
          <w:szCs w:val="32"/>
          <w:lang w:eastAsia="zh-CN"/>
        </w:rPr>
      </w:pPr>
      <w:r>
        <w:rPr>
          <w:rFonts w:hint="eastAsia" w:ascii="仿宋_GB2312" w:hAnsi="仿宋_GB2312" w:eastAsia="仿宋_GB2312" w:cs="仿宋_GB2312"/>
          <w:snapToGrid w:val="0"/>
          <w:color w:val="000000"/>
          <w:sz w:val="32"/>
          <w:szCs w:val="32"/>
          <w:lang w:val="en-US" w:eastAsia="zh-CN"/>
        </w:rPr>
        <w:t>临时救助</w:t>
      </w:r>
      <w:r>
        <w:rPr>
          <w:rFonts w:hint="eastAsia" w:ascii="仿宋_GB2312" w:hAnsi="仿宋_GB2312" w:eastAsia="仿宋_GB2312" w:cs="仿宋_GB2312"/>
          <w:snapToGrid w:val="0"/>
          <w:color w:val="000000"/>
          <w:sz w:val="32"/>
          <w:szCs w:val="32"/>
          <w:lang w:eastAsia="zh-CN"/>
        </w:rPr>
        <w:t>按月足额、及时发放到位。提升了困难群众幸福感、满意度。</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pPr>
        <w:spacing w:line="600" w:lineRule="exact"/>
        <w:ind w:firstLine="640" w:firstLineChars="200"/>
        <w:rPr>
          <w:rFonts w:hint="default"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eastAsia="zh-CN"/>
        </w:rPr>
        <w:t>通过自评发现，202</w:t>
      </w:r>
      <w:r>
        <w:rPr>
          <w:rFonts w:hint="eastAsia" w:ascii="仿宋_GB2312" w:hAnsi="仿宋_GB2312" w:eastAsia="仿宋_GB2312" w:cs="仿宋_GB2312"/>
          <w:snapToGrid w:val="0"/>
          <w:color w:val="000000"/>
          <w:sz w:val="32"/>
          <w:szCs w:val="32"/>
          <w:lang w:val="en-US" w:eastAsia="zh-CN"/>
        </w:rPr>
        <w:t>3</w:t>
      </w:r>
      <w:r>
        <w:rPr>
          <w:rFonts w:hint="eastAsia" w:ascii="仿宋_GB2312" w:hAnsi="仿宋_GB2312" w:eastAsia="仿宋_GB2312" w:cs="仿宋_GB2312"/>
          <w:snapToGrid w:val="0"/>
          <w:color w:val="000000"/>
          <w:sz w:val="32"/>
          <w:szCs w:val="32"/>
          <w:lang w:eastAsia="zh-CN"/>
        </w:rPr>
        <w:t>年度</w:t>
      </w:r>
      <w:r>
        <w:rPr>
          <w:rFonts w:hint="eastAsia" w:ascii="仿宋_GB2312" w:hAnsi="仿宋_GB2312" w:eastAsia="仿宋_GB2312" w:cs="仿宋_GB2312"/>
          <w:snapToGrid w:val="0"/>
          <w:color w:val="000000"/>
          <w:sz w:val="32"/>
          <w:szCs w:val="32"/>
          <w:lang w:val="en-US" w:eastAsia="zh-CN"/>
        </w:rPr>
        <w:t>临时救助</w:t>
      </w:r>
      <w:r>
        <w:rPr>
          <w:rFonts w:hint="eastAsia" w:ascii="仿宋_GB2312" w:hAnsi="仿宋_GB2312" w:eastAsia="仿宋_GB2312" w:cs="仿宋_GB2312"/>
          <w:snapToGrid w:val="0"/>
          <w:color w:val="000000"/>
          <w:sz w:val="32"/>
          <w:szCs w:val="32"/>
          <w:lang w:eastAsia="zh-CN"/>
        </w:rPr>
        <w:t>项目实施虽取得了一定的成效，但还存在一些问题和不足，需进一步提升</w:t>
      </w:r>
      <w:r>
        <w:rPr>
          <w:rFonts w:hint="eastAsia" w:ascii="仿宋_GB2312" w:eastAsia="仿宋_GB2312"/>
          <w:sz w:val="32"/>
          <w:szCs w:val="32"/>
        </w:rPr>
        <w:t>救助困难群众的覆盖面</w:t>
      </w:r>
      <w:r>
        <w:rPr>
          <w:rFonts w:hint="eastAsia" w:ascii="仿宋_GB2312" w:eastAsia="仿宋_GB2312"/>
          <w:sz w:val="32"/>
          <w:szCs w:val="32"/>
          <w:lang w:eastAsia="zh-CN"/>
        </w:rPr>
        <w:t>，加强政策宣传，提升政策的群众知晓度</w:t>
      </w:r>
      <w:r>
        <w:rPr>
          <w:rFonts w:hint="eastAsia" w:ascii="仿宋_GB2312" w:hAnsi="仿宋_GB2312" w:eastAsia="仿宋_GB2312" w:cs="仿宋_GB2312"/>
          <w:snapToGrid w:val="0"/>
          <w:color w:val="000000"/>
          <w:sz w:val="32"/>
          <w:szCs w:val="32"/>
          <w:lang w:eastAsia="zh-CN"/>
        </w:rPr>
        <w:t>。</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pPr>
        <w:spacing w:line="600" w:lineRule="exact"/>
        <w:ind w:firstLine="640" w:firstLineChars="200"/>
        <w:rPr>
          <w:rFonts w:hint="eastAsia" w:ascii="仿宋_GB2312" w:hAnsi="仿宋_GB2312" w:eastAsia="仿宋_GB2312" w:cs="仿宋_GB2312"/>
          <w:snapToGrid w:val="0"/>
          <w:color w:val="000000"/>
          <w:sz w:val="32"/>
          <w:szCs w:val="32"/>
          <w:lang w:eastAsia="zh-CN"/>
        </w:rPr>
      </w:pPr>
      <w:r>
        <w:rPr>
          <w:rFonts w:hint="eastAsia" w:ascii="仿宋_GB2312" w:hAnsi="仿宋_GB2312" w:eastAsia="仿宋_GB2312" w:cs="仿宋_GB2312"/>
          <w:snapToGrid w:val="0"/>
          <w:color w:val="000000"/>
          <w:sz w:val="32"/>
          <w:szCs w:val="32"/>
          <w:lang w:eastAsia="zh-CN"/>
        </w:rPr>
        <w:t>为进一步提高专项资金使用效益，针对存在的问题，要</w:t>
      </w:r>
      <w:r>
        <w:rPr>
          <w:rFonts w:hint="eastAsia" w:ascii="Times New Roman" w:eastAsia="仿宋_GB2312"/>
          <w:color w:val="000000"/>
          <w:sz w:val="32"/>
          <w:szCs w:val="32"/>
        </w:rPr>
        <w:t>建立信息共享机制；积极探索政府引导、社会力量筹资、慈善组织运作的政社联动模式。搭建慈善组织等和会力量与临时救助的平台，增强救助效能</w:t>
      </w:r>
      <w:r>
        <w:rPr>
          <w:rFonts w:hint="eastAsia" w:ascii="仿宋_GB2312" w:hAnsi="仿宋_GB2312" w:eastAsia="仿宋_GB2312" w:cs="仿宋_GB2312"/>
          <w:snapToGrid w:val="0"/>
          <w:color w:val="000000"/>
          <w:sz w:val="32"/>
          <w:szCs w:val="32"/>
          <w:lang w:eastAsia="zh-CN"/>
        </w:rPr>
        <w:t>。</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pPr>
        <w:widowControl/>
        <w:spacing w:line="600" w:lineRule="exact"/>
        <w:ind w:firstLine="640" w:firstLineChars="200"/>
        <w:rPr>
          <w:rFonts w:hint="eastAsia" w:ascii="仿宋_GB2312" w:hAnsi="仿宋_GB2312" w:eastAsia="仿宋_GB2312" w:cs="仿宋_GB2312"/>
          <w:snapToGrid w:val="0"/>
          <w:color w:val="000000"/>
          <w:sz w:val="32"/>
          <w:szCs w:val="32"/>
          <w:lang w:eastAsia="zh-CN"/>
        </w:rPr>
      </w:pPr>
      <w:r>
        <w:rPr>
          <w:rFonts w:hint="eastAsia" w:ascii="仿宋_GB2312" w:hAnsi="仿宋_GB2312" w:eastAsia="仿宋_GB2312" w:cs="仿宋_GB2312"/>
          <w:snapToGrid w:val="0"/>
          <w:color w:val="000000"/>
          <w:sz w:val="32"/>
          <w:szCs w:val="32"/>
          <w:lang w:eastAsia="zh-CN"/>
        </w:rPr>
        <w:t>《关于印发</w:t>
      </w:r>
      <w:r>
        <w:rPr>
          <w:rFonts w:hint="eastAsia" w:ascii="仿宋_GB2312" w:hAnsi="仿宋_GB2312" w:eastAsia="仿宋_GB2312" w:cs="仿宋_GB2312"/>
          <w:snapToGrid w:val="0"/>
          <w:color w:val="000000"/>
          <w:sz w:val="32"/>
          <w:szCs w:val="32"/>
          <w:lang w:val="en-US" w:eastAsia="zh-CN"/>
        </w:rPr>
        <w:t>&lt;</w:t>
      </w:r>
      <w:r>
        <w:rPr>
          <w:rFonts w:hint="eastAsia" w:ascii="仿宋_GB2312" w:hAnsi="仿宋_GB2312" w:eastAsia="仿宋_GB2312" w:cs="仿宋_GB2312"/>
          <w:snapToGrid w:val="0"/>
          <w:color w:val="000000"/>
          <w:sz w:val="32"/>
          <w:szCs w:val="32"/>
          <w:lang w:eastAsia="zh-CN"/>
        </w:rPr>
        <w:t>合肥市城乡居民临时救助实施细则</w:t>
      </w:r>
      <w:r>
        <w:rPr>
          <w:rFonts w:hint="eastAsia" w:ascii="仿宋_GB2312" w:hAnsi="仿宋_GB2312" w:eastAsia="仿宋_GB2312" w:cs="仿宋_GB2312"/>
          <w:snapToGrid w:val="0"/>
          <w:color w:val="000000"/>
          <w:sz w:val="32"/>
          <w:szCs w:val="32"/>
          <w:lang w:val="en-US" w:eastAsia="zh-CN"/>
        </w:rPr>
        <w:t>&gt;</w:t>
      </w:r>
      <w:r>
        <w:rPr>
          <w:rFonts w:hint="eastAsia" w:ascii="仿宋_GB2312" w:hAnsi="仿宋_GB2312" w:eastAsia="仿宋_GB2312" w:cs="仿宋_GB2312"/>
          <w:snapToGrid w:val="0"/>
          <w:color w:val="000000"/>
          <w:sz w:val="32"/>
          <w:szCs w:val="32"/>
          <w:lang w:eastAsia="zh-CN"/>
        </w:rPr>
        <w:t>的通知》（合民〔2022〕1号）</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pPr>
        <w:spacing w:line="60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1.项目支出绩效自评表（从预算管理一体化系统导出）。</w:t>
      </w:r>
    </w:p>
    <w:p>
      <w:pPr>
        <w:spacing w:line="600" w:lineRule="exact"/>
        <w:ind w:firstLine="640" w:firstLineChars="200"/>
        <w:rPr>
          <w:rFonts w:hint="eastAsia" w:ascii="Times New Roman" w:hAnsi="Times New Roman" w:eastAsia="仿宋_GB2312"/>
          <w:color w:val="000000"/>
          <w:sz w:val="32"/>
          <w:szCs w:val="32"/>
          <w:lang w:eastAsia="zh-CN"/>
        </w:rPr>
      </w:pPr>
    </w:p>
    <w:p>
      <w:pPr>
        <w:spacing w:line="600" w:lineRule="exact"/>
        <w:ind w:firstLine="640" w:firstLineChars="200"/>
        <w:rPr>
          <w:rFonts w:hint="eastAsia" w:ascii="Times New Roman" w:hAnsi="Times New Roman" w:eastAsia="仿宋_GB2312"/>
          <w:color w:val="000000"/>
          <w:sz w:val="32"/>
          <w:szCs w:val="32"/>
          <w:lang w:eastAsia="zh-CN"/>
        </w:rPr>
      </w:pPr>
    </w:p>
    <w:p>
      <w:pPr>
        <w:spacing w:line="600" w:lineRule="exact"/>
        <w:ind w:firstLine="640" w:firstLineChars="200"/>
        <w:rPr>
          <w:rFonts w:hint="eastAsia" w:ascii="Times New Roman" w:hAnsi="Times New Roman" w:eastAsia="仿宋_GB2312"/>
          <w:color w:val="000000"/>
          <w:sz w:val="32"/>
          <w:szCs w:val="32"/>
          <w:lang w:eastAsia="zh-CN"/>
        </w:rPr>
      </w:pPr>
    </w:p>
    <w:p>
      <w:pPr>
        <w:spacing w:line="600" w:lineRule="exact"/>
        <w:ind w:firstLine="640" w:firstLineChars="200"/>
        <w:rPr>
          <w:rFonts w:hint="eastAsia" w:ascii="Times New Roman" w:hAnsi="Times New Roman" w:eastAsia="仿宋_GB2312"/>
          <w:color w:val="000000"/>
          <w:sz w:val="32"/>
          <w:szCs w:val="32"/>
          <w:lang w:eastAsia="zh-CN"/>
        </w:rPr>
      </w:pPr>
    </w:p>
    <w:p>
      <w:pPr>
        <w:spacing w:line="600" w:lineRule="exact"/>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420" w:firstLineChars="200"/>
        <w:rPr>
          <w:rFonts w:ascii="Times New Roman" w:hAnsi="Times New Roman" w:eastAsia="仿宋_GB2312"/>
          <w:color w:val="000000"/>
          <w:sz w:val="32"/>
          <w:szCs w:val="32"/>
        </w:rPr>
      </w:pPr>
      <w:r>
        <w:drawing>
          <wp:anchor distT="0" distB="0" distL="114300" distR="114300" simplePos="0" relativeHeight="251659264" behindDoc="0" locked="0" layoutInCell="1" allowOverlap="1">
            <wp:simplePos x="0" y="0"/>
            <wp:positionH relativeFrom="column">
              <wp:posOffset>85725</wp:posOffset>
            </wp:positionH>
            <wp:positionV relativeFrom="paragraph">
              <wp:posOffset>209550</wp:posOffset>
            </wp:positionV>
            <wp:extent cx="5268595" cy="5739130"/>
            <wp:effectExtent l="0" t="0" r="8255" b="1397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68595" cy="5739130"/>
                    </a:xfrm>
                    <a:prstGeom prst="rect">
                      <a:avLst/>
                    </a:prstGeom>
                    <a:noFill/>
                    <a:ln>
                      <a:noFill/>
                    </a:ln>
                  </pic:spPr>
                </pic:pic>
              </a:graphicData>
            </a:graphic>
          </wp:anchor>
        </w:drawing>
      </w: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widowControl/>
        <w:jc w:val="left"/>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0OTU4N2VjOWI0YTU5OTQwMjU2YTVjYjY0NTcxM2QifQ=="/>
  </w:docVars>
  <w:rsids>
    <w:rsidRoot w:val="00172A27"/>
    <w:rsid w:val="0000272A"/>
    <w:rsid w:val="000074DB"/>
    <w:rsid w:val="000101D3"/>
    <w:rsid w:val="000215E7"/>
    <w:rsid w:val="00024B78"/>
    <w:rsid w:val="000333B7"/>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5634469"/>
    <w:rsid w:val="07797F74"/>
    <w:rsid w:val="08B82D1E"/>
    <w:rsid w:val="0AB57BFA"/>
    <w:rsid w:val="136A730B"/>
    <w:rsid w:val="1580063C"/>
    <w:rsid w:val="16491459"/>
    <w:rsid w:val="16DE1BA1"/>
    <w:rsid w:val="16F716AA"/>
    <w:rsid w:val="1AA204AA"/>
    <w:rsid w:val="1BD792BA"/>
    <w:rsid w:val="25074CB4"/>
    <w:rsid w:val="27FA6A3D"/>
    <w:rsid w:val="2FFC4CEE"/>
    <w:rsid w:val="36C56482"/>
    <w:rsid w:val="38AD71CE"/>
    <w:rsid w:val="396B3311"/>
    <w:rsid w:val="39EC3A8B"/>
    <w:rsid w:val="3A7C5F32"/>
    <w:rsid w:val="3AFD61EB"/>
    <w:rsid w:val="3CFE57A8"/>
    <w:rsid w:val="3D17003D"/>
    <w:rsid w:val="3E704F26"/>
    <w:rsid w:val="3EB75BFF"/>
    <w:rsid w:val="3F1B1335"/>
    <w:rsid w:val="436918FD"/>
    <w:rsid w:val="4C577725"/>
    <w:rsid w:val="544538C0"/>
    <w:rsid w:val="54AB3C68"/>
    <w:rsid w:val="56B0015D"/>
    <w:rsid w:val="5B2737C9"/>
    <w:rsid w:val="5C736320"/>
    <w:rsid w:val="5F9C8719"/>
    <w:rsid w:val="5FF43F05"/>
    <w:rsid w:val="64266808"/>
    <w:rsid w:val="6D0D5EB2"/>
    <w:rsid w:val="6DF8D820"/>
    <w:rsid w:val="6E027099"/>
    <w:rsid w:val="6FED328C"/>
    <w:rsid w:val="71373859"/>
    <w:rsid w:val="7379604F"/>
    <w:rsid w:val="779BD1C3"/>
    <w:rsid w:val="7973709D"/>
    <w:rsid w:val="7BBCDE22"/>
    <w:rsid w:val="7F315A30"/>
    <w:rsid w:val="7F7D9BD7"/>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20"/>
    <w:qFormat/>
    <w:uiPriority w:val="0"/>
    <w:pPr>
      <w:spacing w:line="560" w:lineRule="atLeast"/>
      <w:ind w:firstLine="567"/>
    </w:pPr>
    <w:rPr>
      <w:rFonts w:asciiTheme="minorHAnsi" w:hAnsiTheme="minorHAnsi" w:eastAsiaTheme="minorEastAsia" w:cstheme="minorBidi"/>
      <w:sz w:val="28"/>
    </w:rPr>
  </w:style>
  <w:style w:type="paragraph" w:styleId="5">
    <w:name w:val="Date"/>
    <w:basedOn w:val="1"/>
    <w:next w:val="1"/>
    <w:link w:val="25"/>
    <w:qFormat/>
    <w:uiPriority w:val="0"/>
    <w:pPr>
      <w:ind w:left="100" w:leftChars="2500"/>
    </w:pPr>
    <w:rPr>
      <w:rFonts w:ascii="Times New Roman" w:hAnsi="Times New Roman"/>
      <w:szCs w:val="24"/>
    </w:rPr>
  </w:style>
  <w:style w:type="paragraph" w:styleId="6">
    <w:name w:val="Balloon Text"/>
    <w:basedOn w:val="1"/>
    <w:link w:val="24"/>
    <w:autoRedefine/>
    <w:unhideWhenUsed/>
    <w:qFormat/>
    <w:uiPriority w:val="99"/>
    <w:rPr>
      <w:rFonts w:ascii="Times New Roman" w:hAnsi="Times New Roman"/>
      <w:sz w:val="18"/>
      <w:szCs w:val="18"/>
      <w:lang w:val="zh-CN" w:eastAsia="zh-CN"/>
    </w:rPr>
  </w:style>
  <w:style w:type="paragraph" w:styleId="7">
    <w:name w:val="footer"/>
    <w:basedOn w:val="1"/>
    <w:link w:val="17"/>
    <w:autoRedefine/>
    <w:qFormat/>
    <w:uiPriority w:val="99"/>
    <w:pPr>
      <w:tabs>
        <w:tab w:val="center" w:pos="4153"/>
        <w:tab w:val="right" w:pos="8306"/>
      </w:tabs>
      <w:snapToGrid w:val="0"/>
      <w:jc w:val="left"/>
    </w:pPr>
    <w:rPr>
      <w:rFonts w:ascii="Times New Roman" w:hAnsi="Times New Roman"/>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9">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Hyperlink"/>
    <w:qFormat/>
    <w:uiPriority w:val="0"/>
    <w:rPr>
      <w:color w:val="0000FF"/>
      <w:u w:val="single"/>
    </w:rPr>
  </w:style>
  <w:style w:type="character" w:customStyle="1" w:styleId="16">
    <w:name w:val="标题 1 Char"/>
    <w:basedOn w:val="13"/>
    <w:link w:val="2"/>
    <w:qFormat/>
    <w:uiPriority w:val="0"/>
    <w:rPr>
      <w:rFonts w:ascii="Times New Roman" w:hAnsi="Times New Roman" w:eastAsia="MS Gothic" w:cs="Times New Roman"/>
      <w:b/>
      <w:bCs/>
      <w:kern w:val="44"/>
      <w:sz w:val="44"/>
      <w:szCs w:val="44"/>
      <w:lang w:val="zh-CN" w:eastAsia="zh-CN"/>
    </w:rPr>
  </w:style>
  <w:style w:type="character" w:customStyle="1" w:styleId="17">
    <w:name w:val="页脚 Char"/>
    <w:basedOn w:val="13"/>
    <w:link w:val="7"/>
    <w:autoRedefine/>
    <w:qFormat/>
    <w:uiPriority w:val="99"/>
    <w:rPr>
      <w:rFonts w:ascii="Times New Roman" w:hAnsi="Times New Roman" w:eastAsia="宋体" w:cs="Times New Roman"/>
      <w:sz w:val="18"/>
      <w:szCs w:val="18"/>
    </w:rPr>
  </w:style>
  <w:style w:type="character" w:customStyle="1" w:styleId="18">
    <w:name w:val="页眉 Char"/>
    <w:basedOn w:val="13"/>
    <w:link w:val="8"/>
    <w:qFormat/>
    <w:uiPriority w:val="0"/>
    <w:rPr>
      <w:rFonts w:ascii="Times New Roman" w:hAnsi="Times New Roman" w:eastAsia="宋体" w:cs="Times New Roman"/>
      <w:sz w:val="18"/>
      <w:szCs w:val="18"/>
    </w:rPr>
  </w:style>
  <w:style w:type="character" w:customStyle="1" w:styleId="19">
    <w:name w:val="页脚 Char Char"/>
    <w:qFormat/>
    <w:uiPriority w:val="0"/>
    <w:rPr>
      <w:rFonts w:ascii="Times New Roman" w:hAnsi="Times New Roman" w:eastAsia="宋体" w:cs="Times New Roman"/>
      <w:sz w:val="18"/>
      <w:szCs w:val="18"/>
    </w:rPr>
  </w:style>
  <w:style w:type="character" w:customStyle="1" w:styleId="20">
    <w:name w:val="正文缩进 Char"/>
    <w:link w:val="4"/>
    <w:autoRedefine/>
    <w:qFormat/>
    <w:uiPriority w:val="0"/>
    <w:rPr>
      <w:sz w:val="28"/>
    </w:rPr>
  </w:style>
  <w:style w:type="character" w:customStyle="1" w:styleId="21">
    <w:name w:val="正文啊 Char Char"/>
    <w:link w:val="22"/>
    <w:qFormat/>
    <w:uiPriority w:val="0"/>
    <w:rPr>
      <w:rFonts w:ascii="仿宋_GB2312" w:hAnsi="宋体" w:eastAsia="仿宋_GB2312"/>
      <w:bCs/>
      <w:sz w:val="30"/>
      <w:szCs w:val="30"/>
    </w:rPr>
  </w:style>
  <w:style w:type="paragraph" w:customStyle="1" w:styleId="22">
    <w:name w:val="正文啊"/>
    <w:basedOn w:val="1"/>
    <w:link w:val="21"/>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3">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4">
    <w:name w:val="批注框文本 Char"/>
    <w:basedOn w:val="13"/>
    <w:link w:val="6"/>
    <w:qFormat/>
    <w:uiPriority w:val="99"/>
    <w:rPr>
      <w:rFonts w:ascii="Times New Roman" w:hAnsi="Times New Roman" w:eastAsia="宋体" w:cs="Times New Roman"/>
      <w:sz w:val="18"/>
      <w:szCs w:val="18"/>
      <w:lang w:val="zh-CN" w:eastAsia="zh-CN"/>
    </w:rPr>
  </w:style>
  <w:style w:type="character" w:customStyle="1" w:styleId="25">
    <w:name w:val="日期 Char"/>
    <w:basedOn w:val="13"/>
    <w:link w:val="5"/>
    <w:qFormat/>
    <w:uiPriority w:val="0"/>
    <w:rPr>
      <w:rFonts w:ascii="Times New Roman" w:hAnsi="Times New Roman" w:eastAsia="宋体" w:cs="Times New Roman"/>
      <w:szCs w:val="24"/>
    </w:rPr>
  </w:style>
  <w:style w:type="paragraph" w:customStyle="1" w:styleId="26">
    <w:name w:val="Default Paragraph Char Char Char Char"/>
    <w:basedOn w:val="1"/>
    <w:next w:val="1"/>
    <w:autoRedefine/>
    <w:qFormat/>
    <w:uiPriority w:val="0"/>
    <w:pPr>
      <w:widowControl/>
      <w:spacing w:line="360" w:lineRule="auto"/>
      <w:jc w:val="center"/>
    </w:pPr>
    <w:rPr>
      <w:rFonts w:ascii="Times New Roman" w:hAnsi="Times New Roman" w:eastAsia="方正小标宋简体"/>
      <w:kern w:val="0"/>
      <w:sz w:val="44"/>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1440</Words>
  <Characters>1547</Characters>
  <Lines>102</Lines>
  <Paragraphs>28</Paragraphs>
  <TotalTime>20</TotalTime>
  <ScaleCrop>false</ScaleCrop>
  <LinksUpToDate>false</LinksUpToDate>
  <CharactersWithSpaces>1687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2020-12-26T02:41:00Z</dcterms:created>
  <dc:creator>王焱</dc:creator>
  <cp:lastModifiedBy>htm</cp:lastModifiedBy>
  <cp:lastPrinted>2022-12-06T16:18:00Z</cp:lastPrinted>
  <dcterms:modified xsi:type="dcterms:W3CDTF">2024-03-13T03:11:02Z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7AE6B6EF7D3E42A58B65922332D8D374_13</vt:lpwstr>
  </property>
</Properties>
</file>