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BF7C">
      <w:pPr>
        <w:pStyle w:val="12"/>
        <w:keepNext w:val="0"/>
        <w:keepLines w:val="0"/>
        <w:pageBreakBefore w:val="0"/>
        <w:widowControl w:val="0"/>
        <w:kinsoku/>
        <w:wordWrap/>
        <w:overflowPunct/>
        <w:topLinePunct w:val="0"/>
        <w:autoSpaceDE/>
        <w:autoSpaceDN/>
        <w:bidi w:val="0"/>
        <w:snapToGrid/>
        <w:spacing w:line="579" w:lineRule="exact"/>
        <w:textAlignment w:val="auto"/>
        <w:rPr>
          <w:color w:val="auto"/>
        </w:rPr>
      </w:pPr>
      <w:r>
        <w:rPr>
          <w:rFonts w:hint="eastAsia"/>
          <w:color w:val="auto"/>
        </w:rPr>
        <w:t>政府工作报告</w:t>
      </w:r>
    </w:p>
    <w:p w14:paraId="73F5E528">
      <w:pPr>
        <w:pStyle w:val="10"/>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bCs w:val="0"/>
          <w:color w:val="auto"/>
        </w:rPr>
      </w:pPr>
      <w:r>
        <w:rPr>
          <w:rFonts w:ascii="Times New Roman" w:hAnsi="Times New Roman"/>
          <w:bCs w:val="0"/>
          <w:color w:val="auto"/>
        </w:rPr>
        <w:t>——202</w:t>
      </w:r>
      <w:r>
        <w:rPr>
          <w:rFonts w:hint="eastAsia" w:ascii="Times New Roman" w:hAnsi="Times New Roman"/>
          <w:bCs w:val="0"/>
          <w:color w:val="auto"/>
        </w:rPr>
        <w:t>5</w:t>
      </w:r>
      <w:r>
        <w:rPr>
          <w:rFonts w:ascii="Times New Roman" w:hAnsi="Times New Roman"/>
          <w:bCs w:val="0"/>
          <w:color w:val="auto"/>
        </w:rPr>
        <w:t>年</w:t>
      </w:r>
      <w:r>
        <w:rPr>
          <w:rFonts w:hint="eastAsia" w:ascii="Times New Roman" w:hAnsi="Times New Roman"/>
          <w:bCs w:val="0"/>
          <w:color w:val="auto"/>
        </w:rPr>
        <w:t>1</w:t>
      </w:r>
      <w:r>
        <w:rPr>
          <w:rFonts w:ascii="Times New Roman" w:hAnsi="Times New Roman"/>
          <w:bCs w:val="0"/>
          <w:color w:val="auto"/>
        </w:rPr>
        <w:t>月</w:t>
      </w:r>
      <w:r>
        <w:rPr>
          <w:rFonts w:hint="eastAsia" w:ascii="Times New Roman" w:hAnsi="Times New Roman"/>
          <w:bCs w:val="0"/>
          <w:color w:val="auto"/>
        </w:rPr>
        <w:t>4</w:t>
      </w:r>
      <w:r>
        <w:rPr>
          <w:rFonts w:ascii="Times New Roman" w:hAnsi="Times New Roman"/>
          <w:bCs w:val="0"/>
          <w:color w:val="auto"/>
        </w:rPr>
        <w:t>日在合肥市瑶海区</w:t>
      </w:r>
    </w:p>
    <w:p w14:paraId="7992F3EE">
      <w:pPr>
        <w:pStyle w:val="10"/>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bCs w:val="0"/>
          <w:color w:val="auto"/>
        </w:rPr>
      </w:pPr>
      <w:r>
        <w:rPr>
          <w:rFonts w:ascii="Times New Roman" w:hAnsi="Times New Roman"/>
          <w:bCs w:val="0"/>
          <w:color w:val="auto"/>
        </w:rPr>
        <w:t>第五届人民代表大会第</w:t>
      </w:r>
      <w:r>
        <w:rPr>
          <w:rFonts w:hint="eastAsia" w:ascii="Times New Roman" w:hAnsi="Times New Roman"/>
          <w:bCs w:val="0"/>
          <w:color w:val="auto"/>
        </w:rPr>
        <w:t>四</w:t>
      </w:r>
      <w:r>
        <w:rPr>
          <w:rFonts w:ascii="Times New Roman" w:hAnsi="Times New Roman"/>
          <w:bCs w:val="0"/>
          <w:color w:val="auto"/>
        </w:rPr>
        <w:t>次会议上</w:t>
      </w:r>
    </w:p>
    <w:p w14:paraId="0A93EDBE">
      <w:pPr>
        <w:pStyle w:val="10"/>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bCs w:val="0"/>
          <w:color w:val="auto"/>
        </w:rPr>
      </w:pPr>
    </w:p>
    <w:p w14:paraId="167F1E5A">
      <w:pPr>
        <w:pStyle w:val="10"/>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bCs w:val="0"/>
          <w:color w:val="auto"/>
        </w:rPr>
      </w:pPr>
      <w:r>
        <w:rPr>
          <w:rFonts w:ascii="Times New Roman" w:hAnsi="Times New Roman"/>
          <w:bCs w:val="0"/>
          <w:color w:val="auto"/>
        </w:rPr>
        <w:t xml:space="preserve">区人民政府区长  </w:t>
      </w:r>
      <w:r>
        <w:rPr>
          <w:rFonts w:hint="eastAsia" w:ascii="黑体" w:hAnsi="黑体" w:eastAsia="黑体" w:cs="黑体"/>
          <w:bCs w:val="0"/>
          <w:color w:val="auto"/>
        </w:rPr>
        <w:t>童友好</w:t>
      </w:r>
    </w:p>
    <w:p w14:paraId="42F4E163">
      <w:pPr>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eastAsia="仿宋_GB2312" w:cstheme="minorBidi"/>
          <w:color w:val="auto"/>
          <w:kern w:val="34"/>
        </w:rPr>
      </w:pPr>
    </w:p>
    <w:p w14:paraId="382344F3">
      <w:pPr>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eastAsia="仿宋_GB2312" w:cstheme="minorBidi"/>
          <w:color w:val="auto"/>
          <w:kern w:val="34"/>
        </w:rPr>
      </w:pPr>
      <w:r>
        <w:rPr>
          <w:rFonts w:hint="eastAsia" w:ascii="Times New Roman" w:hAnsi="Times New Roman" w:eastAsia="仿宋_GB2312" w:cstheme="minorBidi"/>
          <w:color w:val="auto"/>
          <w:kern w:val="34"/>
        </w:rPr>
        <w:t>各位代表：</w:t>
      </w:r>
    </w:p>
    <w:p w14:paraId="39483A18">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stheme="minorBidi"/>
          <w:color w:val="auto"/>
          <w:kern w:val="34"/>
        </w:rPr>
      </w:pPr>
      <w:r>
        <w:rPr>
          <w:rFonts w:hint="eastAsia" w:ascii="Times New Roman" w:hAnsi="Times New Roman" w:eastAsia="仿宋_GB2312" w:cstheme="minorBidi"/>
          <w:color w:val="auto"/>
          <w:kern w:val="34"/>
        </w:rPr>
        <w:t>现在，我代表区人民政府向大会报告工作，请予审议，并请政协委员和其他列席人员提出意见。</w:t>
      </w:r>
    </w:p>
    <w:p w14:paraId="17E9EF88">
      <w:pPr>
        <w:keepNext w:val="0"/>
        <w:keepLines w:val="0"/>
        <w:pageBreakBefore w:val="0"/>
        <w:widowControl w:val="0"/>
        <w:kinsoku/>
        <w:wordWrap/>
        <w:overflowPunct/>
        <w:topLinePunct w:val="0"/>
        <w:autoSpaceDE/>
        <w:autoSpaceDN/>
        <w:bidi w:val="0"/>
        <w:snapToGrid/>
        <w:spacing w:line="579" w:lineRule="exact"/>
        <w:ind w:firstLine="632"/>
        <w:textAlignment w:val="auto"/>
        <w:rPr>
          <w:color w:val="auto"/>
        </w:rPr>
      </w:pPr>
    </w:p>
    <w:p w14:paraId="18BE3338">
      <w:pPr>
        <w:pStyle w:val="4"/>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cstheme="minorBidi"/>
          <w:color w:val="auto"/>
          <w:szCs w:val="32"/>
        </w:rPr>
      </w:pPr>
      <w:r>
        <w:rPr>
          <w:rFonts w:hint="eastAsia" w:ascii="Times New Roman" w:hAnsi="Times New Roman" w:cstheme="minorBidi"/>
          <w:color w:val="auto"/>
          <w:szCs w:val="32"/>
        </w:rPr>
        <w:t>2024年工作回顾</w:t>
      </w:r>
    </w:p>
    <w:p w14:paraId="5BB55F0D">
      <w:pPr>
        <w:keepNext w:val="0"/>
        <w:keepLines w:val="0"/>
        <w:pageBreakBefore w:val="0"/>
        <w:widowControl w:val="0"/>
        <w:kinsoku/>
        <w:wordWrap/>
        <w:overflowPunct/>
        <w:topLinePunct w:val="0"/>
        <w:autoSpaceDE/>
        <w:autoSpaceDN/>
        <w:bidi w:val="0"/>
        <w:snapToGrid/>
        <w:spacing w:line="579" w:lineRule="exact"/>
        <w:textAlignment w:val="auto"/>
        <w:rPr>
          <w:rFonts w:ascii="Times New Roman" w:hAnsi="Times New Roman"/>
          <w:color w:val="auto"/>
        </w:rPr>
      </w:pPr>
    </w:p>
    <w:p w14:paraId="6E602C01">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Times New Roman" w:hAnsi="Times New Roman" w:eastAsia="仿宋_GB2312"/>
          <w:color w:val="auto"/>
          <w:kern w:val="34"/>
        </w:rPr>
        <w:t>2024年是新中国成立75周年，是实现“十四五”规划目标任务的关键一年。一年来，全区上下坚持以习近平新时代中国特色社会主义思想为指导，全面学习贯彻党的二十大和二十届二中、三中全会精神，深入贯彻习近平总书记考察安徽重要讲话精神，坚定拥护“两个确立”，坚决做到“两个维护”，在市委市政府和区委的坚强领导下，锚定市委“六个开创新局面”要求，纵深推进“三大行动”，加快建设“五大瑶海”，真抓实干、攻坚奋进，较好完成了区五届人大第三次会议确定的主要目标任务，瑶海高质量转型发展基础不断夯实。</w:t>
      </w:r>
    </w:p>
    <w:p w14:paraId="2E5B2A3F">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Times New Roman" w:hAnsi="Times New Roman" w:eastAsia="仿宋_GB2312"/>
          <w:color w:val="auto"/>
          <w:kern w:val="34"/>
        </w:rPr>
        <w:t>回顾一年的工作，我们主要取得以下成效：</w:t>
      </w:r>
    </w:p>
    <w:p w14:paraId="39945A0C">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——综合实力持续提升。</w:t>
      </w:r>
      <w:r>
        <w:rPr>
          <w:rFonts w:hint="eastAsia" w:ascii="Times New Roman" w:hAnsi="Times New Roman" w:eastAsia="仿宋_GB2312"/>
          <w:color w:val="auto"/>
          <w:kern w:val="34"/>
        </w:rPr>
        <w:t>连续3年承办世界制造业大会纺织服装产业发展论坛，发展民营经济工作考核连续2年位列全省一类县市区前列。位居2024全国投资潜力百强区第59位、2024全国新型城镇化质量百强区第83位、2024中国中部地区综合竞争力百强区第47位，连续入围“赛迪百强区”且位次前移2位。</w:t>
      </w:r>
    </w:p>
    <w:p w14:paraId="090DE2D8">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——经济发展难中有进。</w:t>
      </w:r>
      <w:r>
        <w:rPr>
          <w:rFonts w:hint="eastAsia" w:ascii="Times New Roman" w:hAnsi="Times New Roman" w:eastAsia="仿宋_GB2312"/>
          <w:color w:val="auto"/>
          <w:kern w:val="34"/>
        </w:rPr>
        <w:t>预计，全年实现地区生产总值800亿元左右、增速</w:t>
      </w:r>
      <w:r>
        <w:rPr>
          <w:rFonts w:ascii="Times New Roman" w:hAnsi="Times New Roman" w:eastAsia="仿宋_GB2312"/>
          <w:color w:val="auto"/>
          <w:kern w:val="34"/>
        </w:rPr>
        <w:t>4</w:t>
      </w:r>
      <w:r>
        <w:rPr>
          <w:rFonts w:hint="eastAsia" w:ascii="Times New Roman" w:hAnsi="Times New Roman" w:eastAsia="仿宋_GB2312"/>
          <w:color w:val="auto"/>
          <w:kern w:val="34"/>
        </w:rPr>
        <w:t>%，固定资产投资增速1</w:t>
      </w:r>
      <w:r>
        <w:rPr>
          <w:rFonts w:ascii="Times New Roman" w:hAnsi="Times New Roman" w:eastAsia="仿宋_GB2312"/>
          <w:color w:val="auto"/>
          <w:kern w:val="34"/>
        </w:rPr>
        <w:t>6</w:t>
      </w:r>
      <w:r>
        <w:rPr>
          <w:rFonts w:hint="eastAsia" w:ascii="Times New Roman" w:hAnsi="Times New Roman" w:eastAsia="仿宋_GB2312"/>
          <w:color w:val="auto"/>
          <w:kern w:val="34"/>
        </w:rPr>
        <w:t>%以上、主城区第1，其他营利性服务业营收增速2</w:t>
      </w:r>
      <w:r>
        <w:rPr>
          <w:rFonts w:ascii="Times New Roman" w:hAnsi="Times New Roman" w:eastAsia="仿宋_GB2312"/>
          <w:color w:val="auto"/>
          <w:kern w:val="34"/>
        </w:rPr>
        <w:t>6</w:t>
      </w:r>
      <w:r>
        <w:rPr>
          <w:rFonts w:hint="eastAsia" w:ascii="Times New Roman" w:hAnsi="Times New Roman" w:eastAsia="仿宋_GB2312"/>
          <w:color w:val="auto"/>
          <w:kern w:val="34"/>
        </w:rPr>
        <w:t>%左右、主城区第1，社会消费品零售总额增速</w:t>
      </w:r>
      <w:r>
        <w:rPr>
          <w:rFonts w:ascii="Times New Roman" w:hAnsi="Times New Roman" w:eastAsia="仿宋_GB2312"/>
          <w:color w:val="auto"/>
          <w:kern w:val="34"/>
        </w:rPr>
        <w:t>3</w:t>
      </w:r>
      <w:r>
        <w:rPr>
          <w:rFonts w:hint="eastAsia" w:ascii="Times New Roman" w:hAnsi="Times New Roman" w:eastAsia="仿宋_GB2312"/>
          <w:color w:val="auto"/>
          <w:kern w:val="34"/>
        </w:rPr>
        <w:t>%左右，</w:t>
      </w:r>
      <w:r>
        <w:rPr>
          <w:rFonts w:hint="eastAsia" w:ascii="Times New Roman" w:hAnsi="Times New Roman" w:eastAsia="仿宋_GB2312"/>
          <w:color w:val="auto"/>
        </w:rPr>
        <w:t>一般公共预算收入增速</w:t>
      </w:r>
      <w:r>
        <w:rPr>
          <w:rFonts w:ascii="Times New Roman" w:hAnsi="Times New Roman" w:eastAsia="仿宋_GB2312"/>
          <w:color w:val="auto"/>
        </w:rPr>
        <w:t>2%左右，</w:t>
      </w:r>
      <w:r>
        <w:rPr>
          <w:rFonts w:hint="eastAsia" w:ascii="Times New Roman" w:hAnsi="Times New Roman" w:eastAsia="仿宋_GB2312"/>
          <w:color w:val="auto"/>
          <w:kern w:val="34"/>
        </w:rPr>
        <w:t>城镇居民人均可支配收入增速快于经济增长。</w:t>
      </w:r>
    </w:p>
    <w:p w14:paraId="67A8EF38">
      <w:pPr>
        <w:keepNext w:val="0"/>
        <w:keepLines w:val="0"/>
        <w:pageBreakBefore w:val="0"/>
        <w:widowControl w:val="0"/>
        <w:kinsoku/>
        <w:wordWrap/>
        <w:overflowPunct/>
        <w:topLinePunct w:val="0"/>
        <w:autoSpaceDE/>
        <w:autoSpaceDN/>
        <w:bidi w:val="0"/>
        <w:snapToGrid/>
        <w:spacing w:line="579" w:lineRule="exact"/>
        <w:ind w:firstLine="632"/>
        <w:textAlignment w:val="auto"/>
        <w:rPr>
          <w:color w:val="auto"/>
        </w:rPr>
      </w:pPr>
      <w:r>
        <w:rPr>
          <w:rFonts w:hint="eastAsia" w:ascii="黑体" w:hAnsi="黑体" w:eastAsia="黑体" w:cs="黑体"/>
          <w:color w:val="auto"/>
          <w:kern w:val="34"/>
        </w:rPr>
        <w:t>——产业转型步履坚实。</w:t>
      </w:r>
      <w:r>
        <w:rPr>
          <w:rFonts w:hint="eastAsia" w:ascii="Times New Roman" w:hAnsi="Times New Roman" w:eastAsia="仿宋_GB2312"/>
          <w:color w:val="auto"/>
          <w:kern w:val="34"/>
        </w:rPr>
        <w:t>“中国网谷”产值</w:t>
      </w:r>
      <w:r>
        <w:rPr>
          <w:rFonts w:hint="eastAsia" w:ascii="Times New Roman" w:hAnsi="Times New Roman" w:eastAsia="仿宋_GB2312"/>
          <w:color w:val="auto"/>
          <w:kern w:val="34"/>
          <w:lang w:eastAsia="zh-CN"/>
        </w:rPr>
        <w:t>（营收）</w:t>
      </w:r>
      <w:r>
        <w:rPr>
          <w:rFonts w:hint="eastAsia" w:ascii="Times New Roman" w:hAnsi="Times New Roman" w:eastAsia="仿宋_GB2312"/>
          <w:color w:val="auto"/>
          <w:kern w:val="34"/>
        </w:rPr>
        <w:t>突破100亿元，增速</w:t>
      </w:r>
      <w:r>
        <w:rPr>
          <w:rFonts w:ascii="Times New Roman" w:hAnsi="Times New Roman" w:eastAsia="仿宋_GB2312"/>
          <w:color w:val="auto"/>
          <w:kern w:val="34"/>
        </w:rPr>
        <w:t>24</w:t>
      </w:r>
      <w:r>
        <w:rPr>
          <w:rFonts w:hint="eastAsia" w:ascii="Times New Roman" w:hAnsi="Times New Roman" w:eastAsia="仿宋_GB2312"/>
          <w:color w:val="auto"/>
          <w:kern w:val="34"/>
        </w:rPr>
        <w:t>%左右。科技创新指数位居全省城区第3，安徽省现代农业发展中心国家级博士后科研工作站揭牌，国家级创新平台实现“零”的突破。皖垦种业获评农业产业化国家重点龙头企业</w:t>
      </w:r>
      <w:r>
        <w:rPr>
          <w:rFonts w:hint="eastAsia" w:ascii="Times New Roman" w:hAnsi="Times New Roman" w:eastAsia="仿宋_GB2312"/>
          <w:color w:val="auto"/>
          <w:kern w:val="34"/>
          <w:lang w:eastAsia="zh-CN"/>
        </w:rPr>
        <w:t>，区税务局第一税务分局（办税服务厅）获评全国税务系统先进集体。</w:t>
      </w:r>
      <w:r>
        <w:rPr>
          <w:rFonts w:hint="eastAsia" w:ascii="Times New Roman" w:hAnsi="Times New Roman" w:eastAsia="仿宋_GB2312"/>
          <w:color w:val="auto"/>
          <w:kern w:val="34"/>
        </w:rPr>
        <w:t>老工业基地调整改造成效明显，再获省政府督查激励。</w:t>
      </w:r>
    </w:p>
    <w:p w14:paraId="0D8F53C7">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——城市更新稳步推进。</w:t>
      </w:r>
      <w:r>
        <w:rPr>
          <w:rFonts w:hint="eastAsia" w:ascii="Times New Roman" w:hAnsi="Times New Roman" w:eastAsia="仿宋_GB2312"/>
          <w:color w:val="auto"/>
          <w:kern w:val="34"/>
        </w:rPr>
        <w:t>中国（合肥）服装原创设计基地开街，新鸿安片区征迁上市，火车站</w:t>
      </w:r>
      <w:r>
        <w:rPr>
          <w:rFonts w:ascii="Times New Roman" w:hAnsi="Times New Roman" w:eastAsia="仿宋_GB2312"/>
          <w:color w:val="auto"/>
          <w:kern w:val="34"/>
        </w:rPr>
        <w:t>片区面貌焕然一新</w:t>
      </w:r>
      <w:r>
        <w:rPr>
          <w:rFonts w:hint="eastAsia" w:ascii="Times New Roman" w:hAnsi="Times New Roman" w:eastAsia="仿宋_GB2312"/>
          <w:color w:val="auto"/>
          <w:kern w:val="34"/>
        </w:rPr>
        <w:t>。</w:t>
      </w:r>
      <w:r>
        <w:rPr>
          <w:rFonts w:ascii="Times New Roman" w:hAnsi="Times New Roman" w:eastAsia="仿宋_GB2312"/>
          <w:color w:val="auto"/>
          <w:kern w:val="34"/>
        </w:rPr>
        <w:t>星海湾</w:t>
      </w:r>
      <w:r>
        <w:rPr>
          <w:rFonts w:hint="eastAsia" w:ascii="Times New Roman" w:hAnsi="Times New Roman" w:eastAsia="仿宋_GB2312"/>
          <w:color w:val="auto"/>
          <w:kern w:val="34"/>
        </w:rPr>
        <w:t>项目和</w:t>
      </w:r>
      <w:r>
        <w:rPr>
          <w:rFonts w:ascii="Times New Roman" w:hAnsi="Times New Roman" w:eastAsia="仿宋_GB2312"/>
          <w:color w:val="auto"/>
          <w:kern w:val="34"/>
        </w:rPr>
        <w:t>市党风廉政教育基地</w:t>
      </w:r>
      <w:r>
        <w:rPr>
          <w:rFonts w:hint="eastAsia" w:ascii="Times New Roman" w:hAnsi="Times New Roman" w:eastAsia="仿宋_GB2312"/>
          <w:color w:val="auto"/>
          <w:kern w:val="34"/>
        </w:rPr>
        <w:t>项目</w:t>
      </w:r>
      <w:r>
        <w:rPr>
          <w:rFonts w:hint="eastAsia" w:ascii="仿宋_GB2312" w:hAnsi="Times New Roman" w:eastAsia="仿宋_GB2312"/>
          <w:color w:val="auto"/>
          <w:kern w:val="34"/>
        </w:rPr>
        <w:t>荣获“黄山杯”奖</w:t>
      </w:r>
      <w:r>
        <w:rPr>
          <w:rFonts w:hint="eastAsia" w:ascii="Times New Roman" w:hAnsi="Times New Roman" w:eastAsia="仿宋_GB2312"/>
          <w:color w:val="auto"/>
          <w:kern w:val="34"/>
        </w:rPr>
        <w:t>，郎溪路、包公大道项目通过全国市政工程最高质量水平评价，广德路项目获评第16届“中国钢结构金奖”。</w:t>
      </w:r>
    </w:p>
    <w:p w14:paraId="24295DE1">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——环境提升成效显著。</w:t>
      </w:r>
      <w:r>
        <w:rPr>
          <w:rFonts w:hint="eastAsia" w:ascii="Times New Roman" w:hAnsi="Times New Roman" w:eastAsia="仿宋_GB2312"/>
          <w:color w:val="auto"/>
          <w:kern w:val="34"/>
        </w:rPr>
        <w:t>全力以赴配合做好中央生态环保督察工作，转办信访件主城区最少并全部按时办结。全市城区首个EOD</w:t>
      </w:r>
      <w:r>
        <w:rPr>
          <w:rFonts w:hint="eastAsia" w:ascii="仿宋_GB2312"/>
          <w:color w:val="auto"/>
          <w:vertAlign w:val="superscript"/>
        </w:rPr>
        <w:t>〔1〕</w:t>
      </w:r>
      <w:r>
        <w:rPr>
          <w:rFonts w:hint="eastAsia" w:ascii="Times New Roman" w:hAnsi="Times New Roman" w:eastAsia="仿宋_GB2312"/>
          <w:color w:val="auto"/>
          <w:kern w:val="34"/>
        </w:rPr>
        <w:t>项目开工建设，二十埠河获评省级幸福河湖，青年创意田园二期获评</w:t>
      </w:r>
      <w:r>
        <w:rPr>
          <w:rFonts w:ascii="Times New Roman" w:hAnsi="Times New Roman" w:eastAsia="仿宋_GB2312"/>
          <w:color w:val="auto"/>
          <w:kern w:val="34"/>
        </w:rPr>
        <w:t>2024</w:t>
      </w:r>
      <w:r>
        <w:rPr>
          <w:rFonts w:hint="eastAsia" w:ascii="Times New Roman" w:hAnsi="Times New Roman" w:eastAsia="仿宋_GB2312"/>
          <w:color w:val="auto"/>
          <w:kern w:val="34"/>
        </w:rPr>
        <w:t>年安徽省重点生态环境保护示范工程，土壤污染治理工作经验入选</w:t>
      </w:r>
      <w:r>
        <w:rPr>
          <w:rFonts w:ascii="Times New Roman" w:hAnsi="Times New Roman" w:eastAsia="仿宋_GB2312"/>
          <w:color w:val="auto"/>
          <w:kern w:val="34"/>
        </w:rPr>
        <w:t>2024</w:t>
      </w:r>
      <w:r>
        <w:rPr>
          <w:rFonts w:hint="eastAsia" w:ascii="Times New Roman" w:hAnsi="Times New Roman" w:eastAsia="仿宋_GB2312"/>
          <w:color w:val="auto"/>
          <w:kern w:val="34"/>
        </w:rPr>
        <w:t>年度习近平生态文明思想实践案例选题。</w:t>
      </w:r>
    </w:p>
    <w:p w14:paraId="42958020">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——居民生活不断改善。</w:t>
      </w:r>
      <w:r>
        <w:rPr>
          <w:rFonts w:hint="eastAsia" w:ascii="Times New Roman" w:hAnsi="Times New Roman" w:eastAsia="仿宋_GB2312"/>
          <w:color w:val="auto"/>
          <w:kern w:val="34"/>
        </w:rPr>
        <w:t>办人民满意教育，</w:t>
      </w:r>
      <w:r>
        <w:rPr>
          <w:rFonts w:hint="eastAsia" w:ascii="Times New Roman" w:hAnsi="Times New Roman" w:eastAsia="仿宋_GB2312"/>
          <w:color w:val="auto"/>
        </w:rPr>
        <w:t>义务教育优质均衡发展区创建工作</w:t>
      </w:r>
      <w:r>
        <w:rPr>
          <w:rFonts w:hint="eastAsia" w:ascii="Times New Roman" w:hAnsi="Times New Roman" w:eastAsia="仿宋_GB2312"/>
          <w:color w:val="auto"/>
          <w:lang w:eastAsia="zh-CN"/>
        </w:rPr>
        <w:t>通过</w:t>
      </w:r>
      <w:r>
        <w:rPr>
          <w:rFonts w:hint="eastAsia" w:ascii="Times New Roman" w:hAnsi="Times New Roman" w:eastAsia="仿宋_GB2312"/>
          <w:color w:val="auto"/>
        </w:rPr>
        <w:t>国家督导</w:t>
      </w:r>
      <w:r>
        <w:rPr>
          <w:rFonts w:hint="eastAsia" w:ascii="Times New Roman" w:hAnsi="Times New Roman" w:eastAsia="仿宋_GB2312"/>
          <w:color w:val="auto"/>
          <w:lang w:eastAsia="zh-CN"/>
        </w:rPr>
        <w:t>评估</w:t>
      </w:r>
      <w:r>
        <w:rPr>
          <w:rFonts w:hint="eastAsia" w:ascii="Times New Roman" w:hAnsi="Times New Roman" w:eastAsia="仿宋_GB2312"/>
          <w:color w:val="auto"/>
        </w:rPr>
        <w:t>认定，三十八中荣获全国教育系统先进集体，劳动教育案例入选中国基础教育实践创新典型案例</w:t>
      </w:r>
      <w:r>
        <w:rPr>
          <w:rFonts w:hint="eastAsia" w:ascii="Times New Roman" w:hAnsi="Times New Roman" w:eastAsia="仿宋_GB2312"/>
          <w:color w:val="auto"/>
          <w:kern w:val="34"/>
        </w:rPr>
        <w:t>。推进健康瑶海建设，中医馆建设实现社区卫生服务中心全覆盖，获评全省医养结合创新发展试点地区，创成全国健康区。</w:t>
      </w:r>
    </w:p>
    <w:p w14:paraId="296B81FD">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rPr>
      </w:pPr>
      <w:r>
        <w:rPr>
          <w:rFonts w:hint="eastAsia" w:ascii="黑体" w:hAnsi="黑体" w:eastAsia="黑体" w:cs="黑体"/>
          <w:color w:val="auto"/>
          <w:kern w:val="34"/>
        </w:rPr>
        <w:t>——基层治理亮点纷呈。</w:t>
      </w:r>
      <w:r>
        <w:rPr>
          <w:rFonts w:ascii="Times New Roman" w:hAnsi="Times New Roman" w:eastAsia="仿宋_GB2312"/>
          <w:color w:val="auto"/>
          <w:kern w:val="34"/>
        </w:rPr>
        <w:t>完成乡镇（街道）管理体制改革，调整</w:t>
      </w:r>
      <w:r>
        <w:rPr>
          <w:rFonts w:hint="eastAsia" w:ascii="Times New Roman" w:hAnsi="Times New Roman" w:eastAsia="仿宋_GB2312"/>
          <w:color w:val="auto"/>
          <w:kern w:val="34"/>
        </w:rPr>
        <w:t>新增5</w:t>
      </w:r>
      <w:r>
        <w:rPr>
          <w:rFonts w:ascii="Times New Roman" w:hAnsi="Times New Roman" w:eastAsia="仿宋_GB2312"/>
          <w:color w:val="auto"/>
          <w:kern w:val="34"/>
        </w:rPr>
        <w:t>个社区</w:t>
      </w:r>
      <w:r>
        <w:rPr>
          <w:rFonts w:hint="eastAsia" w:ascii="Times New Roman" w:hAnsi="Times New Roman" w:eastAsia="仿宋_GB2312"/>
          <w:color w:val="auto"/>
          <w:kern w:val="34"/>
        </w:rPr>
        <w:t>，基层治理力量得到增强优化</w:t>
      </w:r>
      <w:r>
        <w:rPr>
          <w:rFonts w:ascii="Times New Roman" w:hAnsi="Times New Roman" w:eastAsia="仿宋_GB2312"/>
          <w:color w:val="auto"/>
          <w:kern w:val="34"/>
        </w:rPr>
        <w:t>。</w:t>
      </w:r>
      <w:r>
        <w:rPr>
          <w:rFonts w:hint="eastAsia" w:ascii="Times New Roman" w:hAnsi="Times New Roman" w:eastAsia="仿宋_GB2312"/>
          <w:color w:val="auto"/>
          <w:kern w:val="34"/>
        </w:rPr>
        <w:t>“恒通做法”全区推广，恒通社区获评全省最美志愿服务社区。</w:t>
      </w:r>
      <w:r>
        <w:rPr>
          <w:rFonts w:hint="eastAsia" w:ascii="仿宋_GB2312" w:hAnsi="仿宋_GB2312" w:eastAsia="仿宋_GB2312" w:cs="仿宋_GB2312"/>
          <w:color w:val="auto"/>
        </w:rPr>
        <w:t>蝉联“安徽省文明城区”称号</w:t>
      </w:r>
      <w:r>
        <w:rPr>
          <w:rFonts w:ascii="仿宋_GB2312" w:hAnsi="仿宋_GB2312" w:eastAsia="仿宋_GB2312" w:cs="仿宋_GB2312"/>
          <w:color w:val="auto"/>
        </w:rPr>
        <w:t>，</w:t>
      </w:r>
      <w:r>
        <w:rPr>
          <w:rFonts w:ascii="Times New Roman" w:hAnsi="Times New Roman" w:eastAsia="仿宋_GB2312"/>
          <w:color w:val="auto"/>
          <w:kern w:val="34"/>
        </w:rPr>
        <w:t>红石榴民族文化交流中心获评全国民族团结进步模范集体</w:t>
      </w:r>
      <w:r>
        <w:rPr>
          <w:rFonts w:hint="eastAsia" w:ascii="仿宋_GB2312" w:hAnsi="仿宋_GB2312" w:eastAsia="仿宋_GB2312" w:cs="仿宋_GB2312"/>
          <w:color w:val="auto"/>
        </w:rPr>
        <w:t>，</w:t>
      </w:r>
      <w:r>
        <w:rPr>
          <w:rFonts w:hint="eastAsia" w:ascii="Times New Roman" w:hAnsi="Times New Roman" w:eastAsia="仿宋_GB2312"/>
          <w:color w:val="auto"/>
          <w:kern w:val="34"/>
        </w:rPr>
        <w:t>区市场监管</w:t>
      </w:r>
      <w:r>
        <w:rPr>
          <w:rFonts w:ascii="Times New Roman" w:hAnsi="Times New Roman" w:eastAsia="仿宋_GB2312"/>
          <w:color w:val="auto"/>
          <w:kern w:val="34"/>
        </w:rPr>
        <w:t>局获评</w:t>
      </w:r>
      <w:r>
        <w:rPr>
          <w:rFonts w:hint="eastAsia" w:ascii="Times New Roman" w:hAnsi="Times New Roman" w:eastAsia="仿宋_GB2312"/>
          <w:color w:val="auto"/>
          <w:kern w:val="34"/>
        </w:rPr>
        <w:t>全国市场监管系统先进集体。</w:t>
      </w:r>
      <w:r>
        <w:rPr>
          <w:rFonts w:hint="eastAsia" w:ascii="Times New Roman" w:hAnsi="Times New Roman" w:eastAsia="仿宋_GB2312"/>
          <w:color w:val="auto"/>
        </w:rPr>
        <w:t>食品安全工作成效显著，获省政府督查激励。</w:t>
      </w:r>
    </w:p>
    <w:p w14:paraId="49E6A9EE">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Times New Roman" w:hAnsi="Times New Roman" w:eastAsia="仿宋_GB2312"/>
          <w:color w:val="auto"/>
          <w:kern w:val="34"/>
        </w:rPr>
        <w:t>一年来，我们重点抓好以下工作：</w:t>
      </w:r>
    </w:p>
    <w:p w14:paraId="7E2D405F">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黑体"/>
          <w:color w:val="auto"/>
          <w:kern w:val="34"/>
        </w:rPr>
      </w:pPr>
      <w:r>
        <w:rPr>
          <w:rFonts w:hint="eastAsia" w:ascii="黑体" w:hAnsi="黑体" w:eastAsia="黑体" w:cs="黑体"/>
          <w:color w:val="auto"/>
          <w:kern w:val="34"/>
        </w:rPr>
        <w:t>一、聚焦“新中心+主战场”定位，东部新中心建设步入新阶段</w:t>
      </w:r>
    </w:p>
    <w:p w14:paraId="746A1F88">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保障要素有新优化。</w:t>
      </w:r>
      <w:r>
        <w:rPr>
          <w:rFonts w:hint="eastAsia" w:ascii="Times New Roman" w:hAnsi="Times New Roman" w:eastAsia="仿宋_GB2312"/>
          <w:color w:val="auto"/>
          <w:kern w:val="34"/>
        </w:rPr>
        <w:t>调整优化区级领导工作机制，有效增强瑶海片区工作合力和质效。持续深化优化核心区城市设计规划方案，面积扩容至10.4平方公里。瑶海片区单元控规和成片开发方案全覆盖，完成胡岗街坊控规编制，建设发展方向更加明晰。污染土壤治理大头落地，氯碱化工地块修复加快推进，合肥造纸厂地块进场修复，累计完成</w:t>
      </w:r>
      <w:r>
        <w:rPr>
          <w:rFonts w:ascii="Times New Roman" w:hAnsi="Times New Roman" w:eastAsia="仿宋_GB2312"/>
          <w:color w:val="auto"/>
          <w:kern w:val="34"/>
        </w:rPr>
        <w:t>修复</w:t>
      </w:r>
      <w:r>
        <w:rPr>
          <w:rFonts w:hint="eastAsia" w:ascii="Times New Roman" w:hAnsi="Times New Roman" w:eastAsia="仿宋_GB2312"/>
          <w:color w:val="auto"/>
          <w:kern w:val="34"/>
        </w:rPr>
        <w:t>400</w:t>
      </w:r>
      <w:r>
        <w:rPr>
          <w:rFonts w:ascii="Times New Roman" w:hAnsi="Times New Roman" w:eastAsia="仿宋_GB2312"/>
          <w:color w:val="auto"/>
          <w:kern w:val="34"/>
        </w:rPr>
        <w:t>8</w:t>
      </w:r>
      <w:r>
        <w:rPr>
          <w:rFonts w:hint="eastAsia" w:ascii="Times New Roman" w:hAnsi="Times New Roman" w:eastAsia="仿宋_GB2312"/>
          <w:color w:val="auto"/>
          <w:kern w:val="34"/>
        </w:rPr>
        <w:t>亩、出库2935亩。深挖工业印记，统筹抓好城市更新和工业遗产保护利用，合肥钢铁厂通过国家工业遗产复核。</w:t>
      </w:r>
    </w:p>
    <w:p w14:paraId="77D4FD30">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片区面貌有新变化。</w:t>
      </w:r>
      <w:r>
        <w:rPr>
          <w:rFonts w:hint="eastAsia" w:ascii="Times New Roman" w:hAnsi="Times New Roman" w:eastAsia="仿宋_GB2312"/>
          <w:color w:val="auto"/>
          <w:kern w:val="34"/>
        </w:rPr>
        <w:t>瑶海片区实施朱岗、胡岗等31个征迁项目，完成征迁</w:t>
      </w:r>
      <w:r>
        <w:rPr>
          <w:rFonts w:hint="eastAsia" w:ascii="Times New Roman" w:hAnsi="Times New Roman" w:eastAsia="仿宋_GB2312"/>
          <w:color w:val="auto"/>
          <w:kern w:val="34"/>
          <w:lang w:val="en-US" w:eastAsia="zh-CN"/>
        </w:rPr>
        <w:t>19.3</w:t>
      </w:r>
      <w:r>
        <w:rPr>
          <w:rFonts w:hint="eastAsia" w:ascii="Times New Roman" w:hAnsi="Times New Roman" w:eastAsia="仿宋_GB2312"/>
          <w:color w:val="auto"/>
          <w:kern w:val="34"/>
        </w:rPr>
        <w:t>万平方米。基本完成裕溪路沿线等重点区域征迁，核心片区形象大幅提升。累计完成老合钢区域危房解危处置27</w:t>
      </w:r>
      <w:r>
        <w:rPr>
          <w:rFonts w:ascii="Times New Roman" w:hAnsi="Times New Roman" w:eastAsia="仿宋_GB2312"/>
          <w:color w:val="auto"/>
          <w:kern w:val="34"/>
        </w:rPr>
        <w:t>79</w:t>
      </w:r>
      <w:r>
        <w:rPr>
          <w:rFonts w:hint="eastAsia" w:ascii="Times New Roman" w:hAnsi="Times New Roman" w:eastAsia="仿宋_GB2312"/>
          <w:color w:val="auto"/>
          <w:kern w:val="34"/>
        </w:rPr>
        <w:t>户、10.</w:t>
      </w:r>
      <w:r>
        <w:rPr>
          <w:rFonts w:ascii="Times New Roman" w:hAnsi="Times New Roman" w:eastAsia="仿宋_GB2312"/>
          <w:color w:val="auto"/>
          <w:kern w:val="34"/>
        </w:rPr>
        <w:t>5</w:t>
      </w:r>
      <w:r>
        <w:rPr>
          <w:rFonts w:hint="eastAsia" w:ascii="Times New Roman" w:hAnsi="Times New Roman" w:eastAsia="仿宋_GB2312"/>
          <w:color w:val="auto"/>
          <w:kern w:val="34"/>
        </w:rPr>
        <w:t>万平方米，完成率8</w:t>
      </w:r>
      <w:r>
        <w:rPr>
          <w:rFonts w:ascii="Times New Roman" w:hAnsi="Times New Roman" w:eastAsia="仿宋_GB2312"/>
          <w:color w:val="auto"/>
          <w:kern w:val="34"/>
        </w:rPr>
        <w:t>4</w:t>
      </w:r>
      <w:r>
        <w:rPr>
          <w:rFonts w:hint="eastAsia" w:ascii="Times New Roman" w:hAnsi="Times New Roman" w:eastAsia="仿宋_GB2312"/>
          <w:color w:val="auto"/>
          <w:kern w:val="34"/>
        </w:rPr>
        <w:t>%，一期项目启动安置。45项重点项目有序推进，完成投资约55亿元。轨道交通6号线、龙岗路项目保障有力，障山路、滨河路等4条支路建成，唐桥公园一期对外开放。龙溪苑等4个保障性住房项目建成交付，市博物馆、市儿童医院新区结构封顶。</w:t>
      </w:r>
    </w:p>
    <w:p w14:paraId="26C3D51F">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项目招引有新气象。</w:t>
      </w:r>
      <w:r>
        <w:rPr>
          <w:rFonts w:hint="eastAsia" w:ascii="Times New Roman" w:hAnsi="Times New Roman" w:eastAsia="仿宋_GB2312"/>
          <w:color w:val="auto"/>
          <w:kern w:val="34"/>
        </w:rPr>
        <w:t>瑶海片区全年签约落地重点产业项目</w:t>
      </w:r>
      <w:r>
        <w:rPr>
          <w:rFonts w:hint="eastAsia" w:ascii="Times New Roman" w:hAnsi="Times New Roman" w:eastAsia="仿宋_GB2312"/>
          <w:color w:val="auto"/>
          <w:kern w:val="34"/>
          <w:lang w:val="en-US" w:eastAsia="zh-CN"/>
        </w:rPr>
        <w:t>41</w:t>
      </w:r>
      <w:r>
        <w:rPr>
          <w:rFonts w:hint="eastAsia" w:ascii="Times New Roman" w:hAnsi="Times New Roman" w:eastAsia="仿宋_GB2312"/>
          <w:color w:val="auto"/>
          <w:kern w:val="34"/>
        </w:rPr>
        <w:t>个，亿元以上项目1</w:t>
      </w:r>
      <w:r>
        <w:rPr>
          <w:rFonts w:hint="eastAsia" w:ascii="Times New Roman" w:hAnsi="Times New Roman" w:eastAsia="仿宋_GB2312"/>
          <w:color w:val="auto"/>
          <w:kern w:val="34"/>
          <w:lang w:val="en-US" w:eastAsia="zh-CN"/>
        </w:rPr>
        <w:t>2</w:t>
      </w:r>
      <w:r>
        <w:rPr>
          <w:rFonts w:hint="eastAsia" w:ascii="Times New Roman" w:hAnsi="Times New Roman" w:eastAsia="仿宋_GB2312"/>
          <w:color w:val="auto"/>
          <w:kern w:val="34"/>
        </w:rPr>
        <w:t>个，投资总额</w:t>
      </w:r>
      <w:r>
        <w:rPr>
          <w:rFonts w:hint="eastAsia" w:ascii="Times New Roman" w:hAnsi="Times New Roman" w:eastAsia="仿宋_GB2312"/>
          <w:color w:val="auto"/>
          <w:kern w:val="34"/>
          <w:lang w:val="en-US" w:eastAsia="zh-CN"/>
        </w:rPr>
        <w:t>46</w:t>
      </w:r>
      <w:r>
        <w:rPr>
          <w:rFonts w:hint="eastAsia" w:ascii="Times New Roman" w:hAnsi="Times New Roman" w:eastAsia="仿宋_GB2312"/>
          <w:color w:val="auto"/>
          <w:kern w:val="34"/>
        </w:rPr>
        <w:t>亿元。中蓉智造、祺星科技等项目入驻互联宝地·徽园，创和大厦完成改造，中石油安徽公司顺利落户。优化产业用地规划，新能源产业园项目有序推进，区域发展能级不断提升。加快推进十</w:t>
      </w:r>
      <w:r>
        <w:rPr>
          <w:rFonts w:ascii="Times New Roman" w:hAnsi="Times New Roman" w:eastAsia="仿宋_GB2312"/>
          <w:color w:val="auto"/>
          <w:kern w:val="34"/>
        </w:rPr>
        <w:t>里</w:t>
      </w:r>
      <w:r>
        <w:rPr>
          <w:rFonts w:hint="eastAsia" w:ascii="Times New Roman" w:hAnsi="Times New Roman" w:eastAsia="仿宋_GB2312"/>
          <w:color w:val="auto"/>
          <w:kern w:val="34"/>
        </w:rPr>
        <w:t>产业长廊规划设计，积极谋划布局新一代信息技术、智能机器人等产业，因地制宜发展新质生产力。</w:t>
      </w:r>
    </w:p>
    <w:p w14:paraId="7DDA5A51">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二、聚焦“稳增长+兴产业”导向，产业转型实现新升级</w:t>
      </w:r>
    </w:p>
    <w:p w14:paraId="6ADC4651">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产业发展取得新突破。</w:t>
      </w:r>
      <w:r>
        <w:rPr>
          <w:rFonts w:hint="eastAsia" w:ascii="Times New Roman" w:hAnsi="Times New Roman" w:eastAsia="仿宋_GB2312"/>
          <w:color w:val="auto"/>
          <w:kern w:val="34"/>
        </w:rPr>
        <w:t>实施工业升规</w:t>
      </w:r>
      <w:r>
        <w:rPr>
          <w:rFonts w:ascii="Times New Roman" w:hAnsi="Times New Roman" w:eastAsia="仿宋_GB2312"/>
          <w:color w:val="auto"/>
          <w:kern w:val="34"/>
        </w:rPr>
        <w:t>提质</w:t>
      </w:r>
      <w:r>
        <w:rPr>
          <w:rFonts w:hint="eastAsia" w:ascii="Times New Roman" w:hAnsi="Times New Roman" w:eastAsia="仿宋_GB2312"/>
          <w:color w:val="auto"/>
          <w:kern w:val="34"/>
        </w:rPr>
        <w:t>三年行动，长三角数字科技示范园三期、研力电子产业园建成投用，禾丰科技低碳产业园加快建设，物联网科技产业园二期、三期即将开工。德恒汽车、盛芯科技等一批“小、专、精”工业企业落地，规上工</w:t>
      </w:r>
      <w:r>
        <w:rPr>
          <w:rFonts w:ascii="Times New Roman" w:hAnsi="Times New Roman" w:eastAsia="仿宋_GB2312"/>
          <w:color w:val="auto"/>
          <w:kern w:val="34"/>
        </w:rPr>
        <w:t>业企业</w:t>
      </w:r>
      <w:r>
        <w:rPr>
          <w:rFonts w:hint="eastAsia" w:ascii="Times New Roman" w:hAnsi="Times New Roman" w:eastAsia="仿宋_GB2312"/>
          <w:color w:val="auto"/>
          <w:kern w:val="34"/>
        </w:rPr>
        <w:t>数增长20</w:t>
      </w:r>
      <w:r>
        <w:rPr>
          <w:rFonts w:ascii="Times New Roman" w:hAnsi="Times New Roman" w:eastAsia="仿宋_GB2312"/>
          <w:color w:val="auto"/>
          <w:kern w:val="34"/>
        </w:rPr>
        <w:t>%</w:t>
      </w:r>
      <w:r>
        <w:rPr>
          <w:rFonts w:hint="eastAsia" w:ascii="Times New Roman" w:hAnsi="Times New Roman" w:eastAsia="仿宋_GB2312"/>
          <w:color w:val="auto"/>
          <w:kern w:val="34"/>
        </w:rPr>
        <w:t>，历年最高。服务业快速增长，新增规上服务业企业</w:t>
      </w:r>
      <w:r>
        <w:rPr>
          <w:rFonts w:ascii="Times New Roman" w:hAnsi="Times New Roman" w:eastAsia="仿宋_GB2312"/>
          <w:color w:val="auto"/>
          <w:kern w:val="34"/>
        </w:rPr>
        <w:t>51</w:t>
      </w:r>
      <w:r>
        <w:rPr>
          <w:rFonts w:hint="eastAsia" w:ascii="Times New Roman" w:hAnsi="Times New Roman" w:eastAsia="仿宋_GB2312"/>
          <w:color w:val="auto"/>
          <w:kern w:val="34"/>
        </w:rPr>
        <w:t>家，规上人力资源服务业营收增长</w:t>
      </w:r>
      <w:r>
        <w:rPr>
          <w:rFonts w:ascii="Times New Roman" w:hAnsi="Times New Roman" w:eastAsia="仿宋_GB2312"/>
          <w:color w:val="auto"/>
          <w:kern w:val="34"/>
        </w:rPr>
        <w:t>48.7</w:t>
      </w:r>
      <w:r>
        <w:rPr>
          <w:rFonts w:hint="eastAsia" w:ascii="Times New Roman" w:hAnsi="Times New Roman" w:eastAsia="仿宋_GB2312"/>
          <w:color w:val="auto"/>
          <w:kern w:val="34"/>
        </w:rPr>
        <w:t>%、全市第1，</w:t>
      </w:r>
      <w:r>
        <w:rPr>
          <w:rFonts w:ascii="Times New Roman" w:hAnsi="Times New Roman" w:eastAsia="仿宋_GB2312"/>
          <w:color w:val="auto"/>
          <w:kern w:val="34"/>
        </w:rPr>
        <w:t>徽商物流</w:t>
      </w:r>
      <w:r>
        <w:rPr>
          <w:rFonts w:hint="eastAsia" w:ascii="Times New Roman" w:hAnsi="Times New Roman" w:eastAsia="仿宋_GB2312"/>
          <w:color w:val="auto"/>
          <w:kern w:val="34"/>
        </w:rPr>
        <w:t>、百大周谷堆获评“国家5A级物流企业”称号。商贸业转型提速增效，吾悦广场、东兴城盛大开业，成功盘活</w:t>
      </w:r>
      <w:r>
        <w:rPr>
          <w:rFonts w:ascii="Times New Roman" w:hAnsi="Times New Roman" w:eastAsia="仿宋_GB2312"/>
          <w:color w:val="auto"/>
          <w:kern w:val="34"/>
        </w:rPr>
        <w:t>坝上街、</w:t>
      </w:r>
      <w:r>
        <w:rPr>
          <w:rFonts w:hint="eastAsia" w:ascii="Times New Roman" w:hAnsi="Times New Roman" w:eastAsia="仿宋_GB2312"/>
          <w:color w:val="auto"/>
          <w:kern w:val="34"/>
        </w:rPr>
        <w:t>紫鑫广场等长期</w:t>
      </w:r>
      <w:r>
        <w:rPr>
          <w:rFonts w:ascii="Times New Roman" w:hAnsi="Times New Roman" w:eastAsia="仿宋_GB2312"/>
          <w:color w:val="auto"/>
          <w:kern w:val="34"/>
        </w:rPr>
        <w:t>闲置商业综合体</w:t>
      </w:r>
      <w:r>
        <w:rPr>
          <w:rFonts w:hint="eastAsia" w:ascii="Times New Roman" w:hAnsi="Times New Roman" w:eastAsia="仿宋_GB2312"/>
          <w:color w:val="auto"/>
          <w:kern w:val="34"/>
        </w:rPr>
        <w:t>，长江180艺术街区获评“安徽省商文旅融合发展集聚区”“安徽特色商业街”，实现省级特色商业街区“零”的突破。MAH</w:t>
      </w:r>
      <w:r>
        <w:rPr>
          <w:rFonts w:hint="eastAsia" w:ascii="仿宋_GB2312"/>
          <w:color w:val="auto"/>
          <w:vertAlign w:val="superscript"/>
        </w:rPr>
        <w:t>〔</w:t>
      </w:r>
      <w:r>
        <w:rPr>
          <w:rFonts w:ascii="仿宋_GB2312"/>
          <w:color w:val="auto"/>
          <w:vertAlign w:val="superscript"/>
        </w:rPr>
        <w:t>2</w:t>
      </w:r>
      <w:r>
        <w:rPr>
          <w:rFonts w:hint="eastAsia" w:ascii="仿宋_GB2312"/>
          <w:color w:val="auto"/>
          <w:vertAlign w:val="superscript"/>
        </w:rPr>
        <w:t>〕</w:t>
      </w:r>
      <w:r>
        <w:rPr>
          <w:rFonts w:hint="eastAsia" w:ascii="Times New Roman" w:hAnsi="Times New Roman" w:eastAsia="仿宋_GB2312"/>
          <w:color w:val="auto"/>
          <w:kern w:val="34"/>
        </w:rPr>
        <w:t>产业体系逐步成型，药品上市许可持有人研究院正式运营，新增B证企业</w:t>
      </w:r>
      <w:r>
        <w:rPr>
          <w:rFonts w:ascii="Times New Roman" w:hAnsi="Times New Roman" w:eastAsia="仿宋_GB2312"/>
          <w:color w:val="auto"/>
          <w:kern w:val="34"/>
        </w:rPr>
        <w:t>3</w:t>
      </w:r>
      <w:r>
        <w:rPr>
          <w:rFonts w:hint="eastAsia" w:ascii="Times New Roman" w:hAnsi="Times New Roman" w:eastAsia="仿宋_GB2312"/>
          <w:color w:val="auto"/>
          <w:kern w:val="34"/>
        </w:rPr>
        <w:t>家，集聚医药企业</w:t>
      </w:r>
      <w:r>
        <w:rPr>
          <w:rFonts w:ascii="Times New Roman" w:hAnsi="Times New Roman" w:eastAsia="仿宋_GB2312"/>
          <w:color w:val="auto"/>
          <w:kern w:val="34"/>
        </w:rPr>
        <w:t>26</w:t>
      </w:r>
      <w:r>
        <w:rPr>
          <w:rFonts w:hint="eastAsia" w:ascii="Times New Roman" w:hAnsi="Times New Roman" w:eastAsia="仿宋_GB2312"/>
          <w:color w:val="auto"/>
          <w:kern w:val="34"/>
        </w:rPr>
        <w:t>家。</w:t>
      </w:r>
    </w:p>
    <w:p w14:paraId="4DB9021E">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双招双引注入新动能。</w:t>
      </w:r>
      <w:r>
        <w:rPr>
          <w:rFonts w:hint="eastAsia" w:ascii="Times New Roman" w:hAnsi="Times New Roman" w:eastAsia="仿宋_GB2312"/>
          <w:color w:val="auto"/>
          <w:kern w:val="34"/>
        </w:rPr>
        <w:t>全面落实“大招商”机制，新签约</w:t>
      </w:r>
      <w:r>
        <w:rPr>
          <w:rFonts w:ascii="Times New Roman" w:hAnsi="Times New Roman" w:eastAsia="仿宋_GB2312"/>
          <w:color w:val="auto"/>
          <w:kern w:val="34"/>
        </w:rPr>
        <w:t>重点</w:t>
      </w:r>
      <w:r>
        <w:rPr>
          <w:rFonts w:hint="eastAsia" w:ascii="Times New Roman" w:hAnsi="Times New Roman" w:eastAsia="仿宋_GB2312"/>
          <w:color w:val="auto"/>
          <w:kern w:val="34"/>
        </w:rPr>
        <w:t>产业项目</w:t>
      </w:r>
      <w:r>
        <w:rPr>
          <w:rFonts w:ascii="Times New Roman" w:hAnsi="Times New Roman" w:eastAsia="仿宋_GB2312"/>
          <w:color w:val="auto"/>
          <w:kern w:val="34"/>
        </w:rPr>
        <w:t>90</w:t>
      </w:r>
      <w:r>
        <w:rPr>
          <w:rFonts w:hint="eastAsia" w:ascii="Times New Roman" w:hAnsi="Times New Roman" w:eastAsia="仿宋_GB2312"/>
          <w:color w:val="auto"/>
          <w:kern w:val="34"/>
        </w:rPr>
        <w:t>个，总投资</w:t>
      </w:r>
      <w:r>
        <w:rPr>
          <w:rFonts w:ascii="Times New Roman" w:hAnsi="Times New Roman" w:eastAsia="仿宋_GB2312"/>
          <w:color w:val="auto"/>
          <w:kern w:val="34"/>
        </w:rPr>
        <w:t>220</w:t>
      </w:r>
      <w:r>
        <w:rPr>
          <w:rFonts w:hint="eastAsia" w:ascii="Times New Roman" w:hAnsi="Times New Roman" w:eastAsia="仿宋_GB2312"/>
          <w:color w:val="auto"/>
          <w:kern w:val="34"/>
        </w:rPr>
        <w:t>亿元，新增省外亿元以上项目1</w:t>
      </w:r>
      <w:r>
        <w:rPr>
          <w:rFonts w:ascii="Times New Roman" w:hAnsi="Times New Roman" w:eastAsia="仿宋_GB2312"/>
          <w:color w:val="auto"/>
          <w:kern w:val="34"/>
        </w:rPr>
        <w:t>8</w:t>
      </w:r>
      <w:r>
        <w:rPr>
          <w:rFonts w:hint="eastAsia" w:ascii="Times New Roman" w:hAnsi="Times New Roman" w:eastAsia="仿宋_GB2312"/>
          <w:color w:val="auto"/>
          <w:kern w:val="34"/>
        </w:rPr>
        <w:t>个。招商质效不断提升，乐聚机器人、和君纵达等22个总部项目落地运营，招引</w:t>
      </w:r>
      <w:r>
        <w:rPr>
          <w:rFonts w:ascii="Times New Roman" w:hAnsi="Times New Roman" w:eastAsia="仿宋_GB2312"/>
          <w:color w:val="auto"/>
          <w:kern w:val="34"/>
        </w:rPr>
        <w:t>60</w:t>
      </w:r>
      <w:r>
        <w:rPr>
          <w:rFonts w:hint="eastAsia" w:ascii="Times New Roman" w:hAnsi="Times New Roman" w:eastAsia="仿宋_GB2312"/>
          <w:color w:val="auto"/>
          <w:kern w:val="34"/>
        </w:rPr>
        <w:t>个腰部项目，增速</w:t>
      </w:r>
      <w:r>
        <w:rPr>
          <w:rFonts w:ascii="Times New Roman" w:hAnsi="Times New Roman" w:eastAsia="仿宋_GB2312"/>
          <w:color w:val="auto"/>
          <w:kern w:val="34"/>
        </w:rPr>
        <w:t>107</w:t>
      </w:r>
      <w:r>
        <w:rPr>
          <w:rFonts w:hint="eastAsia" w:ascii="Times New Roman" w:hAnsi="Times New Roman" w:eastAsia="仿宋_GB2312"/>
          <w:color w:val="auto"/>
          <w:kern w:val="34"/>
        </w:rPr>
        <w:t>%、</w:t>
      </w:r>
      <w:r>
        <w:rPr>
          <w:rFonts w:ascii="Times New Roman" w:hAnsi="Times New Roman" w:eastAsia="仿宋_GB2312"/>
          <w:color w:val="auto"/>
          <w:kern w:val="34"/>
        </w:rPr>
        <w:t>全市第</w:t>
      </w:r>
      <w:r>
        <w:rPr>
          <w:rFonts w:hint="eastAsia" w:ascii="Times New Roman" w:hAnsi="Times New Roman" w:eastAsia="仿宋_GB2312"/>
          <w:color w:val="auto"/>
          <w:kern w:val="34"/>
        </w:rPr>
        <w:t>1。“以投带引”动能强劲，天使基金组建运营，区级母基金组建进展顺利，基金招引落地项目</w:t>
      </w:r>
      <w:r>
        <w:rPr>
          <w:rFonts w:ascii="Times New Roman" w:hAnsi="Times New Roman" w:eastAsia="仿宋_GB2312"/>
          <w:color w:val="auto"/>
          <w:kern w:val="34"/>
        </w:rPr>
        <w:t>18</w:t>
      </w:r>
      <w:r>
        <w:rPr>
          <w:rFonts w:hint="eastAsia" w:ascii="Times New Roman" w:hAnsi="Times New Roman" w:eastAsia="仿宋_GB2312"/>
          <w:color w:val="auto"/>
          <w:kern w:val="34"/>
        </w:rPr>
        <w:t>个，完成投资</w:t>
      </w:r>
      <w:r>
        <w:rPr>
          <w:rFonts w:ascii="Times New Roman" w:hAnsi="Times New Roman" w:eastAsia="仿宋_GB2312"/>
          <w:color w:val="auto"/>
          <w:kern w:val="34"/>
        </w:rPr>
        <w:t>5</w:t>
      </w:r>
      <w:r>
        <w:rPr>
          <w:rFonts w:hint="eastAsia" w:ascii="Times New Roman" w:hAnsi="Times New Roman" w:eastAsia="仿宋_GB2312"/>
          <w:color w:val="auto"/>
          <w:kern w:val="34"/>
        </w:rPr>
        <w:t>亿元。“以商引商”成果丰硕，商协会大厦集聚商协会</w:t>
      </w:r>
      <w:r>
        <w:rPr>
          <w:rFonts w:ascii="Times New Roman" w:hAnsi="Times New Roman" w:eastAsia="仿宋_GB2312"/>
          <w:color w:val="auto"/>
          <w:kern w:val="34"/>
        </w:rPr>
        <w:t>149</w:t>
      </w:r>
      <w:r>
        <w:rPr>
          <w:rFonts w:hint="eastAsia" w:ascii="Times New Roman" w:hAnsi="Times New Roman" w:eastAsia="仿宋_GB2312"/>
          <w:color w:val="auto"/>
          <w:kern w:val="34"/>
        </w:rPr>
        <w:t>家，新招引落地企业</w:t>
      </w:r>
      <w:r>
        <w:rPr>
          <w:rFonts w:ascii="Times New Roman" w:hAnsi="Times New Roman" w:eastAsia="仿宋_GB2312"/>
          <w:color w:val="auto"/>
          <w:kern w:val="34"/>
        </w:rPr>
        <w:t>188</w:t>
      </w:r>
      <w:r>
        <w:rPr>
          <w:rFonts w:hint="eastAsia" w:ascii="Times New Roman" w:hAnsi="Times New Roman" w:eastAsia="仿宋_GB2312"/>
          <w:color w:val="auto"/>
          <w:kern w:val="34"/>
        </w:rPr>
        <w:t>家。“出海招商”重大突破，分别在香港、澳门建立新乡贤“双招双引”联络站，组团出访韩国和日本，外商直接投资20</w:t>
      </w:r>
      <w:r>
        <w:rPr>
          <w:rFonts w:ascii="Times New Roman" w:hAnsi="Times New Roman" w:eastAsia="仿宋_GB2312"/>
          <w:color w:val="auto"/>
          <w:kern w:val="34"/>
        </w:rPr>
        <w:t>42</w:t>
      </w:r>
      <w:r>
        <w:rPr>
          <w:rFonts w:hint="eastAsia" w:ascii="Times New Roman" w:hAnsi="Times New Roman" w:eastAsia="仿宋_GB2312"/>
          <w:color w:val="auto"/>
          <w:kern w:val="34"/>
        </w:rPr>
        <w:t>万美元。组织或承办“招才引智进高校”“高校青年瑶海行”“千名博士合肥行”等活动</w:t>
      </w:r>
      <w:r>
        <w:rPr>
          <w:rFonts w:ascii="Times New Roman" w:hAnsi="Times New Roman" w:eastAsia="仿宋_GB2312"/>
          <w:color w:val="auto"/>
          <w:kern w:val="34"/>
        </w:rPr>
        <w:t>20</w:t>
      </w:r>
      <w:r>
        <w:rPr>
          <w:rFonts w:hint="eastAsia" w:ascii="Times New Roman" w:hAnsi="Times New Roman" w:eastAsia="仿宋_GB2312"/>
          <w:color w:val="auto"/>
          <w:kern w:val="34"/>
        </w:rPr>
        <w:t>场，新增大专以上就业人员</w:t>
      </w:r>
      <w:r>
        <w:rPr>
          <w:rFonts w:ascii="Times New Roman" w:hAnsi="Times New Roman" w:eastAsia="仿宋_GB2312"/>
          <w:color w:val="auto"/>
          <w:kern w:val="34"/>
        </w:rPr>
        <w:t>19757</w:t>
      </w:r>
      <w:r>
        <w:rPr>
          <w:rFonts w:hint="eastAsia" w:ascii="Times New Roman" w:hAnsi="Times New Roman" w:eastAsia="仿宋_GB2312"/>
          <w:color w:val="auto"/>
          <w:kern w:val="34"/>
        </w:rPr>
        <w:t>人，新增高层次人才</w:t>
      </w:r>
      <w:r>
        <w:rPr>
          <w:rFonts w:ascii="Times New Roman" w:hAnsi="Times New Roman" w:eastAsia="仿宋_GB2312"/>
          <w:color w:val="auto"/>
          <w:kern w:val="34"/>
        </w:rPr>
        <w:t>409</w:t>
      </w:r>
      <w:r>
        <w:rPr>
          <w:rFonts w:hint="eastAsia" w:ascii="Times New Roman" w:hAnsi="Times New Roman" w:eastAsia="仿宋_GB2312"/>
          <w:color w:val="auto"/>
          <w:kern w:val="34"/>
        </w:rPr>
        <w:t>人、增速超400</w:t>
      </w:r>
      <w:r>
        <w:rPr>
          <w:rFonts w:ascii="Times New Roman" w:hAnsi="Times New Roman" w:eastAsia="仿宋_GB2312"/>
          <w:color w:val="auto"/>
          <w:kern w:val="34"/>
        </w:rPr>
        <w:t>%</w:t>
      </w:r>
      <w:r>
        <w:rPr>
          <w:rFonts w:hint="eastAsia" w:ascii="Times New Roman" w:hAnsi="Times New Roman" w:eastAsia="仿宋_GB2312"/>
          <w:color w:val="auto"/>
          <w:kern w:val="34"/>
        </w:rPr>
        <w:t>。</w:t>
      </w:r>
    </w:p>
    <w:p w14:paraId="55A5DA72">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改革创新激发新活力。</w:t>
      </w:r>
      <w:r>
        <w:rPr>
          <w:rFonts w:hint="eastAsia" w:ascii="Times New Roman" w:hAnsi="Times New Roman" w:eastAsia="仿宋_GB2312"/>
          <w:color w:val="auto"/>
          <w:kern w:val="34"/>
        </w:rPr>
        <w:t>完成新一轮区级机构改革，优化调整区级议事协调机构，行政和服务效能不断提升。纵深推进国资国企改革，改组成立复兴集团，建立国企</w:t>
      </w:r>
      <w:r>
        <w:rPr>
          <w:rFonts w:hint="eastAsia" w:ascii="Times New Roman" w:hAnsi="Times New Roman" w:eastAsia="仿宋_GB2312"/>
          <w:color w:val="auto"/>
        </w:rPr>
        <w:t>“一利五率</w:t>
      </w:r>
      <w:r>
        <w:rPr>
          <w:rFonts w:hint="eastAsia" w:ascii="仿宋_GB2312"/>
          <w:color w:val="auto"/>
          <w:vertAlign w:val="superscript"/>
        </w:rPr>
        <w:t>〔</w:t>
      </w:r>
      <w:r>
        <w:rPr>
          <w:rFonts w:ascii="仿宋_GB2312"/>
          <w:color w:val="auto"/>
          <w:vertAlign w:val="superscript"/>
        </w:rPr>
        <w:t>3</w:t>
      </w:r>
      <w:r>
        <w:rPr>
          <w:rFonts w:hint="eastAsia" w:ascii="仿宋_GB2312"/>
          <w:color w:val="auto"/>
          <w:vertAlign w:val="superscript"/>
        </w:rPr>
        <w:t>〕</w:t>
      </w:r>
      <w:r>
        <w:rPr>
          <w:rFonts w:hint="eastAsia" w:ascii="Times New Roman" w:hAnsi="Times New Roman" w:eastAsia="仿宋_GB2312"/>
          <w:color w:val="auto"/>
        </w:rPr>
        <w:t>”目标管理考核体系</w:t>
      </w:r>
      <w:r>
        <w:rPr>
          <w:rFonts w:hint="eastAsia" w:ascii="Times New Roman" w:hAnsi="Times New Roman" w:eastAsia="仿宋_GB2312"/>
          <w:color w:val="auto"/>
          <w:kern w:val="34"/>
        </w:rPr>
        <w:t>。支持企业创新创造，新增省市级众创空间</w:t>
      </w:r>
      <w:r>
        <w:rPr>
          <w:rFonts w:ascii="Times New Roman" w:hAnsi="Times New Roman" w:eastAsia="仿宋_GB2312"/>
          <w:color w:val="auto"/>
          <w:kern w:val="34"/>
        </w:rPr>
        <w:t>5</w:t>
      </w:r>
      <w:r>
        <w:rPr>
          <w:rFonts w:hint="eastAsia" w:ascii="Times New Roman" w:hAnsi="Times New Roman" w:eastAsia="仿宋_GB2312"/>
          <w:color w:val="auto"/>
          <w:kern w:val="34"/>
        </w:rPr>
        <w:t>家，安徽省禾丰热科学技术研究院成立，</w:t>
      </w:r>
      <w:r>
        <w:rPr>
          <w:rFonts w:ascii="Times New Roman" w:hAnsi="Times New Roman" w:eastAsia="仿宋_GB2312"/>
          <w:color w:val="auto"/>
          <w:kern w:val="34"/>
        </w:rPr>
        <w:t>47</w:t>
      </w:r>
      <w:r>
        <w:rPr>
          <w:rFonts w:hint="eastAsia" w:ascii="Times New Roman" w:hAnsi="Times New Roman" w:eastAsia="仿宋_GB2312"/>
          <w:color w:val="auto"/>
          <w:kern w:val="34"/>
        </w:rPr>
        <w:t>家企业获评省级创新型中小企业。连续7年承办中国创新创业大赛安徽赛区决赛，科技成果转化和科技招商新成立企业40家、增速160%。实施企业成长梯度培育行动，新增国家高新技术企业60家、增速35%，新增国家科技型中小企业111家、增速35</w:t>
      </w:r>
      <w:r>
        <w:rPr>
          <w:rFonts w:ascii="Times New Roman" w:hAnsi="Times New Roman" w:eastAsia="仿宋_GB2312"/>
          <w:color w:val="auto"/>
          <w:kern w:val="34"/>
        </w:rPr>
        <w:t>%，</w:t>
      </w:r>
      <w:r>
        <w:rPr>
          <w:rFonts w:hint="eastAsia" w:ascii="Times New Roman" w:hAnsi="Times New Roman" w:eastAsia="仿宋_GB2312"/>
          <w:color w:val="auto"/>
          <w:kern w:val="34"/>
        </w:rPr>
        <w:t>连续2年增速全市第1，专精特新企业数增长</w:t>
      </w:r>
      <w:r>
        <w:rPr>
          <w:rFonts w:ascii="Times New Roman" w:hAnsi="Times New Roman" w:eastAsia="仿宋_GB2312"/>
          <w:color w:val="auto"/>
          <w:kern w:val="34"/>
        </w:rPr>
        <w:t>50</w:t>
      </w:r>
      <w:r>
        <w:rPr>
          <w:rFonts w:hint="eastAsia" w:ascii="Times New Roman" w:hAnsi="Times New Roman" w:eastAsia="仿宋_GB2312"/>
          <w:color w:val="auto"/>
          <w:kern w:val="34"/>
        </w:rPr>
        <w:t>%，连续2年新增国家级专精特新“小巨人”企业。</w:t>
      </w:r>
    </w:p>
    <w:p w14:paraId="70CE4A12">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三、聚焦“提品质+精治理”理念，城市更新焕发新生机</w:t>
      </w:r>
    </w:p>
    <w:p w14:paraId="5BB01347">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城市更新更加稳健。</w:t>
      </w:r>
      <w:r>
        <w:rPr>
          <w:rFonts w:hint="eastAsia" w:ascii="Times New Roman" w:hAnsi="Times New Roman" w:eastAsia="仿宋_GB2312"/>
          <w:color w:val="auto"/>
          <w:kern w:val="34"/>
        </w:rPr>
        <w:t>坚持规划先行，获批5个单元控规，全市率先开展区域性总体城市设计。积极稳妥推进征迁，完成征迁</w:t>
      </w:r>
      <w:r>
        <w:rPr>
          <w:rFonts w:ascii="Times New Roman" w:hAnsi="Times New Roman" w:eastAsia="仿宋_GB2312"/>
          <w:color w:val="auto"/>
          <w:kern w:val="34"/>
        </w:rPr>
        <w:t>105</w:t>
      </w:r>
      <w:r>
        <w:rPr>
          <w:rFonts w:hint="eastAsia" w:ascii="Times New Roman" w:hAnsi="Times New Roman" w:eastAsia="仿宋_GB2312"/>
          <w:color w:val="auto"/>
          <w:kern w:val="34"/>
        </w:rPr>
        <w:t>万平方米，大店北</w:t>
      </w:r>
      <w:r>
        <w:rPr>
          <w:rFonts w:ascii="Times New Roman" w:hAnsi="Times New Roman" w:eastAsia="仿宋_GB2312"/>
          <w:color w:val="auto"/>
          <w:kern w:val="34"/>
        </w:rPr>
        <w:t>、</w:t>
      </w:r>
      <w:r>
        <w:rPr>
          <w:rFonts w:hint="eastAsia" w:ascii="Times New Roman" w:hAnsi="Times New Roman" w:eastAsia="仿宋_GB2312"/>
          <w:color w:val="auto"/>
          <w:kern w:val="34"/>
        </w:rPr>
        <w:t>雨山路西</w:t>
      </w:r>
      <w:r>
        <w:rPr>
          <w:rFonts w:ascii="Times New Roman" w:hAnsi="Times New Roman" w:eastAsia="仿宋_GB2312"/>
          <w:color w:val="auto"/>
          <w:kern w:val="34"/>
        </w:rPr>
        <w:t>等400</w:t>
      </w:r>
      <w:r>
        <w:rPr>
          <w:rFonts w:hint="eastAsia" w:ascii="Times New Roman" w:hAnsi="Times New Roman" w:eastAsia="仿宋_GB2312"/>
          <w:color w:val="auto"/>
          <w:kern w:val="34"/>
        </w:rPr>
        <w:t>亩</w:t>
      </w:r>
      <w:r>
        <w:rPr>
          <w:rFonts w:ascii="Times New Roman" w:hAnsi="Times New Roman" w:eastAsia="仿宋_GB2312"/>
          <w:color w:val="auto"/>
          <w:kern w:val="34"/>
        </w:rPr>
        <w:t>经营性</w:t>
      </w:r>
      <w:r>
        <w:rPr>
          <w:rFonts w:hint="eastAsia" w:ascii="Times New Roman" w:hAnsi="Times New Roman" w:eastAsia="仿宋_GB2312"/>
          <w:color w:val="auto"/>
          <w:kern w:val="34"/>
        </w:rPr>
        <w:t>用地</w:t>
      </w:r>
      <w:r>
        <w:rPr>
          <w:rFonts w:ascii="Times New Roman" w:hAnsi="Times New Roman" w:eastAsia="仿宋_GB2312"/>
          <w:color w:val="auto"/>
          <w:kern w:val="34"/>
        </w:rPr>
        <w:t>上市成交</w:t>
      </w:r>
      <w:r>
        <w:rPr>
          <w:rFonts w:hint="eastAsia" w:ascii="Times New Roman" w:hAnsi="Times New Roman" w:eastAsia="仿宋_GB2312"/>
          <w:color w:val="auto"/>
          <w:kern w:val="34"/>
        </w:rPr>
        <w:t>。多元化解安置矛盾，建成</w:t>
      </w:r>
      <w:r>
        <w:rPr>
          <w:rFonts w:ascii="Times New Roman" w:hAnsi="Times New Roman" w:eastAsia="仿宋_GB2312"/>
          <w:color w:val="auto"/>
          <w:kern w:val="34"/>
        </w:rPr>
        <w:t>安置房</w:t>
      </w:r>
      <w:r>
        <w:rPr>
          <w:rFonts w:hint="eastAsia" w:ascii="Times New Roman" w:hAnsi="Times New Roman" w:eastAsia="仿宋_GB2312"/>
          <w:color w:val="auto"/>
          <w:kern w:val="34"/>
        </w:rPr>
        <w:t>11</w:t>
      </w:r>
      <w:r>
        <w:rPr>
          <w:rFonts w:ascii="Times New Roman" w:hAnsi="Times New Roman" w:eastAsia="仿宋_GB2312"/>
          <w:color w:val="auto"/>
          <w:kern w:val="34"/>
        </w:rPr>
        <w:t>7万平方米</w:t>
      </w:r>
      <w:r>
        <w:rPr>
          <w:rFonts w:hint="eastAsia" w:ascii="Times New Roman" w:hAnsi="Times New Roman" w:eastAsia="仿宋_GB2312"/>
          <w:color w:val="auto"/>
          <w:kern w:val="34"/>
        </w:rPr>
        <w:t>，实物安置</w:t>
      </w:r>
      <w:r>
        <w:rPr>
          <w:rFonts w:hint="eastAsia" w:ascii="Times New Roman" w:hAnsi="Times New Roman" w:eastAsia="仿宋_GB2312"/>
          <w:color w:val="auto"/>
          <w:kern w:val="34"/>
          <w:lang w:val="en-US" w:eastAsia="zh-CN"/>
        </w:rPr>
        <w:t>6590</w:t>
      </w:r>
      <w:r>
        <w:rPr>
          <w:rFonts w:hint="eastAsia" w:ascii="Times New Roman" w:hAnsi="Times New Roman" w:eastAsia="仿宋_GB2312"/>
          <w:color w:val="auto"/>
          <w:kern w:val="34"/>
        </w:rPr>
        <w:t>套、房票安置</w:t>
      </w:r>
      <w:r>
        <w:rPr>
          <w:rFonts w:ascii="Times New Roman" w:hAnsi="Times New Roman" w:eastAsia="仿宋_GB2312"/>
          <w:color w:val="auto"/>
          <w:kern w:val="34"/>
        </w:rPr>
        <w:t>6250套</w:t>
      </w:r>
      <w:r>
        <w:rPr>
          <w:rFonts w:hint="eastAsia" w:ascii="Times New Roman" w:hAnsi="Times New Roman" w:eastAsia="仿宋_GB2312"/>
          <w:color w:val="auto"/>
          <w:kern w:val="34"/>
        </w:rPr>
        <w:t>，“难安置”三年攻坚任务按时清零</w:t>
      </w:r>
      <w:r>
        <w:rPr>
          <w:rFonts w:ascii="Times New Roman" w:hAnsi="Times New Roman" w:eastAsia="仿宋_GB2312"/>
          <w:color w:val="auto"/>
          <w:kern w:val="34"/>
        </w:rPr>
        <w:t>销号</w:t>
      </w:r>
      <w:r>
        <w:rPr>
          <w:rFonts w:hint="eastAsia" w:ascii="Times New Roman" w:hAnsi="Times New Roman" w:eastAsia="仿宋_GB2312"/>
          <w:color w:val="auto"/>
          <w:kern w:val="34"/>
        </w:rPr>
        <w:t>。全面争取项目资金保障，发行新增专项债券</w:t>
      </w:r>
      <w:r>
        <w:rPr>
          <w:rFonts w:ascii="Times New Roman" w:hAnsi="Times New Roman" w:eastAsia="仿宋_GB2312"/>
          <w:color w:val="auto"/>
          <w:kern w:val="34"/>
        </w:rPr>
        <w:t>11.84亿元</w:t>
      </w:r>
      <w:r>
        <w:rPr>
          <w:rFonts w:hint="eastAsia" w:ascii="Times New Roman" w:hAnsi="Times New Roman" w:eastAsia="仿宋_GB2312"/>
          <w:color w:val="auto"/>
          <w:kern w:val="34"/>
        </w:rPr>
        <w:t>、历年最多，组织申报城中村改造专项借款超150</w:t>
      </w:r>
      <w:r>
        <w:rPr>
          <w:rFonts w:ascii="Times New Roman" w:hAnsi="Times New Roman" w:eastAsia="仿宋_GB2312"/>
          <w:color w:val="auto"/>
          <w:kern w:val="34"/>
        </w:rPr>
        <w:t>亿元</w:t>
      </w:r>
      <w:r>
        <w:rPr>
          <w:rFonts w:hint="eastAsia" w:ascii="Times New Roman" w:hAnsi="Times New Roman" w:eastAsia="仿宋_GB2312"/>
          <w:color w:val="auto"/>
          <w:kern w:val="34"/>
        </w:rPr>
        <w:t>，为城市更</w:t>
      </w:r>
      <w:r>
        <w:rPr>
          <w:rFonts w:hint="eastAsia" w:ascii="Times New Roman" w:hAnsi="Times New Roman" w:eastAsia="仿宋_GB2312"/>
          <w:color w:val="auto"/>
        </w:rPr>
        <w:t>新重点项目实施提供有力支撑。加强重点项目保障，全面做好</w:t>
      </w:r>
      <w:r>
        <w:rPr>
          <w:rFonts w:hint="eastAsia" w:ascii="仿宋_GB2312" w:hAnsi="仿宋_GB2312" w:eastAsia="仿宋_GB2312" w:cs="仿宋_GB2312"/>
          <w:color w:val="auto"/>
        </w:rPr>
        <w:t>合安高铁、合宁高铁建设保障，淮南路（北二环</w:t>
      </w:r>
      <w:r>
        <w:rPr>
          <w:rFonts w:ascii="仿宋_GB2312" w:hAnsi="仿宋_GB2312" w:eastAsia="仿宋_GB2312" w:cs="仿宋_GB2312"/>
          <w:color w:val="auto"/>
        </w:rPr>
        <w:t>至铜陵路段</w:t>
      </w:r>
      <w:r>
        <w:rPr>
          <w:rFonts w:hint="eastAsia" w:ascii="仿宋_GB2312" w:hAnsi="仿宋_GB2312" w:eastAsia="仿宋_GB2312" w:cs="仿宋_GB2312"/>
          <w:color w:val="auto"/>
        </w:rPr>
        <w:t>）建设进展顺利。提高土地利用效率，推动低效用地再开发试点，盘活闲置和低效用地</w:t>
      </w:r>
      <w:r>
        <w:rPr>
          <w:rFonts w:ascii="Times New Roman" w:hAnsi="Times New Roman" w:eastAsia="仿宋_GB2312"/>
          <w:color w:val="auto"/>
          <w:kern w:val="34"/>
        </w:rPr>
        <w:t>600</w:t>
      </w:r>
      <w:r>
        <w:rPr>
          <w:rFonts w:hint="eastAsia" w:ascii="Times New Roman" w:hAnsi="Times New Roman" w:eastAsia="仿宋_GB2312"/>
          <w:color w:val="auto"/>
          <w:kern w:val="34"/>
        </w:rPr>
        <w:t>余</w:t>
      </w:r>
      <w:r>
        <w:rPr>
          <w:rFonts w:hint="eastAsia" w:ascii="仿宋_GB2312" w:hAnsi="仿宋_GB2312" w:eastAsia="仿宋_GB2312" w:cs="仿宋_GB2312"/>
          <w:color w:val="auto"/>
        </w:rPr>
        <w:t>亩，</w:t>
      </w:r>
      <w:r>
        <w:rPr>
          <w:rFonts w:hint="eastAsia" w:ascii="Times New Roman" w:hAnsi="Times New Roman" w:eastAsia="仿宋_GB2312"/>
          <w:color w:val="auto"/>
          <w:kern w:val="34"/>
        </w:rPr>
        <w:t>泰莱广场、信地9号地块等低效用地正在加快升级改造。</w:t>
      </w:r>
    </w:p>
    <w:p w14:paraId="4E337060">
      <w:pPr>
        <w:keepNext w:val="0"/>
        <w:keepLines w:val="0"/>
        <w:pageBreakBefore w:val="0"/>
        <w:widowControl w:val="0"/>
        <w:kinsoku/>
        <w:wordWrap/>
        <w:overflowPunct/>
        <w:topLinePunct w:val="0"/>
        <w:autoSpaceDE/>
        <w:autoSpaceDN/>
        <w:bidi w:val="0"/>
        <w:snapToGrid/>
        <w:spacing w:line="579" w:lineRule="exact"/>
        <w:ind w:firstLine="629"/>
        <w:textAlignment w:val="auto"/>
        <w:rPr>
          <w:rFonts w:ascii="Times New Roman" w:hAnsi="Times New Roman" w:eastAsia="仿宋_GB2312"/>
          <w:bCs/>
          <w:color w:val="auto"/>
        </w:rPr>
      </w:pPr>
      <w:r>
        <w:rPr>
          <w:rFonts w:hint="eastAsia" w:ascii="楷体_GB2312" w:hAnsi="楷体_GB2312" w:eastAsia="楷体_GB2312" w:cs="楷体_GB2312"/>
          <w:b/>
          <w:bCs/>
          <w:color w:val="auto"/>
          <w:kern w:val="34"/>
        </w:rPr>
        <w:t>城市功能更加完善。</w:t>
      </w:r>
      <w:r>
        <w:rPr>
          <w:rFonts w:hint="eastAsia" w:ascii="Times New Roman" w:hAnsi="Times New Roman" w:eastAsia="仿宋_GB2312"/>
          <w:bCs/>
          <w:color w:val="auto"/>
        </w:rPr>
        <w:t>居住环境持续变好，实施文明大院等</w:t>
      </w:r>
      <w:r>
        <w:rPr>
          <w:rFonts w:hint="eastAsia" w:ascii="Times New Roman" w:hAnsi="Times New Roman" w:eastAsia="仿宋_GB2312"/>
          <w:color w:val="auto"/>
          <w:kern w:val="34"/>
        </w:rPr>
        <w:t>12</w:t>
      </w:r>
      <w:r>
        <w:rPr>
          <w:rFonts w:hint="eastAsia" w:ascii="Times New Roman" w:hAnsi="Times New Roman" w:eastAsia="仿宋_GB2312"/>
          <w:bCs/>
          <w:color w:val="auto"/>
        </w:rPr>
        <w:t>个老旧小区整治，累计</w:t>
      </w:r>
      <w:r>
        <w:rPr>
          <w:rFonts w:ascii="Times New Roman" w:hAnsi="Times New Roman" w:eastAsia="仿宋_GB2312"/>
          <w:bCs/>
          <w:color w:val="auto"/>
        </w:rPr>
        <w:t>建成</w:t>
      </w:r>
      <w:r>
        <w:rPr>
          <w:rFonts w:hint="eastAsia" w:ascii="Times New Roman" w:hAnsi="Times New Roman" w:eastAsia="仿宋_GB2312"/>
          <w:bCs/>
          <w:color w:val="auto"/>
        </w:rPr>
        <w:t>电动自行车停车棚</w:t>
      </w:r>
      <w:r>
        <w:rPr>
          <w:rFonts w:ascii="Times New Roman" w:hAnsi="Times New Roman" w:eastAsia="仿宋_GB2312"/>
          <w:bCs/>
          <w:color w:val="auto"/>
        </w:rPr>
        <w:t>1734</w:t>
      </w:r>
      <w:r>
        <w:rPr>
          <w:rFonts w:hint="eastAsia" w:ascii="Times New Roman" w:hAnsi="Times New Roman" w:eastAsia="仿宋_GB2312"/>
          <w:bCs/>
          <w:color w:val="auto"/>
        </w:rPr>
        <w:t>处，新增充电端口</w:t>
      </w:r>
      <w:r>
        <w:rPr>
          <w:rFonts w:ascii="Times New Roman" w:hAnsi="Times New Roman" w:eastAsia="仿宋_GB2312"/>
          <w:bCs/>
          <w:color w:val="auto"/>
        </w:rPr>
        <w:t>2.03</w:t>
      </w:r>
      <w:r>
        <w:rPr>
          <w:rFonts w:hint="eastAsia" w:ascii="Times New Roman" w:hAnsi="Times New Roman" w:eastAsia="仿宋_GB2312"/>
          <w:bCs/>
          <w:color w:val="auto"/>
        </w:rPr>
        <w:t>万个，有效缓解“充电难”问题。商机厂</w:t>
      </w:r>
      <w:r>
        <w:rPr>
          <w:rFonts w:ascii="Times New Roman" w:hAnsi="Times New Roman" w:eastAsia="仿宋_GB2312"/>
          <w:bCs/>
          <w:color w:val="auto"/>
        </w:rPr>
        <w:t>、</w:t>
      </w:r>
      <w:r>
        <w:rPr>
          <w:rFonts w:hint="eastAsia" w:ascii="Times New Roman" w:hAnsi="Times New Roman" w:eastAsia="仿宋_GB2312"/>
          <w:bCs/>
          <w:color w:val="auto"/>
        </w:rPr>
        <w:t>一中西租赁住房主体完工</w:t>
      </w:r>
      <w:r>
        <w:rPr>
          <w:rFonts w:ascii="Times New Roman" w:hAnsi="Times New Roman" w:eastAsia="仿宋_GB2312"/>
          <w:bCs/>
          <w:color w:val="auto"/>
        </w:rPr>
        <w:t>，</w:t>
      </w:r>
      <w:r>
        <w:rPr>
          <w:rFonts w:hint="eastAsia" w:ascii="Times New Roman" w:hAnsi="Times New Roman" w:eastAsia="仿宋_GB2312"/>
          <w:bCs/>
          <w:color w:val="auto"/>
        </w:rPr>
        <w:t>滨河湾租赁住房投入运营，新增租赁住房</w:t>
      </w:r>
      <w:r>
        <w:rPr>
          <w:rFonts w:ascii="Times New Roman" w:hAnsi="Times New Roman" w:eastAsia="仿宋_GB2312"/>
          <w:bCs/>
          <w:color w:val="auto"/>
        </w:rPr>
        <w:t>1174</w:t>
      </w:r>
      <w:r>
        <w:rPr>
          <w:rFonts w:hint="eastAsia" w:ascii="Times New Roman" w:hAnsi="Times New Roman" w:eastAsia="仿宋_GB2312"/>
          <w:bCs/>
          <w:color w:val="auto"/>
        </w:rPr>
        <w:t>套。出行环境有效提升，建成支路网8.4公里，打通断头路2条，治理交通拥堵点3处，</w:t>
      </w:r>
      <w:r>
        <w:rPr>
          <w:rFonts w:ascii="Times New Roman" w:hAnsi="Times New Roman" w:eastAsia="仿宋_GB2312"/>
          <w:bCs/>
          <w:color w:val="auto"/>
        </w:rPr>
        <w:t>整治</w:t>
      </w:r>
      <w:r>
        <w:rPr>
          <w:rFonts w:hint="eastAsia" w:ascii="Times New Roman" w:hAnsi="Times New Roman" w:eastAsia="仿宋_GB2312"/>
          <w:bCs/>
          <w:color w:val="auto"/>
        </w:rPr>
        <w:t>安全隐患点579处。新建机动车停车场</w:t>
      </w:r>
      <w:r>
        <w:rPr>
          <w:rFonts w:ascii="Times New Roman" w:hAnsi="Times New Roman" w:eastAsia="仿宋_GB2312"/>
          <w:bCs/>
          <w:color w:val="auto"/>
        </w:rPr>
        <w:t>27</w:t>
      </w:r>
      <w:r>
        <w:rPr>
          <w:rFonts w:hint="eastAsia" w:ascii="Times New Roman" w:hAnsi="Times New Roman" w:eastAsia="仿宋_GB2312"/>
          <w:bCs/>
          <w:color w:val="auto"/>
        </w:rPr>
        <w:t>处，新增泊位1.</w:t>
      </w:r>
      <w:r>
        <w:rPr>
          <w:rFonts w:ascii="Times New Roman" w:hAnsi="Times New Roman" w:eastAsia="仿宋_GB2312"/>
          <w:bCs/>
          <w:color w:val="auto"/>
        </w:rPr>
        <w:t>53</w:t>
      </w:r>
      <w:r>
        <w:rPr>
          <w:rFonts w:hint="eastAsia" w:ascii="Times New Roman" w:hAnsi="Times New Roman" w:eastAsia="仿宋_GB2312"/>
          <w:bCs/>
          <w:color w:val="auto"/>
        </w:rPr>
        <w:t>万个。公服配套不断完善，提升改造小街巷2条，瑶海</w:t>
      </w:r>
      <w:r>
        <w:rPr>
          <w:rFonts w:ascii="Times New Roman" w:hAnsi="Times New Roman" w:eastAsia="仿宋_GB2312"/>
          <w:bCs/>
          <w:color w:val="auto"/>
        </w:rPr>
        <w:t>体育中心</w:t>
      </w:r>
      <w:r>
        <w:rPr>
          <w:rFonts w:hint="eastAsia" w:ascii="Times New Roman" w:hAnsi="Times New Roman" w:eastAsia="仿宋_GB2312"/>
          <w:bCs/>
          <w:color w:val="auto"/>
        </w:rPr>
        <w:t>、绿色循环综合体等项目</w:t>
      </w:r>
      <w:r>
        <w:rPr>
          <w:rFonts w:ascii="Times New Roman" w:hAnsi="Times New Roman" w:eastAsia="仿宋_GB2312"/>
          <w:bCs/>
          <w:color w:val="auto"/>
        </w:rPr>
        <w:t>进展顺利</w:t>
      </w:r>
      <w:r>
        <w:rPr>
          <w:rFonts w:hint="eastAsia" w:ascii="Times New Roman" w:hAnsi="Times New Roman" w:eastAsia="仿宋_GB2312"/>
          <w:bCs/>
          <w:color w:val="auto"/>
        </w:rPr>
        <w:t>，七里站街道社区卫生服务中心建成。</w:t>
      </w:r>
    </w:p>
    <w:p w14:paraId="7B11BDD4">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bCs/>
          <w:color w:val="auto"/>
        </w:rPr>
      </w:pPr>
      <w:r>
        <w:rPr>
          <w:rFonts w:hint="eastAsia" w:ascii="楷体_GB2312" w:hAnsi="楷体_GB2312" w:eastAsia="楷体_GB2312" w:cs="楷体_GB2312"/>
          <w:b/>
          <w:bCs/>
          <w:color w:val="auto"/>
          <w:kern w:val="34"/>
        </w:rPr>
        <w:t>城市治理更加精细。</w:t>
      </w:r>
      <w:r>
        <w:rPr>
          <w:rFonts w:hint="eastAsia" w:ascii="Times New Roman" w:hAnsi="Times New Roman" w:eastAsia="仿宋_GB2312"/>
          <w:bCs/>
          <w:color w:val="auto"/>
        </w:rPr>
        <w:t>常态开展城区环境品质提升行动，清理拆除违章建筑</w:t>
      </w:r>
      <w:r>
        <w:rPr>
          <w:rFonts w:ascii="Times New Roman" w:hAnsi="Times New Roman" w:eastAsia="仿宋_GB2312"/>
          <w:bCs/>
          <w:color w:val="auto"/>
        </w:rPr>
        <w:t>132</w:t>
      </w:r>
      <w:r>
        <w:rPr>
          <w:rFonts w:hint="eastAsia" w:ascii="Times New Roman" w:hAnsi="Times New Roman" w:eastAsia="仿宋_GB2312"/>
          <w:bCs/>
          <w:color w:val="auto"/>
        </w:rPr>
        <w:t>处、1.</w:t>
      </w:r>
      <w:r>
        <w:rPr>
          <w:rFonts w:ascii="Times New Roman" w:hAnsi="Times New Roman" w:eastAsia="仿宋_GB2312"/>
          <w:bCs/>
          <w:color w:val="auto"/>
        </w:rPr>
        <w:t>6</w:t>
      </w:r>
      <w:r>
        <w:rPr>
          <w:rFonts w:hint="eastAsia" w:ascii="Times New Roman" w:hAnsi="Times New Roman" w:eastAsia="仿宋_GB2312"/>
          <w:bCs/>
          <w:color w:val="auto"/>
        </w:rPr>
        <w:t>万平方米，整改拆除违规户外广告招牌274处，成功</w:t>
      </w:r>
      <w:r>
        <w:rPr>
          <w:rFonts w:hint="eastAsia" w:ascii="Times New Roman" w:hAnsi="Times New Roman" w:eastAsia="仿宋_GB2312"/>
          <w:color w:val="auto"/>
          <w:kern w:val="34"/>
        </w:rPr>
        <w:t>打造</w:t>
      </w:r>
      <w:r>
        <w:rPr>
          <w:rFonts w:ascii="Times New Roman" w:hAnsi="Times New Roman" w:eastAsia="仿宋_GB2312"/>
          <w:color w:val="auto"/>
          <w:kern w:val="34"/>
        </w:rPr>
        <w:t>4</w:t>
      </w:r>
      <w:r>
        <w:rPr>
          <w:rFonts w:hint="eastAsia" w:ascii="Times New Roman" w:hAnsi="Times New Roman" w:eastAsia="仿宋_GB2312"/>
          <w:color w:val="auto"/>
          <w:kern w:val="34"/>
        </w:rPr>
        <w:t>个“席地而坐”城市客厅</w:t>
      </w:r>
      <w:r>
        <w:rPr>
          <w:rFonts w:hint="eastAsia" w:ascii="Times New Roman" w:hAnsi="Times New Roman" w:eastAsia="仿宋_GB2312"/>
          <w:bCs/>
          <w:color w:val="auto"/>
        </w:rPr>
        <w:t>，月亮湾</w:t>
      </w:r>
      <w:r>
        <w:rPr>
          <w:rFonts w:ascii="Times New Roman" w:hAnsi="Times New Roman" w:eastAsia="仿宋_GB2312"/>
          <w:bCs/>
          <w:color w:val="auto"/>
        </w:rPr>
        <w:t>公园、新安江路分别获评全市</w:t>
      </w:r>
      <w:r>
        <w:rPr>
          <w:rFonts w:hint="eastAsia" w:ascii="Times New Roman" w:hAnsi="Times New Roman" w:eastAsia="仿宋_GB2312"/>
          <w:bCs/>
          <w:color w:val="auto"/>
        </w:rPr>
        <w:t>“</w:t>
      </w:r>
      <w:r>
        <w:rPr>
          <w:rFonts w:ascii="Times New Roman" w:hAnsi="Times New Roman" w:eastAsia="仿宋_GB2312"/>
          <w:bCs/>
          <w:color w:val="auto"/>
        </w:rPr>
        <w:t>五佳公园</w:t>
      </w:r>
      <w:r>
        <w:rPr>
          <w:rFonts w:hint="eastAsia" w:ascii="Times New Roman" w:hAnsi="Times New Roman" w:eastAsia="仿宋_GB2312"/>
          <w:bCs/>
          <w:color w:val="auto"/>
        </w:rPr>
        <w:t>”“</w:t>
      </w:r>
      <w:r>
        <w:rPr>
          <w:rFonts w:ascii="Times New Roman" w:hAnsi="Times New Roman" w:eastAsia="仿宋_GB2312"/>
          <w:bCs/>
          <w:color w:val="auto"/>
        </w:rPr>
        <w:t>五佳道路</w:t>
      </w:r>
      <w:r>
        <w:rPr>
          <w:rFonts w:hint="eastAsia" w:ascii="Times New Roman" w:hAnsi="Times New Roman" w:eastAsia="仿宋_GB2312"/>
          <w:bCs/>
          <w:color w:val="auto"/>
        </w:rPr>
        <w:t>”</w:t>
      </w:r>
      <w:r>
        <w:rPr>
          <w:rFonts w:hint="eastAsia" w:ascii="Times New Roman" w:hAnsi="Times New Roman" w:eastAsia="仿宋_GB2312"/>
          <w:color w:val="auto"/>
          <w:kern w:val="34"/>
        </w:rPr>
        <w:t>。完成区级基础信息库建设，建成区级政务数据共享交换平台，数字化治理成效持续增强。加快推动小区业主自治管理，业委会（物管委）实现物业管理区域全覆盖，自治自管水平显著提升。</w:t>
      </w:r>
      <w:r>
        <w:rPr>
          <w:rFonts w:hint="eastAsia" w:ascii="Times New Roman" w:hAnsi="Times New Roman" w:eastAsia="仿宋_GB2312"/>
          <w:bCs/>
          <w:color w:val="auto"/>
        </w:rPr>
        <w:t>开展老旧小区整治项目大起底大整改专项行动，排查整改问题</w:t>
      </w:r>
      <w:r>
        <w:rPr>
          <w:rFonts w:ascii="Times New Roman" w:hAnsi="Times New Roman" w:eastAsia="仿宋_GB2312"/>
          <w:bCs/>
          <w:color w:val="auto"/>
        </w:rPr>
        <w:t>837</w:t>
      </w:r>
      <w:r>
        <w:rPr>
          <w:rFonts w:hint="eastAsia" w:ascii="Times New Roman" w:hAnsi="Times New Roman" w:eastAsia="仿宋_GB2312"/>
          <w:bCs/>
          <w:color w:val="auto"/>
        </w:rPr>
        <w:t>个。加强小区物业管理</w:t>
      </w:r>
      <w:r>
        <w:rPr>
          <w:rFonts w:hint="eastAsia" w:ascii="Times New Roman" w:hAnsi="Times New Roman" w:eastAsia="仿宋_GB2312"/>
          <w:color w:val="auto"/>
          <w:kern w:val="34"/>
        </w:rPr>
        <w:t>，实施国有企业承接安置房物业管理模式，推广物业经理接待日制度，</w:t>
      </w:r>
      <w:r>
        <w:rPr>
          <w:rFonts w:hint="eastAsia" w:ascii="Times New Roman" w:hAnsi="Times New Roman" w:eastAsia="仿宋_GB2312"/>
          <w:bCs/>
          <w:color w:val="auto"/>
        </w:rPr>
        <w:t>物业领域投诉量下降</w:t>
      </w:r>
      <w:r>
        <w:rPr>
          <w:rFonts w:ascii="Times New Roman" w:hAnsi="Times New Roman" w:eastAsia="仿宋_GB2312"/>
          <w:bCs/>
          <w:color w:val="auto"/>
        </w:rPr>
        <w:t>43</w:t>
      </w:r>
      <w:r>
        <w:rPr>
          <w:rFonts w:hint="eastAsia" w:ascii="Times New Roman" w:hAnsi="Times New Roman" w:eastAsia="仿宋_GB2312"/>
          <w:bCs/>
          <w:color w:val="auto"/>
        </w:rPr>
        <w:t>%，2</w:t>
      </w:r>
      <w:r>
        <w:rPr>
          <w:rFonts w:ascii="Times New Roman" w:hAnsi="Times New Roman" w:eastAsia="仿宋_GB2312"/>
          <w:bCs/>
          <w:color w:val="auto"/>
        </w:rPr>
        <w:t>4</w:t>
      </w:r>
      <w:r>
        <w:rPr>
          <w:rFonts w:hint="eastAsia" w:ascii="Times New Roman" w:hAnsi="Times New Roman" w:eastAsia="仿宋_GB2312"/>
          <w:bCs/>
          <w:color w:val="auto"/>
        </w:rPr>
        <w:t>个小区获评“和美小区”，风景苑获评“皖美红色物业”示范小区、紫云府获评“美好家园”小区。</w:t>
      </w:r>
    </w:p>
    <w:p w14:paraId="6F6A419E">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四、聚焦“优服务+强基础”目标，城区环境展现新魅力</w:t>
      </w:r>
    </w:p>
    <w:p w14:paraId="0A87D640">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营商环境持续优化。</w:t>
      </w:r>
      <w:r>
        <w:rPr>
          <w:rFonts w:hint="eastAsia" w:ascii="Times New Roman" w:hAnsi="Times New Roman" w:eastAsia="仿宋_GB2312"/>
          <w:color w:val="auto"/>
          <w:kern w:val="34"/>
        </w:rPr>
        <w:t>着力营造市场化、法治化、国际化一流营商环境，“高效办成一件事”实现多事项集成、跨部门联办，</w:t>
      </w:r>
      <w:r>
        <w:rPr>
          <w:rFonts w:ascii="Times New Roman" w:hAnsi="Times New Roman" w:eastAsia="仿宋_GB2312"/>
          <w:color w:val="auto"/>
          <w:kern w:val="34"/>
        </w:rPr>
        <w:t>128</w:t>
      </w:r>
      <w:r>
        <w:rPr>
          <w:rFonts w:hint="eastAsia" w:ascii="Times New Roman" w:hAnsi="Times New Roman" w:eastAsia="仿宋_GB2312"/>
          <w:color w:val="auto"/>
          <w:kern w:val="34"/>
        </w:rPr>
        <w:t>项重点事项清单落地见效。实施“一业一查”综合监管新模式，涵盖检查事项4</w:t>
      </w:r>
      <w:r>
        <w:rPr>
          <w:rFonts w:ascii="Times New Roman" w:hAnsi="Times New Roman" w:eastAsia="仿宋_GB2312"/>
          <w:color w:val="auto"/>
          <w:kern w:val="34"/>
        </w:rPr>
        <w:t>6</w:t>
      </w:r>
      <w:r>
        <w:rPr>
          <w:rFonts w:hint="eastAsia" w:ascii="Times New Roman" w:hAnsi="Times New Roman" w:eastAsia="仿宋_GB2312"/>
          <w:color w:val="auto"/>
          <w:kern w:val="34"/>
        </w:rPr>
        <w:t>个，市场监管效能进一步提升。创新实施企业服务专员工作制度，落实企业诉求“挂号制”，解决涉企问题</w:t>
      </w:r>
      <w:r>
        <w:rPr>
          <w:rFonts w:ascii="Times New Roman" w:hAnsi="Times New Roman" w:eastAsia="仿宋_GB2312"/>
          <w:color w:val="auto"/>
          <w:kern w:val="34"/>
        </w:rPr>
        <w:t>541</w:t>
      </w:r>
      <w:r>
        <w:rPr>
          <w:rFonts w:hint="eastAsia" w:ascii="Times New Roman" w:hAnsi="Times New Roman" w:eastAsia="仿宋_GB2312"/>
          <w:color w:val="auto"/>
          <w:kern w:val="34"/>
        </w:rPr>
        <w:t>个。开展场景应用对接会</w:t>
      </w:r>
      <w:r>
        <w:rPr>
          <w:rFonts w:ascii="Times New Roman" w:hAnsi="Times New Roman" w:eastAsia="仿宋_GB2312"/>
          <w:color w:val="auto"/>
          <w:kern w:val="34"/>
        </w:rPr>
        <w:t>35</w:t>
      </w:r>
      <w:r>
        <w:rPr>
          <w:rFonts w:hint="eastAsia" w:ascii="Times New Roman" w:hAnsi="Times New Roman" w:eastAsia="仿宋_GB2312"/>
          <w:color w:val="auto"/>
          <w:kern w:val="34"/>
        </w:rPr>
        <w:t>场，促成近百家企业达成合作。减税降费及政策性退税</w:t>
      </w:r>
      <w:r>
        <w:rPr>
          <w:rFonts w:ascii="Times New Roman" w:hAnsi="Times New Roman" w:eastAsia="仿宋_GB2312"/>
          <w:color w:val="auto"/>
          <w:kern w:val="34"/>
        </w:rPr>
        <w:t>18.6</w:t>
      </w:r>
      <w:r>
        <w:rPr>
          <w:rFonts w:hint="eastAsia" w:ascii="Times New Roman" w:hAnsi="Times New Roman" w:eastAsia="仿宋_GB2312"/>
          <w:color w:val="auto"/>
          <w:kern w:val="34"/>
        </w:rPr>
        <w:t>亿元、增长12.</w:t>
      </w:r>
      <w:r>
        <w:rPr>
          <w:rFonts w:ascii="Times New Roman" w:hAnsi="Times New Roman" w:eastAsia="仿宋_GB2312"/>
          <w:color w:val="auto"/>
          <w:kern w:val="34"/>
        </w:rPr>
        <w:t>6</w:t>
      </w:r>
      <w:r>
        <w:rPr>
          <w:rFonts w:hint="eastAsia" w:ascii="Times New Roman" w:hAnsi="Times New Roman" w:eastAsia="仿宋_GB2312"/>
          <w:color w:val="auto"/>
          <w:kern w:val="34"/>
        </w:rPr>
        <w:t>%，各类</w:t>
      </w:r>
      <w:r>
        <w:rPr>
          <w:rFonts w:ascii="Times New Roman" w:hAnsi="Times New Roman" w:eastAsia="仿宋_GB2312"/>
          <w:color w:val="auto"/>
          <w:kern w:val="34"/>
        </w:rPr>
        <w:t>财政金融产品</w:t>
      </w:r>
      <w:r>
        <w:rPr>
          <w:rFonts w:hint="eastAsia" w:ascii="Times New Roman" w:hAnsi="Times New Roman" w:eastAsia="仿宋_GB2312"/>
          <w:color w:val="auto"/>
          <w:kern w:val="34"/>
        </w:rPr>
        <w:t>助企融资</w:t>
      </w:r>
      <w:r>
        <w:rPr>
          <w:rFonts w:ascii="Times New Roman" w:hAnsi="Times New Roman" w:eastAsia="仿宋_GB2312"/>
          <w:color w:val="auto"/>
          <w:kern w:val="34"/>
        </w:rPr>
        <w:t>49.7</w:t>
      </w:r>
      <w:r>
        <w:rPr>
          <w:rFonts w:hint="eastAsia" w:ascii="Times New Roman" w:hAnsi="Times New Roman" w:eastAsia="仿宋_GB2312"/>
          <w:color w:val="auto"/>
          <w:kern w:val="34"/>
        </w:rPr>
        <w:t>亿元、增长</w:t>
      </w:r>
      <w:r>
        <w:rPr>
          <w:rFonts w:ascii="Times New Roman" w:hAnsi="Times New Roman" w:eastAsia="仿宋_GB2312"/>
          <w:color w:val="auto"/>
          <w:kern w:val="34"/>
        </w:rPr>
        <w:t>11.2</w:t>
      </w:r>
      <w:r>
        <w:rPr>
          <w:rFonts w:hint="eastAsia" w:ascii="Times New Roman" w:hAnsi="Times New Roman" w:eastAsia="仿宋_GB2312"/>
          <w:color w:val="auto"/>
          <w:kern w:val="34"/>
        </w:rPr>
        <w:t>%。民营经济保持稳定向好发展态势，新增各类市场主体</w:t>
      </w:r>
      <w:r>
        <w:rPr>
          <w:rFonts w:ascii="Times New Roman" w:hAnsi="Times New Roman" w:eastAsia="仿宋_GB2312"/>
          <w:color w:val="auto"/>
          <w:kern w:val="34"/>
        </w:rPr>
        <w:t>4.</w:t>
      </w:r>
      <w:r>
        <w:rPr>
          <w:rFonts w:hint="eastAsia" w:ascii="Times New Roman" w:hAnsi="Times New Roman" w:eastAsia="仿宋_GB2312"/>
          <w:color w:val="auto"/>
          <w:kern w:val="34"/>
          <w:lang w:val="en-US" w:eastAsia="zh-CN"/>
        </w:rPr>
        <w:t>6</w:t>
      </w:r>
      <w:r>
        <w:rPr>
          <w:rFonts w:hint="eastAsia" w:ascii="Times New Roman" w:hAnsi="Times New Roman" w:eastAsia="仿宋_GB2312"/>
          <w:color w:val="auto"/>
          <w:kern w:val="34"/>
        </w:rPr>
        <w:t>万户、增长</w:t>
      </w:r>
      <w:r>
        <w:rPr>
          <w:rFonts w:ascii="Times New Roman" w:hAnsi="Times New Roman" w:eastAsia="仿宋_GB2312"/>
          <w:color w:val="auto"/>
          <w:kern w:val="34"/>
        </w:rPr>
        <w:t>9.</w:t>
      </w:r>
      <w:r>
        <w:rPr>
          <w:rFonts w:hint="eastAsia" w:ascii="Times New Roman" w:hAnsi="Times New Roman" w:eastAsia="仿宋_GB2312"/>
          <w:color w:val="auto"/>
          <w:kern w:val="34"/>
          <w:lang w:val="en-US" w:eastAsia="zh-CN"/>
        </w:rPr>
        <w:t>5</w:t>
      </w:r>
      <w:r>
        <w:rPr>
          <w:rFonts w:hint="eastAsia" w:ascii="Times New Roman" w:hAnsi="Times New Roman" w:eastAsia="仿宋_GB2312"/>
          <w:color w:val="auto"/>
          <w:kern w:val="34"/>
        </w:rPr>
        <w:t>%，增速</w:t>
      </w:r>
      <w:r>
        <w:rPr>
          <w:rFonts w:ascii="Times New Roman" w:hAnsi="Times New Roman" w:eastAsia="仿宋_GB2312"/>
          <w:color w:val="auto"/>
          <w:kern w:val="34"/>
        </w:rPr>
        <w:t>全市第</w:t>
      </w:r>
      <w:r>
        <w:rPr>
          <w:rFonts w:hint="eastAsia" w:ascii="Times New Roman" w:hAnsi="Times New Roman" w:eastAsia="仿宋_GB2312"/>
          <w:color w:val="auto"/>
          <w:kern w:val="34"/>
        </w:rPr>
        <w:t>1</w:t>
      </w:r>
      <w:r>
        <w:rPr>
          <w:rFonts w:ascii="Times New Roman" w:hAnsi="Times New Roman" w:eastAsia="仿宋_GB2312"/>
          <w:color w:val="auto"/>
          <w:kern w:val="34"/>
        </w:rPr>
        <w:t>，</w:t>
      </w:r>
      <w:r>
        <w:rPr>
          <w:rFonts w:hint="eastAsia" w:ascii="Times New Roman" w:hAnsi="Times New Roman" w:eastAsia="仿宋_GB2312"/>
          <w:color w:val="auto"/>
          <w:kern w:val="34"/>
        </w:rPr>
        <w:t>首次实现企业迁入数大于迁出数。</w:t>
      </w:r>
    </w:p>
    <w:p w14:paraId="229194B5">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生态环境持续改善。</w:t>
      </w:r>
      <w:r>
        <w:rPr>
          <w:rFonts w:hint="eastAsia" w:ascii="Times New Roman" w:hAnsi="Times New Roman" w:eastAsia="仿宋_GB2312"/>
          <w:color w:val="auto"/>
          <w:kern w:val="34"/>
        </w:rPr>
        <w:t>“无废城市”建设扎实推进，</w:t>
      </w:r>
      <w:r>
        <w:rPr>
          <w:rFonts w:ascii="Times New Roman" w:hAnsi="Times New Roman" w:eastAsia="仿宋_GB2312"/>
          <w:color w:val="auto"/>
          <w:kern w:val="34"/>
        </w:rPr>
        <w:t>9</w:t>
      </w:r>
      <w:r>
        <w:rPr>
          <w:rFonts w:hint="eastAsia" w:ascii="Times New Roman" w:hAnsi="Times New Roman" w:eastAsia="仿宋_GB2312"/>
          <w:color w:val="auto"/>
          <w:kern w:val="34"/>
        </w:rPr>
        <w:t>家单位获评“无废细胞”，整治“散乱污”企业</w:t>
      </w:r>
      <w:r>
        <w:rPr>
          <w:rFonts w:ascii="Times New Roman" w:hAnsi="Times New Roman" w:eastAsia="仿宋_GB2312"/>
          <w:color w:val="auto"/>
          <w:kern w:val="34"/>
        </w:rPr>
        <w:t>81</w:t>
      </w:r>
      <w:r>
        <w:rPr>
          <w:rFonts w:hint="eastAsia" w:ascii="Times New Roman" w:hAnsi="Times New Roman" w:eastAsia="仿宋_GB2312"/>
          <w:color w:val="auto"/>
          <w:kern w:val="34"/>
        </w:rPr>
        <w:t>家。5处初期雨水调蓄项目全部投用，排查整改雨污混接管道</w:t>
      </w:r>
      <w:r>
        <w:rPr>
          <w:rFonts w:ascii="Times New Roman" w:hAnsi="Times New Roman" w:eastAsia="仿宋_GB2312"/>
          <w:color w:val="auto"/>
          <w:kern w:val="34"/>
        </w:rPr>
        <w:t>10.5</w:t>
      </w:r>
      <w:r>
        <w:rPr>
          <w:rFonts w:hint="eastAsia" w:ascii="Times New Roman" w:hAnsi="Times New Roman" w:eastAsia="仿宋_GB2312"/>
          <w:color w:val="auto"/>
          <w:kern w:val="34"/>
        </w:rPr>
        <w:t>公里，整治大排水户</w:t>
      </w:r>
      <w:r>
        <w:rPr>
          <w:rFonts w:ascii="Times New Roman" w:hAnsi="Times New Roman" w:eastAsia="仿宋_GB2312"/>
          <w:color w:val="auto"/>
          <w:kern w:val="34"/>
        </w:rPr>
        <w:t>170</w:t>
      </w:r>
      <w:r>
        <w:rPr>
          <w:rFonts w:hint="eastAsia" w:ascii="Times New Roman" w:hAnsi="Times New Roman" w:eastAsia="仿宋_GB2312"/>
          <w:color w:val="auto"/>
          <w:kern w:val="34"/>
        </w:rPr>
        <w:t>家，5</w:t>
      </w:r>
      <w:r>
        <w:rPr>
          <w:rFonts w:ascii="Times New Roman" w:hAnsi="Times New Roman" w:eastAsia="仿宋_GB2312"/>
          <w:color w:val="auto"/>
          <w:kern w:val="34"/>
        </w:rPr>
        <w:t>处考核断面水质</w:t>
      </w:r>
      <w:r>
        <w:rPr>
          <w:rFonts w:hint="eastAsia" w:ascii="Times New Roman" w:hAnsi="Times New Roman" w:eastAsia="仿宋_GB2312"/>
          <w:color w:val="auto"/>
          <w:kern w:val="34"/>
        </w:rPr>
        <w:t>均达到考核标准，其中4处为</w:t>
      </w:r>
      <w:r>
        <w:rPr>
          <w:rFonts w:hint="eastAsia" w:ascii="宋体" w:hAnsi="宋体" w:cs="宋体"/>
          <w:color w:val="auto"/>
          <w:kern w:val="34"/>
        </w:rPr>
        <w:t>Ⅲ</w:t>
      </w:r>
      <w:r>
        <w:rPr>
          <w:rFonts w:ascii="Times New Roman" w:hAnsi="Times New Roman" w:eastAsia="仿宋_GB2312"/>
          <w:color w:val="auto"/>
          <w:kern w:val="34"/>
        </w:rPr>
        <w:t>类标准。深入开展大气污染防治六大专项攻坚行动，</w:t>
      </w:r>
      <w:r>
        <w:rPr>
          <w:rFonts w:hint="eastAsia" w:ascii="Times New Roman" w:hAnsi="Times New Roman" w:eastAsia="仿宋_GB2312"/>
          <w:color w:val="auto"/>
          <w:kern w:val="34"/>
        </w:rPr>
        <w:t>环境空气质量实现“两降一升”目标，</w:t>
      </w:r>
      <w:r>
        <w:rPr>
          <w:rFonts w:ascii="Times New Roman" w:hAnsi="Times New Roman" w:eastAsia="仿宋_GB2312"/>
          <w:color w:val="auto"/>
          <w:kern w:val="34"/>
        </w:rPr>
        <w:t>PM</w:t>
      </w:r>
      <w:r>
        <w:rPr>
          <w:rFonts w:ascii="Times New Roman" w:hAnsi="Times New Roman" w:eastAsia="仿宋_GB2312"/>
          <w:color w:val="auto"/>
          <w:kern w:val="34"/>
          <w:vertAlign w:val="subscript"/>
        </w:rPr>
        <w:t>2.5</w:t>
      </w:r>
      <w:r>
        <w:rPr>
          <w:rFonts w:ascii="Times New Roman" w:hAnsi="Times New Roman" w:eastAsia="仿宋_GB2312"/>
          <w:color w:val="auto"/>
          <w:kern w:val="34"/>
        </w:rPr>
        <w:t>、PM</w:t>
      </w:r>
      <w:r>
        <w:rPr>
          <w:rFonts w:hint="eastAsia" w:ascii="Times New Roman" w:hAnsi="Times New Roman" w:eastAsia="仿宋_GB2312"/>
          <w:color w:val="auto"/>
          <w:kern w:val="34"/>
          <w:vertAlign w:val="subscript"/>
        </w:rPr>
        <w:t>10</w:t>
      </w:r>
      <w:r>
        <w:rPr>
          <w:rFonts w:hint="eastAsia" w:ascii="Times New Roman" w:hAnsi="Times New Roman" w:eastAsia="仿宋_GB2312"/>
          <w:color w:val="auto"/>
          <w:kern w:val="34"/>
        </w:rPr>
        <w:t>浓度分别下降</w:t>
      </w:r>
      <w:r>
        <w:rPr>
          <w:rFonts w:hint="eastAsia" w:ascii="Times New Roman" w:hAnsi="Times New Roman" w:eastAsia="仿宋_GB2312"/>
          <w:color w:val="auto"/>
          <w:kern w:val="34"/>
          <w:lang w:val="en-US" w:eastAsia="zh-CN"/>
        </w:rPr>
        <w:t>3.4</w:t>
      </w:r>
      <w:r>
        <w:rPr>
          <w:rFonts w:hint="eastAsia" w:ascii="Times New Roman" w:hAnsi="Times New Roman" w:eastAsia="仿宋_GB2312"/>
          <w:color w:val="auto"/>
          <w:kern w:val="34"/>
        </w:rPr>
        <w:t>%、</w:t>
      </w:r>
      <w:r>
        <w:rPr>
          <w:rFonts w:ascii="Times New Roman" w:hAnsi="Times New Roman" w:eastAsia="仿宋_GB2312"/>
          <w:color w:val="auto"/>
          <w:kern w:val="34"/>
        </w:rPr>
        <w:t>19.</w:t>
      </w:r>
      <w:r>
        <w:rPr>
          <w:rFonts w:hint="eastAsia" w:ascii="Times New Roman" w:hAnsi="Times New Roman" w:eastAsia="仿宋_GB2312"/>
          <w:color w:val="auto"/>
          <w:kern w:val="34"/>
          <w:lang w:val="en-US" w:eastAsia="zh-CN"/>
        </w:rPr>
        <w:t>1</w:t>
      </w:r>
      <w:r>
        <w:rPr>
          <w:rFonts w:hint="eastAsia" w:ascii="Times New Roman" w:hAnsi="Times New Roman" w:eastAsia="仿宋_GB2312"/>
          <w:color w:val="auto"/>
          <w:kern w:val="34"/>
        </w:rPr>
        <w:t>%，空气质量优良天数比例为</w:t>
      </w:r>
      <w:r>
        <w:rPr>
          <w:rFonts w:hint="eastAsia" w:ascii="Times New Roman" w:hAnsi="Times New Roman" w:eastAsia="仿宋_GB2312"/>
          <w:color w:val="auto"/>
          <w:kern w:val="34"/>
          <w:lang w:val="en-US" w:eastAsia="zh-CN"/>
        </w:rPr>
        <w:t>86.1</w:t>
      </w:r>
      <w:r>
        <w:rPr>
          <w:rFonts w:hint="eastAsia" w:ascii="Times New Roman" w:hAnsi="Times New Roman" w:eastAsia="仿宋_GB2312"/>
          <w:color w:val="auto"/>
          <w:kern w:val="34"/>
        </w:rPr>
        <w:t>%。环境治理成效显著，空气质量、地表水断面同时获得上级生态补偿金奖补。新增公园游园6个，新建提升绿化面积</w:t>
      </w:r>
      <w:r>
        <w:rPr>
          <w:rFonts w:ascii="Times New Roman" w:hAnsi="Times New Roman" w:eastAsia="仿宋_GB2312"/>
          <w:color w:val="auto"/>
          <w:kern w:val="34"/>
        </w:rPr>
        <w:t>45</w:t>
      </w:r>
      <w:r>
        <w:rPr>
          <w:rFonts w:hint="eastAsia" w:ascii="Times New Roman" w:hAnsi="Times New Roman" w:eastAsia="仿宋_GB2312"/>
          <w:color w:val="auto"/>
          <w:kern w:val="34"/>
        </w:rPr>
        <w:t>万平方米，建成区绿化覆盖率提升至</w:t>
      </w:r>
      <w:r>
        <w:rPr>
          <w:rFonts w:ascii="Times New Roman" w:hAnsi="Times New Roman" w:eastAsia="仿宋_GB2312"/>
          <w:color w:val="auto"/>
          <w:kern w:val="34"/>
        </w:rPr>
        <w:t>29.7</w:t>
      </w:r>
      <w:r>
        <w:rPr>
          <w:rFonts w:hint="eastAsia" w:ascii="Times New Roman" w:hAnsi="Times New Roman" w:eastAsia="仿宋_GB2312"/>
          <w:color w:val="auto"/>
          <w:kern w:val="34"/>
        </w:rPr>
        <w:t>%。</w:t>
      </w:r>
    </w:p>
    <w:p w14:paraId="5F7DB568">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社会环境持续向好。</w:t>
      </w:r>
      <w:r>
        <w:rPr>
          <w:rFonts w:hint="eastAsia" w:ascii="Times New Roman" w:hAnsi="Times New Roman" w:eastAsia="仿宋_GB2312"/>
          <w:color w:val="auto"/>
          <w:kern w:val="34"/>
        </w:rPr>
        <w:t>坚持和发展新时代“枫桥经验”，认真践行“新时代六尺巷工作法”，推深做实“恒通做法”，基层治理基础全面夯实。加快推进信访法治化建设，深入开展“六情”大走访</w:t>
      </w:r>
      <w:r>
        <w:rPr>
          <w:rFonts w:hint="eastAsia" w:ascii="仿宋_GB2312"/>
          <w:color w:val="auto"/>
          <w:vertAlign w:val="superscript"/>
        </w:rPr>
        <w:t>〔</w:t>
      </w:r>
      <w:r>
        <w:rPr>
          <w:rFonts w:ascii="仿宋_GB2312"/>
          <w:color w:val="auto"/>
          <w:vertAlign w:val="superscript"/>
        </w:rPr>
        <w:t>4</w:t>
      </w:r>
      <w:r>
        <w:rPr>
          <w:rFonts w:hint="eastAsia" w:ascii="仿宋_GB2312"/>
          <w:color w:val="auto"/>
          <w:vertAlign w:val="superscript"/>
        </w:rPr>
        <w:t>〕</w:t>
      </w:r>
      <w:r>
        <w:rPr>
          <w:rFonts w:hint="eastAsia" w:ascii="Times New Roman" w:hAnsi="Times New Roman" w:eastAsia="仿宋_GB2312"/>
          <w:color w:val="auto"/>
          <w:kern w:val="34"/>
        </w:rPr>
        <w:t>，调解化解矛盾纠纷超</w:t>
      </w:r>
      <w:r>
        <w:rPr>
          <w:rFonts w:ascii="Times New Roman" w:hAnsi="Times New Roman" w:eastAsia="仿宋_GB2312"/>
          <w:color w:val="auto"/>
          <w:kern w:val="34"/>
        </w:rPr>
        <w:t>1.4</w:t>
      </w:r>
      <w:r>
        <w:rPr>
          <w:rFonts w:hint="eastAsia" w:ascii="Times New Roman" w:hAnsi="Times New Roman" w:eastAsia="仿宋_GB2312"/>
          <w:color w:val="auto"/>
          <w:kern w:val="34"/>
        </w:rPr>
        <w:t>万件，化解信访积案</w:t>
      </w:r>
      <w:r>
        <w:rPr>
          <w:rFonts w:ascii="Times New Roman" w:hAnsi="Times New Roman" w:eastAsia="仿宋_GB2312"/>
          <w:color w:val="auto"/>
          <w:kern w:val="34"/>
        </w:rPr>
        <w:t>50</w:t>
      </w:r>
      <w:r>
        <w:rPr>
          <w:rFonts w:hint="eastAsia" w:ascii="Times New Roman" w:hAnsi="Times New Roman" w:eastAsia="仿宋_GB2312"/>
          <w:color w:val="auto"/>
          <w:kern w:val="34"/>
        </w:rPr>
        <w:t>件，信访总量下降</w:t>
      </w:r>
      <w:r>
        <w:rPr>
          <w:rFonts w:ascii="Times New Roman" w:hAnsi="Times New Roman" w:eastAsia="仿宋_GB2312"/>
          <w:color w:val="auto"/>
          <w:kern w:val="34"/>
        </w:rPr>
        <w:t>53.8</w:t>
      </w:r>
      <w:r>
        <w:rPr>
          <w:rFonts w:hint="eastAsia" w:ascii="Times New Roman" w:hAnsi="Times New Roman" w:eastAsia="仿宋_GB2312"/>
          <w:color w:val="auto"/>
          <w:kern w:val="34"/>
        </w:rPr>
        <w:t>%。积极推动保交楼工作，成功盘活斯瑞大厦、四季春晓等项目，奥莱产业园、利港银河等项目加快推进，有效保障购房者合法权益。常态化开展扫黑除恶斗争，铲除恶势力犯罪集团3个，工作</w:t>
      </w:r>
      <w:r>
        <w:rPr>
          <w:rFonts w:ascii="Times New Roman" w:hAnsi="Times New Roman" w:eastAsia="仿宋_GB2312"/>
          <w:color w:val="auto"/>
          <w:kern w:val="34"/>
        </w:rPr>
        <w:t>成效</w:t>
      </w:r>
      <w:r>
        <w:rPr>
          <w:rFonts w:hint="eastAsia" w:ascii="Times New Roman" w:hAnsi="Times New Roman" w:eastAsia="仿宋_GB2312"/>
          <w:color w:val="auto"/>
          <w:kern w:val="34"/>
        </w:rPr>
        <w:t>连续2年</w:t>
      </w:r>
      <w:r>
        <w:rPr>
          <w:rFonts w:ascii="Times New Roman" w:hAnsi="Times New Roman" w:eastAsia="仿宋_GB2312"/>
          <w:color w:val="auto"/>
          <w:kern w:val="34"/>
        </w:rPr>
        <w:t>全市</w:t>
      </w:r>
      <w:r>
        <w:rPr>
          <w:rFonts w:hint="eastAsia" w:ascii="Times New Roman" w:hAnsi="Times New Roman" w:eastAsia="仿宋_GB2312"/>
          <w:color w:val="auto"/>
          <w:kern w:val="34"/>
        </w:rPr>
        <w:t>第1，人民群众的安全感不断</w:t>
      </w:r>
      <w:r>
        <w:rPr>
          <w:rFonts w:ascii="Times New Roman" w:hAnsi="Times New Roman" w:eastAsia="仿宋_GB2312"/>
          <w:color w:val="auto"/>
          <w:kern w:val="34"/>
        </w:rPr>
        <w:t>提升</w:t>
      </w:r>
      <w:r>
        <w:rPr>
          <w:rFonts w:hint="eastAsia" w:ascii="Times New Roman" w:hAnsi="Times New Roman" w:eastAsia="仿宋_GB2312"/>
          <w:color w:val="auto"/>
          <w:kern w:val="34"/>
        </w:rPr>
        <w:t>。</w:t>
      </w:r>
    </w:p>
    <w:p w14:paraId="6B0BB08A">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黑体"/>
          <w:color w:val="auto"/>
          <w:kern w:val="34"/>
        </w:rPr>
      </w:pPr>
      <w:r>
        <w:rPr>
          <w:rFonts w:hint="eastAsia" w:ascii="黑体" w:hAnsi="黑体" w:eastAsia="黑体" w:cs="黑体"/>
          <w:color w:val="auto"/>
          <w:kern w:val="34"/>
        </w:rPr>
        <w:t>五、聚焦“惠民生+保稳定”责任，社会事业呈现新面貌</w:t>
      </w:r>
    </w:p>
    <w:p w14:paraId="08D9BE44">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highlight w:val="yellow"/>
        </w:rPr>
      </w:pPr>
      <w:r>
        <w:rPr>
          <w:rFonts w:hint="eastAsia" w:ascii="楷体_GB2312" w:hAnsi="楷体_GB2312" w:eastAsia="楷体_GB2312" w:cs="楷体_GB2312"/>
          <w:b/>
          <w:bCs/>
          <w:color w:val="auto"/>
          <w:kern w:val="34"/>
        </w:rPr>
        <w:t>社会保障有力有效。</w:t>
      </w:r>
      <w:r>
        <w:rPr>
          <w:rFonts w:hint="eastAsia" w:ascii="Times New Roman" w:hAnsi="Times New Roman" w:eastAsia="仿宋_GB2312"/>
          <w:color w:val="auto"/>
        </w:rPr>
        <w:t>坚持</w:t>
      </w:r>
      <w:r>
        <w:rPr>
          <w:rFonts w:ascii="Times New Roman" w:hAnsi="Times New Roman" w:eastAsia="仿宋_GB2312"/>
          <w:color w:val="auto"/>
        </w:rPr>
        <w:t>就业</w:t>
      </w:r>
      <w:r>
        <w:rPr>
          <w:rFonts w:hint="eastAsia" w:ascii="Times New Roman" w:hAnsi="Times New Roman" w:eastAsia="仿宋_GB2312"/>
          <w:color w:val="auto"/>
        </w:rPr>
        <w:t>是最基本的民生</w:t>
      </w:r>
      <w:r>
        <w:rPr>
          <w:rFonts w:ascii="Times New Roman" w:hAnsi="Times New Roman" w:eastAsia="仿宋_GB2312"/>
          <w:color w:val="auto"/>
        </w:rPr>
        <w:t>，</w:t>
      </w:r>
      <w:r>
        <w:rPr>
          <w:rFonts w:hint="eastAsia" w:ascii="Times New Roman" w:hAnsi="Times New Roman" w:eastAsia="仿宋_GB2312"/>
          <w:color w:val="auto"/>
        </w:rPr>
        <w:t>积极落实援企稳岗政策，举办各类招聘会</w:t>
      </w:r>
      <w:r>
        <w:rPr>
          <w:rFonts w:ascii="Times New Roman" w:hAnsi="Times New Roman" w:eastAsia="仿宋_GB2312"/>
          <w:color w:val="auto"/>
        </w:rPr>
        <w:t>330</w:t>
      </w:r>
      <w:r>
        <w:rPr>
          <w:rFonts w:hint="eastAsia" w:ascii="Times New Roman" w:hAnsi="Times New Roman" w:eastAsia="仿宋_GB2312"/>
          <w:color w:val="auto"/>
        </w:rPr>
        <w:t>场，发放稳岗就业补贴</w:t>
      </w:r>
      <w:r>
        <w:rPr>
          <w:rFonts w:ascii="Times New Roman" w:hAnsi="Times New Roman" w:eastAsia="仿宋_GB2312"/>
          <w:color w:val="auto"/>
        </w:rPr>
        <w:t>3600</w:t>
      </w:r>
      <w:r>
        <w:rPr>
          <w:rFonts w:hint="eastAsia" w:ascii="Times New Roman" w:hAnsi="Times New Roman" w:eastAsia="仿宋_GB2312"/>
          <w:color w:val="auto"/>
        </w:rPr>
        <w:t>万元，新增城镇就业人员</w:t>
      </w:r>
      <w:r>
        <w:rPr>
          <w:rFonts w:ascii="Times New Roman" w:hAnsi="Times New Roman" w:eastAsia="仿宋_GB2312"/>
          <w:color w:val="auto"/>
        </w:rPr>
        <w:t>1.5</w:t>
      </w:r>
      <w:r>
        <w:rPr>
          <w:rFonts w:hint="eastAsia" w:ascii="Times New Roman" w:hAnsi="Times New Roman" w:eastAsia="仿宋_GB2312"/>
          <w:color w:val="auto"/>
        </w:rPr>
        <w:t>万人，零就业家庭保持动态清零。强化劳动者权益保护，妥善调解化解劳动争议2</w:t>
      </w:r>
      <w:r>
        <w:rPr>
          <w:rFonts w:ascii="Times New Roman" w:hAnsi="Times New Roman" w:eastAsia="仿宋_GB2312"/>
          <w:color w:val="auto"/>
        </w:rPr>
        <w:t>200</w:t>
      </w:r>
      <w:r>
        <w:rPr>
          <w:rFonts w:hint="eastAsia" w:ascii="Times New Roman" w:hAnsi="Times New Roman" w:eastAsia="仿宋_GB2312"/>
          <w:color w:val="auto"/>
        </w:rPr>
        <w:t>余件，常态开展根治欠薪专项行动，为3</w:t>
      </w:r>
      <w:r>
        <w:rPr>
          <w:rFonts w:ascii="Times New Roman" w:hAnsi="Times New Roman" w:eastAsia="仿宋_GB2312"/>
          <w:color w:val="auto"/>
        </w:rPr>
        <w:t>100</w:t>
      </w:r>
      <w:r>
        <w:rPr>
          <w:rFonts w:hint="eastAsia" w:ascii="Times New Roman" w:hAnsi="Times New Roman" w:eastAsia="仿宋_GB2312"/>
          <w:color w:val="auto"/>
        </w:rPr>
        <w:t>余名劳动者追讨欠薪</w:t>
      </w:r>
      <w:r>
        <w:rPr>
          <w:rFonts w:ascii="Times New Roman" w:hAnsi="Times New Roman" w:eastAsia="仿宋_GB2312"/>
          <w:color w:val="auto"/>
        </w:rPr>
        <w:t>5450</w:t>
      </w:r>
      <w:r>
        <w:rPr>
          <w:rFonts w:hint="eastAsia" w:ascii="Times New Roman" w:hAnsi="Times New Roman" w:eastAsia="仿宋_GB2312"/>
          <w:color w:val="auto"/>
        </w:rPr>
        <w:t>万元，劳动保障宣传工作获人社部表彰。兜牢基本民生保障底线，健全完善社会救助体系，发放困难人群补贴</w:t>
      </w:r>
      <w:r>
        <w:rPr>
          <w:rFonts w:ascii="Times New Roman" w:hAnsi="Times New Roman" w:eastAsia="仿宋_GB2312"/>
          <w:color w:val="auto"/>
        </w:rPr>
        <w:t>6740</w:t>
      </w:r>
      <w:r>
        <w:rPr>
          <w:rFonts w:hint="eastAsia" w:ascii="Times New Roman" w:hAnsi="Times New Roman" w:eastAsia="仿宋_GB2312"/>
          <w:color w:val="auto"/>
        </w:rPr>
        <w:t>万元，惠及</w:t>
      </w:r>
      <w:r>
        <w:rPr>
          <w:rFonts w:ascii="Times New Roman" w:hAnsi="Times New Roman" w:eastAsia="仿宋_GB2312"/>
          <w:color w:val="auto"/>
        </w:rPr>
        <w:t>13.4</w:t>
      </w:r>
      <w:r>
        <w:rPr>
          <w:rFonts w:hint="eastAsia" w:ascii="Times New Roman" w:hAnsi="Times New Roman" w:eastAsia="仿宋_GB2312"/>
          <w:color w:val="auto"/>
        </w:rPr>
        <w:t>万人次。用心做优“一老一小”服务，扎实推进托幼一体化建设，新增</w:t>
      </w:r>
      <w:r>
        <w:rPr>
          <w:rFonts w:ascii="Times New Roman" w:hAnsi="Times New Roman" w:eastAsia="仿宋_GB2312"/>
          <w:color w:val="auto"/>
        </w:rPr>
        <w:t>托位1695个，</w:t>
      </w:r>
      <w:r>
        <w:rPr>
          <w:rFonts w:hint="eastAsia" w:ascii="Times New Roman" w:hAnsi="Times New Roman" w:eastAsia="仿宋_GB2312"/>
          <w:color w:val="auto"/>
        </w:rPr>
        <w:t>幼儿园公办率、普惠率分别提升至</w:t>
      </w:r>
      <w:r>
        <w:rPr>
          <w:rFonts w:ascii="Times New Roman" w:hAnsi="Times New Roman" w:eastAsia="仿宋_GB2312"/>
          <w:color w:val="auto"/>
        </w:rPr>
        <w:t>63</w:t>
      </w:r>
      <w:r>
        <w:rPr>
          <w:rFonts w:hint="eastAsia" w:ascii="Times New Roman" w:hAnsi="Times New Roman" w:eastAsia="仿宋_GB2312"/>
          <w:color w:val="auto"/>
        </w:rPr>
        <w:t>%、</w:t>
      </w:r>
      <w:r>
        <w:rPr>
          <w:rFonts w:ascii="Times New Roman" w:hAnsi="Times New Roman" w:eastAsia="仿宋_GB2312"/>
          <w:color w:val="auto"/>
        </w:rPr>
        <w:t>98</w:t>
      </w:r>
      <w:r>
        <w:rPr>
          <w:rFonts w:hint="eastAsia" w:ascii="Times New Roman" w:hAnsi="Times New Roman" w:eastAsia="仿宋_GB2312"/>
          <w:color w:val="auto"/>
        </w:rPr>
        <w:t>%，学前教育普及普惠区</w:t>
      </w:r>
      <w:r>
        <w:rPr>
          <w:rFonts w:hint="eastAsia" w:ascii="Times New Roman" w:hAnsi="Times New Roman" w:eastAsia="仿宋_GB2312"/>
          <w:color w:val="auto"/>
          <w:lang w:eastAsia="zh-CN"/>
        </w:rPr>
        <w:t>创建</w:t>
      </w:r>
      <w:r>
        <w:rPr>
          <w:rFonts w:hint="eastAsia" w:ascii="Times New Roman" w:hAnsi="Times New Roman" w:eastAsia="仿宋_GB2312"/>
          <w:color w:val="auto"/>
        </w:rPr>
        <w:t>通过省级评估</w:t>
      </w:r>
      <w:r>
        <w:rPr>
          <w:rFonts w:hint="eastAsia" w:ascii="Times New Roman" w:hAnsi="Times New Roman" w:eastAsia="仿宋_GB2312"/>
          <w:color w:val="auto"/>
          <w:lang w:eastAsia="zh-CN"/>
        </w:rPr>
        <w:t>。</w:t>
      </w:r>
      <w:r>
        <w:rPr>
          <w:rFonts w:hint="eastAsia" w:ascii="Times New Roman" w:hAnsi="Times New Roman" w:eastAsia="仿宋_GB2312"/>
          <w:color w:val="auto"/>
        </w:rPr>
        <w:t>推进多层次养老服务体系建设，投入</w:t>
      </w:r>
      <w:r>
        <w:rPr>
          <w:rFonts w:ascii="Times New Roman" w:hAnsi="Times New Roman" w:eastAsia="仿宋_GB2312"/>
          <w:color w:val="auto"/>
        </w:rPr>
        <w:t>2250</w:t>
      </w:r>
      <w:r>
        <w:rPr>
          <w:rFonts w:hint="eastAsia" w:ascii="Times New Roman" w:hAnsi="Times New Roman" w:eastAsia="仿宋_GB2312"/>
          <w:color w:val="auto"/>
        </w:rPr>
        <w:t>万元保障居家养老服务，承接民政部</w:t>
      </w:r>
      <w:r>
        <w:rPr>
          <w:rFonts w:ascii="Times New Roman" w:hAnsi="Times New Roman" w:eastAsia="仿宋_GB2312"/>
          <w:color w:val="auto"/>
        </w:rPr>
        <w:t>老年助餐暨居家社区养老服务现场会，</w:t>
      </w:r>
      <w:r>
        <w:rPr>
          <w:rFonts w:hint="eastAsia" w:ascii="Times New Roman" w:hAnsi="Times New Roman" w:eastAsia="仿宋_GB2312"/>
          <w:color w:val="auto"/>
        </w:rPr>
        <w:t>获评省优质医养结合示范区，2家机构获评省级示范性社区嵌入式养老服务机构，3家中心创成</w:t>
      </w:r>
      <w:r>
        <w:rPr>
          <w:rFonts w:ascii="Times New Roman" w:hAnsi="Times New Roman" w:eastAsia="仿宋_GB2312"/>
          <w:color w:val="auto"/>
          <w:shd w:val="clear" w:color="auto" w:fill="FFFFFF"/>
        </w:rPr>
        <w:t>省级优质医养结合示范中心</w:t>
      </w:r>
      <w:r>
        <w:rPr>
          <w:rFonts w:hint="eastAsia" w:ascii="Times New Roman" w:hAnsi="Times New Roman" w:eastAsia="仿宋_GB2312"/>
          <w:color w:val="auto"/>
        </w:rPr>
        <w:t>。</w:t>
      </w:r>
    </w:p>
    <w:p w14:paraId="33D96915">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rPr>
      </w:pPr>
      <w:r>
        <w:rPr>
          <w:rFonts w:hint="eastAsia" w:ascii="楷体_GB2312" w:hAnsi="楷体_GB2312" w:eastAsia="楷体_GB2312" w:cs="楷体_GB2312"/>
          <w:b/>
          <w:bCs/>
          <w:color w:val="auto"/>
          <w:kern w:val="34"/>
        </w:rPr>
        <w:t>民生改善可感可及。</w:t>
      </w:r>
      <w:r>
        <w:rPr>
          <w:rFonts w:hint="eastAsia" w:ascii="Times New Roman" w:hAnsi="Times New Roman" w:eastAsia="仿宋_GB2312"/>
          <w:color w:val="auto"/>
          <w:kern w:val="34"/>
        </w:rPr>
        <w:t>民生类支出超</w:t>
      </w:r>
      <w:r>
        <w:rPr>
          <w:rFonts w:ascii="Times New Roman" w:hAnsi="Times New Roman" w:eastAsia="仿宋_GB2312"/>
          <w:color w:val="auto"/>
          <w:kern w:val="34"/>
        </w:rPr>
        <w:t>37</w:t>
      </w:r>
      <w:r>
        <w:rPr>
          <w:rFonts w:hint="eastAsia" w:ascii="Times New Roman" w:hAnsi="Times New Roman" w:eastAsia="仿宋_GB2312"/>
          <w:color w:val="auto"/>
          <w:kern w:val="34"/>
        </w:rPr>
        <w:t>亿元，连续2年一般公共预算支出占比超90%，</w:t>
      </w:r>
      <w:r>
        <w:rPr>
          <w:rFonts w:hint="eastAsia" w:ascii="Times New Roman" w:hAnsi="Times New Roman" w:eastAsia="仿宋_GB2312"/>
          <w:color w:val="auto"/>
        </w:rPr>
        <w:t>高标准落实50项民生实事。强化教育优质均衡发展，三十八中嘉山路校区、和平小学新校等</w:t>
      </w:r>
      <w:r>
        <w:rPr>
          <w:rFonts w:ascii="Times New Roman" w:hAnsi="Times New Roman" w:eastAsia="仿宋_GB2312"/>
          <w:color w:val="auto"/>
        </w:rPr>
        <w:t>教育</w:t>
      </w:r>
      <w:r>
        <w:rPr>
          <w:rFonts w:hint="eastAsia" w:ascii="Times New Roman" w:hAnsi="Times New Roman" w:eastAsia="仿宋_GB2312"/>
          <w:color w:val="auto"/>
        </w:rPr>
        <w:t>项目投用招生，</w:t>
      </w:r>
      <w:r>
        <w:rPr>
          <w:rFonts w:hint="eastAsia" w:ascii="Times New Roman" w:hAnsi="Times New Roman" w:eastAsia="仿宋_GB2312"/>
          <w:color w:val="auto"/>
          <w:kern w:val="34"/>
        </w:rPr>
        <w:t>获评全省首批中小学科学教育实验区、第二批德智体美劳“五大行动”实验区。</w:t>
      </w:r>
      <w:r>
        <w:rPr>
          <w:rFonts w:hint="eastAsia" w:ascii="Times New Roman" w:hAnsi="Times New Roman" w:eastAsia="仿宋_GB2312"/>
          <w:color w:val="auto"/>
        </w:rPr>
        <w:t>建立学位预警机制，大通路小学和三十八中大通路校区等扩建项目开工，全力化解学位紧缺矛盾。深化紧密型城市医疗集团建设，国家卫生城市创建扎实推进，获评全国优秀健走示范区。大力发展全民体育，举办瑶海</w:t>
      </w:r>
      <w:r>
        <w:rPr>
          <w:rFonts w:ascii="Times New Roman" w:hAnsi="Times New Roman" w:eastAsia="仿宋_GB2312"/>
          <w:color w:val="auto"/>
        </w:rPr>
        <w:t>区</w:t>
      </w:r>
      <w:r>
        <w:rPr>
          <w:rFonts w:hint="eastAsia" w:ascii="Times New Roman" w:hAnsi="Times New Roman" w:eastAsia="仿宋_GB2312"/>
          <w:color w:val="auto"/>
        </w:rPr>
        <w:t>第</w:t>
      </w:r>
      <w:r>
        <w:rPr>
          <w:rFonts w:ascii="Times New Roman" w:hAnsi="Times New Roman" w:eastAsia="仿宋_GB2312"/>
          <w:color w:val="auto"/>
        </w:rPr>
        <w:t>22</w:t>
      </w:r>
      <w:r>
        <w:rPr>
          <w:rFonts w:hint="eastAsia" w:ascii="Times New Roman" w:hAnsi="Times New Roman" w:eastAsia="仿宋_GB2312"/>
          <w:color w:val="auto"/>
        </w:rPr>
        <w:t>届中小学生田径运动会暨第10届教职工运动会，承办合肥市第13届运动会赛事并荣获“优秀赛区”称号。建成</w:t>
      </w:r>
      <w:r>
        <w:rPr>
          <w:rFonts w:ascii="Times New Roman" w:hAnsi="Times New Roman" w:eastAsia="仿宋_GB2312"/>
          <w:color w:val="auto"/>
        </w:rPr>
        <w:t>投用</w:t>
      </w:r>
      <w:r>
        <w:rPr>
          <w:rFonts w:hint="eastAsia" w:ascii="Times New Roman" w:hAnsi="Times New Roman" w:eastAsia="仿宋_GB2312"/>
          <w:color w:val="auto"/>
        </w:rPr>
        <w:t>广德家园菜市场，改造提升裕隆菜市场，10家菜市场获评全省星级文明菜市。优化公共文化服务，工人文化宫</w:t>
      </w:r>
      <w:r>
        <w:rPr>
          <w:rFonts w:ascii="Times New Roman" w:hAnsi="Times New Roman" w:eastAsia="仿宋_GB2312"/>
          <w:color w:val="auto"/>
        </w:rPr>
        <w:t>完成改造，</w:t>
      </w:r>
      <w:r>
        <w:rPr>
          <w:rFonts w:hint="eastAsia" w:ascii="Times New Roman" w:hAnsi="Times New Roman" w:eastAsia="仿宋_GB2312"/>
          <w:color w:val="auto"/>
        </w:rPr>
        <w:t>瑶海图书城等4家文化</w:t>
      </w:r>
      <w:r>
        <w:rPr>
          <w:rFonts w:ascii="Times New Roman" w:hAnsi="Times New Roman" w:eastAsia="仿宋_GB2312"/>
          <w:color w:val="auto"/>
        </w:rPr>
        <w:t>空间</w:t>
      </w:r>
      <w:r>
        <w:rPr>
          <w:rFonts w:hint="eastAsia" w:ascii="Times New Roman" w:hAnsi="Times New Roman" w:eastAsia="仿宋_GB2312"/>
          <w:color w:val="auto"/>
        </w:rPr>
        <w:t>获评省级公共文化空间，26个传统文化项目入选省市级非遗保护名录。</w:t>
      </w:r>
    </w:p>
    <w:p w14:paraId="4D534644">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rPr>
      </w:pPr>
      <w:r>
        <w:rPr>
          <w:rFonts w:hint="eastAsia" w:ascii="楷体_GB2312" w:hAnsi="楷体_GB2312" w:eastAsia="楷体_GB2312" w:cs="楷体_GB2312"/>
          <w:b/>
          <w:bCs/>
          <w:color w:val="auto"/>
          <w:kern w:val="34"/>
        </w:rPr>
        <w:t>发展环境安稳安定。</w:t>
      </w:r>
      <w:r>
        <w:rPr>
          <w:rFonts w:hint="eastAsia" w:ascii="Times New Roman" w:hAnsi="Times New Roman" w:eastAsia="仿宋_GB2312"/>
          <w:color w:val="auto"/>
        </w:rPr>
        <w:t>严格落实安全生产“十五条硬措施”，压实“三管三必须”责任，安全生产形势总体稳定。扎实开展八大重点</w:t>
      </w:r>
      <w:r>
        <w:rPr>
          <w:rFonts w:ascii="Times New Roman" w:hAnsi="Times New Roman" w:eastAsia="仿宋_GB2312"/>
          <w:color w:val="auto"/>
        </w:rPr>
        <w:t>领域安全生产集中整治行动</w:t>
      </w:r>
      <w:r>
        <w:rPr>
          <w:rFonts w:hint="eastAsia" w:ascii="Times New Roman" w:hAnsi="Times New Roman" w:eastAsia="仿宋_GB2312"/>
          <w:color w:val="auto"/>
        </w:rPr>
        <w:t>，整改隐患</w:t>
      </w:r>
      <w:r>
        <w:rPr>
          <w:rFonts w:ascii="Times New Roman" w:hAnsi="Times New Roman" w:eastAsia="仿宋_GB2312"/>
          <w:color w:val="auto"/>
        </w:rPr>
        <w:t>9758</w:t>
      </w:r>
      <w:r>
        <w:rPr>
          <w:rFonts w:hint="eastAsia" w:ascii="Times New Roman" w:hAnsi="Times New Roman" w:eastAsia="仿宋_GB2312"/>
          <w:color w:val="auto"/>
        </w:rPr>
        <w:t>处，重大事故隐患基本清零。消防安全大起底大排查大整治“回头看”专项行动取得实效，金方城、凌花大厦等一批重点场所</w:t>
      </w:r>
      <w:r>
        <w:rPr>
          <w:rFonts w:hint="eastAsia" w:ascii="Times New Roman" w:hAnsi="Times New Roman" w:eastAsia="仿宋_GB2312"/>
          <w:color w:val="auto"/>
          <w:lang w:eastAsia="zh-CN"/>
        </w:rPr>
        <w:t>消防</w:t>
      </w:r>
      <w:r>
        <w:rPr>
          <w:rFonts w:hint="eastAsia" w:ascii="Times New Roman" w:hAnsi="Times New Roman" w:eastAsia="仿宋_GB2312"/>
          <w:color w:val="auto"/>
        </w:rPr>
        <w:t>隐患得到彻底整改。开展自建房、危险住房安全专项整治，完成576户D级危房“人房分离”。常态开展特种设备安全监管和隐患排查整改，检验检测电梯2</w:t>
      </w:r>
      <w:r>
        <w:rPr>
          <w:rFonts w:ascii="Times New Roman" w:hAnsi="Times New Roman" w:eastAsia="仿宋_GB2312"/>
          <w:color w:val="auto"/>
        </w:rPr>
        <w:t>368</w:t>
      </w:r>
      <w:r>
        <w:rPr>
          <w:rFonts w:hint="eastAsia" w:ascii="Times New Roman" w:hAnsi="Times New Roman" w:eastAsia="仿宋_GB2312"/>
          <w:color w:val="auto"/>
        </w:rPr>
        <w:t>台，维修改造电梯</w:t>
      </w:r>
      <w:r>
        <w:rPr>
          <w:rFonts w:ascii="Times New Roman" w:hAnsi="Times New Roman" w:eastAsia="仿宋_GB2312"/>
          <w:color w:val="auto"/>
        </w:rPr>
        <w:t>341</w:t>
      </w:r>
      <w:r>
        <w:rPr>
          <w:rFonts w:hint="eastAsia" w:ascii="Times New Roman" w:hAnsi="Times New Roman" w:eastAsia="仿宋_GB2312"/>
          <w:color w:val="auto"/>
        </w:rPr>
        <w:t>台。</w:t>
      </w:r>
      <w:r>
        <w:rPr>
          <w:rFonts w:ascii="Times New Roman" w:hAnsi="Times New Roman" w:eastAsia="仿宋_GB2312"/>
          <w:color w:val="auto"/>
        </w:rPr>
        <w:t>深入推进电动自行车安全隐患全链条整治行动</w:t>
      </w:r>
      <w:r>
        <w:rPr>
          <w:rFonts w:hint="eastAsia" w:ascii="Times New Roman" w:hAnsi="Times New Roman" w:eastAsia="仿宋_GB2312"/>
          <w:color w:val="auto"/>
        </w:rPr>
        <w:t>，提前完成全部A、B类风险等级小区整改任务，有力维护人民群众生命财产安全。</w:t>
      </w:r>
    </w:p>
    <w:p w14:paraId="6ABC56F2">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六、聚焦“练内功+提效能”要求，政府建设得到新加强</w:t>
      </w:r>
    </w:p>
    <w:p w14:paraId="6A859A58">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坚持讲政治、铸忠诚。</w:t>
      </w:r>
      <w:r>
        <w:rPr>
          <w:rFonts w:hint="eastAsia" w:ascii="Times New Roman" w:hAnsi="Times New Roman" w:eastAsia="仿宋_GB2312"/>
          <w:color w:val="auto"/>
          <w:kern w:val="34"/>
        </w:rPr>
        <w:t>持续巩固深化学习贯彻习近平新时代中国特色社会主义思想主题教育成果，认真学习贯彻党的二十大和二十届二中、三中全会精神，深入学习宣传贯彻习近平总书记考察安徽重要讲话精神。坚定拥护“两个确立”，坚决做到“两个维护”，始终在思想上政治上行动上同以习近平同志为核心的党中央保持高度一致。</w:t>
      </w:r>
    </w:p>
    <w:p w14:paraId="7F6A2BF8">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坚持讲法治、强监督。</w:t>
      </w:r>
      <w:r>
        <w:rPr>
          <w:rFonts w:hint="eastAsia" w:ascii="Times New Roman" w:hAnsi="Times New Roman" w:eastAsia="仿宋_GB2312"/>
          <w:color w:val="auto"/>
          <w:kern w:val="34"/>
        </w:rPr>
        <w:t>持续加强法治政府建设，主动接受区人大依法监督和区政协民主监督，办理人大代表议案建议</w:t>
      </w:r>
      <w:r>
        <w:rPr>
          <w:rFonts w:ascii="Times New Roman" w:hAnsi="Times New Roman" w:eastAsia="仿宋_GB2312"/>
          <w:color w:val="auto"/>
          <w:kern w:val="34"/>
        </w:rPr>
        <w:t>113</w:t>
      </w:r>
      <w:r>
        <w:rPr>
          <w:rFonts w:hint="eastAsia" w:ascii="Times New Roman" w:hAnsi="Times New Roman" w:eastAsia="仿宋_GB2312"/>
          <w:color w:val="auto"/>
          <w:kern w:val="34"/>
        </w:rPr>
        <w:t>件、政协提案</w:t>
      </w:r>
      <w:r>
        <w:rPr>
          <w:rFonts w:ascii="Times New Roman" w:hAnsi="Times New Roman" w:eastAsia="仿宋_GB2312"/>
          <w:color w:val="auto"/>
          <w:kern w:val="34"/>
        </w:rPr>
        <w:t>146</w:t>
      </w:r>
      <w:r>
        <w:rPr>
          <w:rFonts w:hint="eastAsia" w:ascii="Times New Roman" w:hAnsi="Times New Roman" w:eastAsia="仿宋_GB2312"/>
          <w:color w:val="auto"/>
          <w:kern w:val="34"/>
        </w:rPr>
        <w:t>件，按时办结率和满意率均为100%。坚持区政府常务会会前学法和行政负责人出庭应诉制度，全市首个乡镇级首席法律咨询专家工作站揭牌，法治政府建设考核连续8年主城区第1。</w:t>
      </w:r>
    </w:p>
    <w:p w14:paraId="34796FBB">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坚持讲创新、求实效。</w:t>
      </w:r>
      <w:r>
        <w:rPr>
          <w:rFonts w:hint="eastAsia" w:ascii="Times New Roman" w:hAnsi="Times New Roman" w:eastAsia="仿宋_GB2312"/>
          <w:color w:val="auto"/>
          <w:kern w:val="34"/>
        </w:rPr>
        <w:t>坚持用创新思维、创新方法解决老问题、开辟新道路，全面推广“微园区+基金+应用场景”引育模式，产业发展动能更加强劲。拓宽政府融资渠道，推动城市更新可持续发展。整合重组国资集团资产，国资集团获评“AA+”主体信用评级，国企综合竞争力持续增强。正式上线征迁安置信息化平台，创新使用无人机三维倾斜摄影技术锁定待征迁城中村面积，征迁安置不断规范。</w:t>
      </w:r>
    </w:p>
    <w:p w14:paraId="4CBB56C8">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坚持讲效能、改作风。</w:t>
      </w:r>
      <w:r>
        <w:rPr>
          <w:rFonts w:hint="eastAsia" w:ascii="Times New Roman" w:hAnsi="Times New Roman" w:eastAsia="仿宋_GB2312"/>
          <w:color w:val="auto"/>
          <w:kern w:val="34"/>
        </w:rPr>
        <w:t>认真开展“勇担当、抓细节、强作风、促发展”干部作风建设大提升专项行动，持之以恒纠治“四风”，全面落实“基层减负”要求。推深做实“民声呼应”工作机制，办理人民网网友留言、12345政务服务热线、“互联网+督查”平台等群众和企业诉求</w:t>
      </w:r>
      <w:r>
        <w:rPr>
          <w:rFonts w:ascii="Times New Roman" w:hAnsi="Times New Roman" w:eastAsia="仿宋_GB2312"/>
          <w:color w:val="auto"/>
          <w:kern w:val="34"/>
        </w:rPr>
        <w:t>16</w:t>
      </w:r>
      <w:r>
        <w:rPr>
          <w:rFonts w:hint="eastAsia" w:ascii="Times New Roman" w:hAnsi="Times New Roman" w:eastAsia="仿宋_GB2312"/>
          <w:color w:val="auto"/>
          <w:kern w:val="34"/>
        </w:rPr>
        <w:t>万件，高效解决一批“急难愁盼”问题，把群众和</w:t>
      </w:r>
      <w:r>
        <w:rPr>
          <w:rFonts w:ascii="Times New Roman" w:hAnsi="Times New Roman" w:eastAsia="仿宋_GB2312"/>
          <w:color w:val="auto"/>
          <w:kern w:val="34"/>
        </w:rPr>
        <w:t>企业</w:t>
      </w:r>
      <w:r>
        <w:rPr>
          <w:rFonts w:hint="eastAsia" w:ascii="Times New Roman" w:hAnsi="Times New Roman" w:eastAsia="仿宋_GB2312"/>
          <w:color w:val="auto"/>
          <w:kern w:val="34"/>
        </w:rPr>
        <w:t>的“呼声”变为“掌声”。</w:t>
      </w:r>
    </w:p>
    <w:p w14:paraId="35A4279A">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坚持讲廉洁、守底线。</w:t>
      </w:r>
      <w:r>
        <w:rPr>
          <w:rFonts w:hint="eastAsia" w:ascii="Times New Roman" w:hAnsi="Times New Roman" w:eastAsia="仿宋_GB2312"/>
          <w:color w:val="auto"/>
          <w:kern w:val="34"/>
        </w:rPr>
        <w:t>坚定不移推进政府系统全面从严治党，严格执行中央八项规定及其实施细则精神，深入开展党纪学习教育。带头落实过“紧日子”要求，严控一般性支出。全力配合做好省委巡视和市委巡察工作，扎实抓好巡视、巡察、审计发现问题整改。一体推进“三不腐”，坚决整治群众身边不正之风和腐败问题，干部清正、政府清廉、政治清明的政治生态持续巩固。</w:t>
      </w:r>
    </w:p>
    <w:p w14:paraId="4D2F5D79">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outlineLvl w:val="2"/>
        <w:rPr>
          <w:rFonts w:ascii="Times New Roman" w:hAnsi="Times New Roman" w:eastAsia="仿宋_GB2312"/>
          <w:color w:val="auto"/>
        </w:rPr>
      </w:pPr>
      <w:r>
        <w:rPr>
          <w:rFonts w:hint="eastAsia" w:ascii="Times New Roman" w:hAnsi="Times New Roman" w:eastAsia="仿宋_GB2312"/>
          <w:color w:val="auto"/>
        </w:rPr>
        <w:t>与此同时，</w:t>
      </w:r>
      <w:r>
        <w:rPr>
          <w:rFonts w:hint="eastAsia" w:ascii="Times New Roman" w:hAnsi="Times New Roman" w:eastAsia="仿宋_GB2312"/>
          <w:color w:val="auto"/>
          <w:kern w:val="34"/>
        </w:rPr>
        <w:t>巩固拓展脱贫攻坚成果同乡村振兴有效衔接工作考核位列主城区第1，</w:t>
      </w:r>
      <w:r>
        <w:rPr>
          <w:rFonts w:hint="eastAsia" w:ascii="Times New Roman" w:hAnsi="Times New Roman" w:eastAsia="仿宋_GB2312"/>
          <w:color w:val="auto"/>
        </w:rPr>
        <w:t>顺利完成第五次全国经济普查工作，持续深入推进“八五”普法，严格落实意识形态工作责任制。国防动员和后备力量建设、人民防空、双拥共建、民族宗教、外事侨务、地方志、防震减灾、供销等工作不断进步，审计、统计、物价、慈善、档案、保密、工会、共青团、妇联、科协</w:t>
      </w:r>
      <w:r>
        <w:rPr>
          <w:rFonts w:ascii="Times New Roman" w:hAnsi="Times New Roman" w:eastAsia="仿宋_GB2312"/>
          <w:color w:val="auto"/>
        </w:rPr>
        <w:t>、</w:t>
      </w:r>
      <w:r>
        <w:rPr>
          <w:rFonts w:hint="eastAsia" w:ascii="Times New Roman" w:hAnsi="Times New Roman" w:eastAsia="仿宋_GB2312"/>
          <w:color w:val="auto"/>
        </w:rPr>
        <w:t>文联、红十字会、退役军人、老年人、残疾人、关心下一代等工作取得新进步。</w:t>
      </w:r>
    </w:p>
    <w:p w14:paraId="19246B1D">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outlineLvl w:val="2"/>
        <w:rPr>
          <w:rFonts w:ascii="Times New Roman" w:hAnsi="Times New Roman" w:eastAsia="黑体"/>
          <w:color w:val="auto"/>
        </w:rPr>
      </w:pPr>
      <w:r>
        <w:rPr>
          <w:rFonts w:hint="eastAsia" w:ascii="Times New Roman" w:hAnsi="Times New Roman" w:eastAsia="黑体"/>
          <w:color w:val="auto"/>
        </w:rPr>
        <w:t>各位代表！</w:t>
      </w:r>
    </w:p>
    <w:p w14:paraId="44D0BBE5">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outlineLvl w:val="2"/>
        <w:rPr>
          <w:rFonts w:ascii="Times New Roman" w:hAnsi="Times New Roman" w:eastAsia="仿宋_GB2312"/>
          <w:color w:val="auto"/>
        </w:rPr>
      </w:pPr>
      <w:r>
        <w:rPr>
          <w:rFonts w:hint="eastAsia" w:ascii="Times New Roman" w:hAnsi="Times New Roman" w:eastAsia="仿宋_GB2312"/>
          <w:color w:val="auto"/>
        </w:rPr>
        <w:t>回顾刚刚过去的2024年，面对超出预期的困难和挑战，我们知重负重、砥砺前行，迎难而上、共克时艰，取得了来之不易的成绩。这是习近平新时代中国特色社会主义思想科学指引的结果，是市委市政府和区委坚强领导的结果，是区人大、区政协和社会各界监督支持的结果，是全区人民一起拼搏、一起奋斗的结果。这一年，大家都在各自岗位上坚持坚守、尽职尽责，都在为瑶海发展建言献策、辛勤付出，挥洒汗水、发光发热，大家都是瑶海转型发展进程中的主人翁、主力军。在此，我代表区人民政府，向全区广大干部群众，向人大代表、政协委员，向驻区党政机关、企事业单位，向各民主党派、工商联、无党派人士和人民团体，向驻瑶海部队、武警官兵、消防救援队伍指战员、政法干警，向关心支持瑶海发展的社会各界人士，表示崇高的敬意和衷心的感谢！</w:t>
      </w:r>
    </w:p>
    <w:p w14:paraId="3208BF55">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outlineLvl w:val="2"/>
        <w:rPr>
          <w:rFonts w:ascii="Times New Roman" w:hAnsi="Times New Roman" w:eastAsia="黑体"/>
          <w:color w:val="auto"/>
        </w:rPr>
      </w:pPr>
      <w:r>
        <w:rPr>
          <w:rFonts w:hint="eastAsia" w:ascii="Times New Roman" w:hAnsi="Times New Roman" w:eastAsia="仿宋_GB2312"/>
          <w:color w:val="auto"/>
        </w:rPr>
        <w:t>在总结成绩的同时，我们也清醒地认识到，瑶海的转型发展还存在一些问题和困难。主要有：</w:t>
      </w:r>
      <w:r>
        <w:rPr>
          <w:rFonts w:hint="eastAsia" w:ascii="Times New Roman" w:hAnsi="Times New Roman" w:eastAsia="仿宋_GB2312"/>
          <w:b/>
          <w:color w:val="auto"/>
        </w:rPr>
        <w:t>一是</w:t>
      </w:r>
      <w:r>
        <w:rPr>
          <w:rFonts w:hint="eastAsia" w:ascii="Times New Roman" w:hAnsi="Times New Roman" w:eastAsia="仿宋_GB2312"/>
          <w:color w:val="auto"/>
        </w:rPr>
        <w:t>发展环境严峻复杂，受外部环境影响，部分企业生产经营困难，群众就业增收压力较大。优质民生保障资源供给不充分不均衡，与人民</w:t>
      </w:r>
      <w:r>
        <w:rPr>
          <w:rFonts w:ascii="Times New Roman" w:hAnsi="Times New Roman" w:eastAsia="仿宋_GB2312"/>
          <w:color w:val="auto"/>
        </w:rPr>
        <w:t>群众</w:t>
      </w:r>
      <w:r>
        <w:rPr>
          <w:rFonts w:hint="eastAsia" w:ascii="Times New Roman" w:hAnsi="Times New Roman" w:eastAsia="仿宋_GB2312"/>
          <w:color w:val="auto"/>
        </w:rPr>
        <w:t>期盼</w:t>
      </w:r>
      <w:r>
        <w:rPr>
          <w:rFonts w:ascii="Times New Roman" w:hAnsi="Times New Roman" w:eastAsia="仿宋_GB2312"/>
          <w:color w:val="auto"/>
        </w:rPr>
        <w:t>仍有差距</w:t>
      </w:r>
      <w:r>
        <w:rPr>
          <w:rFonts w:hint="eastAsia" w:ascii="Times New Roman" w:hAnsi="Times New Roman" w:eastAsia="仿宋_GB2312"/>
          <w:color w:val="auto"/>
        </w:rPr>
        <w:t>。</w:t>
      </w:r>
      <w:r>
        <w:rPr>
          <w:rFonts w:hint="eastAsia" w:ascii="Times New Roman" w:hAnsi="Times New Roman" w:eastAsia="仿宋_GB2312"/>
          <w:b/>
          <w:color w:val="auto"/>
        </w:rPr>
        <w:t>二是</w:t>
      </w:r>
      <w:r>
        <w:rPr>
          <w:rFonts w:hint="eastAsia" w:ascii="Times New Roman" w:hAnsi="Times New Roman" w:eastAsia="仿宋_GB2312"/>
          <w:color w:val="auto"/>
        </w:rPr>
        <w:t>转型发展任务艰巨，产业结构性矛盾依然突出，新兴产业集群尚未成型。城市更新任务依然艰巨，城区建设品质和管理水平与先发地区差距明显。</w:t>
      </w:r>
      <w:r>
        <w:rPr>
          <w:rFonts w:hint="eastAsia" w:ascii="Times New Roman" w:hAnsi="Times New Roman" w:eastAsia="仿宋_GB2312"/>
          <w:b/>
          <w:color w:val="auto"/>
        </w:rPr>
        <w:t>三是</w:t>
      </w:r>
      <w:r>
        <w:rPr>
          <w:rFonts w:hint="eastAsia" w:ascii="Times New Roman" w:hAnsi="Times New Roman" w:eastAsia="仿宋_GB2312"/>
          <w:color w:val="auto"/>
        </w:rPr>
        <w:t>政府治理能力现代化水平有待提高，政府系统少数干部工作能力和担当精神需要加强。对此，我们将积极采取切实有效措施，认真加以解决。</w:t>
      </w:r>
    </w:p>
    <w:p w14:paraId="5D70C411">
      <w:pPr>
        <w:keepNext w:val="0"/>
        <w:keepLines w:val="0"/>
        <w:pageBreakBefore w:val="0"/>
        <w:widowControl w:val="0"/>
        <w:kinsoku/>
        <w:wordWrap/>
        <w:overflowPunct/>
        <w:topLinePunct w:val="0"/>
        <w:autoSpaceDE/>
        <w:autoSpaceDN/>
        <w:bidi w:val="0"/>
        <w:snapToGrid/>
        <w:spacing w:line="579" w:lineRule="exact"/>
        <w:jc w:val="center"/>
        <w:textAlignment w:val="auto"/>
        <w:rPr>
          <w:rFonts w:ascii="Times New Roman" w:hAnsi="Times New Roman" w:eastAsia="仿宋_GB2312"/>
          <w:b/>
          <w:bCs/>
          <w:color w:val="auto"/>
          <w:kern w:val="34"/>
        </w:rPr>
      </w:pPr>
      <w:r>
        <w:rPr>
          <w:rFonts w:hint="eastAsia" w:ascii="Times New Roman" w:hAnsi="Times New Roman" w:eastAsia="黑体"/>
          <w:color w:val="auto"/>
        </w:rPr>
        <w:t>2025年重点工作</w:t>
      </w:r>
    </w:p>
    <w:p w14:paraId="1FCD4D6B">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p>
    <w:p w14:paraId="2865985B">
      <w:pPr>
        <w:keepNext w:val="0"/>
        <w:keepLines w:val="0"/>
        <w:pageBreakBefore w:val="0"/>
        <w:widowControl w:val="0"/>
        <w:kinsoku/>
        <w:wordWrap/>
        <w:overflowPunct/>
        <w:topLinePunct w:val="0"/>
        <w:autoSpaceDE/>
        <w:autoSpaceDN/>
        <w:bidi w:val="0"/>
        <w:adjustRightInd w:val="0"/>
        <w:snapToGrid/>
        <w:spacing w:line="579" w:lineRule="exact"/>
        <w:ind w:firstLine="632" w:firstLineChars="200"/>
        <w:textAlignment w:val="auto"/>
        <w:rPr>
          <w:rFonts w:ascii="黑体" w:hAnsi="黑体" w:eastAsia="黑体" w:cs="黑体"/>
          <w:color w:val="auto"/>
          <w:kern w:val="34"/>
        </w:rPr>
      </w:pPr>
      <w:r>
        <w:rPr>
          <w:rFonts w:hint="eastAsia" w:ascii="Times New Roman" w:hAnsi="Times New Roman" w:eastAsia="仿宋_GB2312"/>
          <w:color w:val="auto"/>
          <w:kern w:val="34"/>
        </w:rPr>
        <w:t>2025年是“十四五”收官之年，也是“十五五”谋划之年，做好全年工作至关重要。今年政府工作的总体要求是：</w:t>
      </w:r>
      <w:r>
        <w:rPr>
          <w:rFonts w:hint="eastAsia" w:ascii="黑体" w:hAnsi="黑体" w:eastAsia="黑体" w:cs="黑体"/>
          <w:color w:val="auto"/>
          <w:kern w:val="34"/>
        </w:rPr>
        <w:t>坚持以习近平新时代中国特色社会主义思想为指导，全面贯彻落实党的二十大和二十届二中、三中全会精神，认真落实习近平总书记考察安徽重要讲话精神，坚持稳中求进工作总基调，完整准确全面贯彻新发展理念，服务和融入新发展格局，扎实推动高质量发展，进一步全面深化改革，扩大高水平对外开放，建设现代化产业体系，更好统筹发展和安全，推动科技创新和产业创新融合发展，防范化解重点领域风险和外部冲击，稳定预期、激发活力，推动经济持续回升向好，不断提高人民生活水平，保持社会和谐稳定，高质量完成“十四五”规划目标任务，为实现“十五五”良好开局打牢基础。</w:t>
      </w:r>
    </w:p>
    <w:p w14:paraId="60D7D175">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黑体"/>
          <w:color w:val="auto"/>
          <w:kern w:val="34"/>
        </w:rPr>
      </w:pPr>
      <w:r>
        <w:rPr>
          <w:rFonts w:ascii="Times New Roman" w:hAnsi="Times New Roman" w:eastAsia="仿宋_GB2312"/>
          <w:color w:val="auto"/>
          <w:kern w:val="34"/>
        </w:rPr>
        <w:t>2025年发展的主要预期目标是：</w:t>
      </w:r>
      <w:r>
        <w:rPr>
          <w:rFonts w:ascii="Times New Roman" w:hAnsi="Times New Roman" w:eastAsia="黑体"/>
          <w:color w:val="auto"/>
          <w:kern w:val="34"/>
        </w:rPr>
        <w:t>地区生产总值增长</w:t>
      </w:r>
      <w:r>
        <w:rPr>
          <w:rFonts w:hint="eastAsia" w:ascii="Times New Roman" w:hAnsi="Times New Roman" w:eastAsia="黑体"/>
          <w:color w:val="auto"/>
          <w:kern w:val="34"/>
        </w:rPr>
        <w:t>5</w:t>
      </w:r>
      <w:r>
        <w:rPr>
          <w:rFonts w:hint="eastAsia" w:ascii="Times New Roman" w:hAnsi="Times New Roman" w:eastAsia="黑体"/>
          <w:color w:val="auto"/>
          <w:kern w:val="34"/>
          <w:lang w:val="en-US" w:eastAsia="zh-CN"/>
        </w:rPr>
        <w:t>.5</w:t>
      </w:r>
      <w:r>
        <w:rPr>
          <w:rFonts w:ascii="Times New Roman" w:hAnsi="Times New Roman" w:eastAsia="黑体"/>
          <w:color w:val="auto"/>
          <w:kern w:val="34"/>
        </w:rPr>
        <w:t>%</w:t>
      </w:r>
      <w:r>
        <w:rPr>
          <w:rFonts w:hint="eastAsia" w:ascii="Times New Roman" w:hAnsi="Times New Roman" w:eastAsia="黑体"/>
          <w:color w:val="auto"/>
          <w:kern w:val="34"/>
          <w:lang w:eastAsia="zh-CN"/>
        </w:rPr>
        <w:t>以上</w:t>
      </w:r>
      <w:r>
        <w:rPr>
          <w:rFonts w:ascii="Times New Roman" w:hAnsi="Times New Roman" w:eastAsia="黑体"/>
          <w:color w:val="auto"/>
          <w:kern w:val="34"/>
        </w:rPr>
        <w:t>；一般公共预算收入增长</w:t>
      </w:r>
      <w:r>
        <w:rPr>
          <w:rFonts w:hint="eastAsia" w:ascii="Times New Roman" w:hAnsi="Times New Roman" w:eastAsia="黑体"/>
          <w:color w:val="auto"/>
          <w:kern w:val="34"/>
        </w:rPr>
        <w:t>3</w:t>
      </w:r>
      <w:r>
        <w:rPr>
          <w:rFonts w:ascii="Times New Roman" w:hAnsi="Times New Roman" w:eastAsia="黑体"/>
          <w:color w:val="auto"/>
          <w:kern w:val="34"/>
        </w:rPr>
        <w:t>%左右；规上工业增加值增长</w:t>
      </w:r>
      <w:r>
        <w:rPr>
          <w:rFonts w:hint="eastAsia" w:ascii="Times New Roman" w:hAnsi="Times New Roman" w:eastAsia="黑体"/>
          <w:color w:val="auto"/>
          <w:kern w:val="34"/>
        </w:rPr>
        <w:t>10</w:t>
      </w:r>
      <w:r>
        <w:rPr>
          <w:rFonts w:ascii="Times New Roman" w:hAnsi="Times New Roman" w:eastAsia="黑体"/>
          <w:color w:val="auto"/>
          <w:kern w:val="34"/>
        </w:rPr>
        <w:t>%</w:t>
      </w:r>
      <w:r>
        <w:rPr>
          <w:rFonts w:hint="eastAsia" w:ascii="Times New Roman" w:hAnsi="Times New Roman" w:eastAsia="黑体"/>
          <w:color w:val="auto"/>
          <w:kern w:val="34"/>
        </w:rPr>
        <w:t>左右</w:t>
      </w:r>
      <w:r>
        <w:rPr>
          <w:rFonts w:ascii="Times New Roman" w:hAnsi="Times New Roman" w:eastAsia="黑体"/>
          <w:color w:val="auto"/>
          <w:kern w:val="34"/>
        </w:rPr>
        <w:t>；</w:t>
      </w:r>
      <w:r>
        <w:rPr>
          <w:rFonts w:hint="eastAsia" w:ascii="Times New Roman" w:hAnsi="Times New Roman" w:eastAsia="黑体"/>
          <w:color w:val="auto"/>
          <w:kern w:val="34"/>
        </w:rPr>
        <w:t>其他营利性服务业营收增长15%左右；</w:t>
      </w:r>
      <w:r>
        <w:rPr>
          <w:rFonts w:ascii="Times New Roman" w:hAnsi="Times New Roman" w:eastAsia="黑体"/>
          <w:color w:val="auto"/>
          <w:kern w:val="34"/>
        </w:rPr>
        <w:t>固定资产投资增长</w:t>
      </w:r>
      <w:r>
        <w:rPr>
          <w:rFonts w:hint="eastAsia" w:ascii="Times New Roman" w:hAnsi="Times New Roman" w:eastAsia="黑体"/>
          <w:color w:val="auto"/>
          <w:kern w:val="34"/>
        </w:rPr>
        <w:t>5</w:t>
      </w:r>
      <w:r>
        <w:rPr>
          <w:rFonts w:ascii="Times New Roman" w:hAnsi="Times New Roman" w:eastAsia="黑体"/>
          <w:color w:val="auto"/>
          <w:kern w:val="34"/>
        </w:rPr>
        <w:t>%左右；社会消费品零售总额增长</w:t>
      </w:r>
      <w:r>
        <w:rPr>
          <w:rFonts w:hint="eastAsia" w:ascii="Times New Roman" w:hAnsi="Times New Roman" w:eastAsia="黑体"/>
          <w:color w:val="auto"/>
          <w:kern w:val="34"/>
        </w:rPr>
        <w:t>6</w:t>
      </w:r>
      <w:r>
        <w:rPr>
          <w:rFonts w:ascii="Times New Roman" w:hAnsi="Times New Roman" w:eastAsia="黑体"/>
          <w:color w:val="auto"/>
          <w:kern w:val="34"/>
        </w:rPr>
        <w:t>%</w:t>
      </w:r>
      <w:r>
        <w:rPr>
          <w:rFonts w:hint="eastAsia" w:ascii="Times New Roman" w:hAnsi="Times New Roman" w:eastAsia="黑体"/>
          <w:color w:val="auto"/>
          <w:kern w:val="34"/>
        </w:rPr>
        <w:t>左右</w:t>
      </w:r>
      <w:r>
        <w:rPr>
          <w:rFonts w:ascii="Times New Roman" w:hAnsi="Times New Roman" w:eastAsia="黑体"/>
          <w:color w:val="auto"/>
          <w:kern w:val="34"/>
        </w:rPr>
        <w:t>；进出口总额增速高于全市平均水平</w:t>
      </w:r>
      <w:r>
        <w:rPr>
          <w:rFonts w:hint="eastAsia" w:ascii="Times New Roman" w:hAnsi="Times New Roman" w:eastAsia="黑体"/>
          <w:color w:val="auto"/>
          <w:kern w:val="34"/>
        </w:rPr>
        <w:t>；</w:t>
      </w:r>
      <w:r>
        <w:rPr>
          <w:rFonts w:ascii="Times New Roman" w:hAnsi="Times New Roman" w:eastAsia="黑体"/>
          <w:color w:val="auto"/>
          <w:kern w:val="34"/>
        </w:rPr>
        <w:t>城镇居民收入增长和经济增长</w:t>
      </w:r>
      <w:r>
        <w:rPr>
          <w:rFonts w:hint="eastAsia" w:ascii="Times New Roman" w:hAnsi="Times New Roman" w:eastAsia="黑体"/>
          <w:color w:val="auto"/>
          <w:kern w:val="34"/>
        </w:rPr>
        <w:t>基本</w:t>
      </w:r>
      <w:r>
        <w:rPr>
          <w:rFonts w:ascii="Times New Roman" w:hAnsi="Times New Roman" w:eastAsia="黑体"/>
          <w:color w:val="auto"/>
          <w:kern w:val="34"/>
        </w:rPr>
        <w:t>同步；节能减排完成市控目标。</w:t>
      </w:r>
    </w:p>
    <w:p w14:paraId="62AAF329">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Times New Roman" w:hAnsi="Times New Roman" w:eastAsia="仿宋_GB2312"/>
          <w:color w:val="auto"/>
          <w:kern w:val="34"/>
        </w:rPr>
        <w:t>为实现上述目标任务，我们将重点做好以下七个方面工作：</w:t>
      </w:r>
    </w:p>
    <w:p w14:paraId="3DD9F1D4">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一、更快速度建设东部新中心，努力打造宜居宜业新城</w:t>
      </w:r>
    </w:p>
    <w:p w14:paraId="5BCAB8F5">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楷体_GB2312" w:hAnsi="楷体_GB2312" w:eastAsia="楷体_GB2312" w:cs="楷体_GB2312"/>
          <w:b/>
          <w:bCs/>
          <w:color w:val="auto"/>
          <w:kern w:val="34"/>
        </w:rPr>
      </w:pPr>
      <w:r>
        <w:rPr>
          <w:rFonts w:hint="eastAsia" w:ascii="楷体_GB2312" w:hAnsi="楷体_GB2312" w:eastAsia="楷体_GB2312" w:cs="楷体_GB2312"/>
          <w:b/>
          <w:bCs/>
          <w:color w:val="auto"/>
          <w:kern w:val="34"/>
        </w:rPr>
        <w:t>全力强化要素保障。</w:t>
      </w:r>
      <w:r>
        <w:rPr>
          <w:rFonts w:hint="eastAsia" w:ascii="Times New Roman" w:hAnsi="Times New Roman" w:eastAsia="仿宋_GB2312"/>
          <w:color w:val="auto"/>
          <w:kern w:val="34"/>
        </w:rPr>
        <w:t>完成东部新中心体制机制优化调整，统筹推进“一河两岸三地”建设，加快由建设管理向建设发展转变。完成核心区城市设计深化优化方案编制，全面启动核心区开发建设。加快推进朱岗、刘岗等4个城中村征迁，瑶海片区完成征迁面积超20万平方米。全力攻坚老合钢区域危房解危处置，完成全部危房拆除，安置解危居民超500户。完成合肥造纸厂、氯碱西等地块污染土壤修复，力争累计完成</w:t>
      </w:r>
      <w:r>
        <w:rPr>
          <w:rFonts w:ascii="Times New Roman" w:hAnsi="Times New Roman" w:eastAsia="仿宋_GB2312"/>
          <w:color w:val="auto"/>
          <w:kern w:val="34"/>
        </w:rPr>
        <w:t>污染土壤修复</w:t>
      </w:r>
      <w:r>
        <w:rPr>
          <w:rFonts w:hint="eastAsia" w:ascii="Times New Roman" w:hAnsi="Times New Roman" w:eastAsia="仿宋_GB2312"/>
          <w:color w:val="auto"/>
          <w:kern w:val="34"/>
        </w:rPr>
        <w:t>4265亩、出库3</w:t>
      </w:r>
      <w:r>
        <w:rPr>
          <w:rFonts w:ascii="Times New Roman" w:hAnsi="Times New Roman" w:eastAsia="仿宋_GB2312"/>
          <w:color w:val="auto"/>
          <w:kern w:val="34"/>
        </w:rPr>
        <w:t>888</w:t>
      </w:r>
      <w:r>
        <w:rPr>
          <w:rFonts w:hint="eastAsia" w:ascii="Times New Roman" w:hAnsi="Times New Roman" w:eastAsia="仿宋_GB2312"/>
          <w:color w:val="auto"/>
          <w:kern w:val="34"/>
        </w:rPr>
        <w:t>亩。</w:t>
      </w:r>
    </w:p>
    <w:p w14:paraId="5F5072BE">
      <w:pPr>
        <w:pStyle w:val="7"/>
        <w:keepNext w:val="0"/>
        <w:keepLines w:val="0"/>
        <w:pageBreakBefore w:val="0"/>
        <w:widowControl w:val="0"/>
        <w:kinsoku/>
        <w:wordWrap/>
        <w:overflowPunct/>
        <w:topLinePunct w:val="0"/>
        <w:autoSpaceDE/>
        <w:autoSpaceDN/>
        <w:bidi w:val="0"/>
        <w:snapToGrid/>
        <w:spacing w:line="579" w:lineRule="exact"/>
        <w:ind w:firstLine="634"/>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全力提升片区形象。</w:t>
      </w:r>
      <w:r>
        <w:rPr>
          <w:rFonts w:hint="eastAsia" w:ascii="Times New Roman" w:hAnsi="Times New Roman" w:eastAsia="仿宋_GB2312"/>
          <w:color w:val="auto"/>
          <w:kern w:val="34"/>
        </w:rPr>
        <w:t>瑶海片区实施项目</w:t>
      </w:r>
      <w:r>
        <w:rPr>
          <w:rFonts w:ascii="Times New Roman" w:hAnsi="Times New Roman" w:eastAsia="仿宋_GB2312"/>
          <w:color w:val="auto"/>
          <w:kern w:val="0"/>
          <w:sz w:val="31"/>
          <w:szCs w:val="31"/>
        </w:rPr>
        <w:t>64个，力争完成投资</w:t>
      </w:r>
      <w:r>
        <w:rPr>
          <w:rFonts w:hint="eastAsia" w:ascii="Times New Roman" w:hAnsi="Times New Roman" w:eastAsia="仿宋_GB2312"/>
          <w:color w:val="auto"/>
          <w:kern w:val="0"/>
          <w:sz w:val="31"/>
          <w:szCs w:val="31"/>
        </w:rPr>
        <w:t>超</w:t>
      </w:r>
      <w:r>
        <w:rPr>
          <w:rFonts w:ascii="Times New Roman" w:hAnsi="Times New Roman" w:eastAsia="仿宋_GB2312"/>
          <w:color w:val="auto"/>
          <w:kern w:val="0"/>
          <w:sz w:val="31"/>
          <w:szCs w:val="31"/>
        </w:rPr>
        <w:t>50亿元</w:t>
      </w:r>
      <w:r>
        <w:rPr>
          <w:rFonts w:hint="eastAsia" w:ascii="Times New Roman" w:hAnsi="Times New Roman" w:eastAsia="仿宋_GB2312"/>
          <w:color w:val="auto"/>
          <w:kern w:val="34"/>
        </w:rPr>
        <w:t>。坚持交通先行，全力保障轨道交通6号线、龙岗路等重点项目按期通车，争取淮南路（铜陵路</w:t>
      </w:r>
      <w:r>
        <w:rPr>
          <w:rFonts w:ascii="Times New Roman" w:hAnsi="Times New Roman" w:eastAsia="仿宋_GB2312"/>
          <w:color w:val="auto"/>
          <w:kern w:val="34"/>
        </w:rPr>
        <w:t>至大众路段</w:t>
      </w:r>
      <w:r>
        <w:rPr>
          <w:rFonts w:hint="eastAsia" w:ascii="Times New Roman" w:hAnsi="Times New Roman" w:eastAsia="仿宋_GB2312"/>
          <w:color w:val="auto"/>
          <w:kern w:val="34"/>
        </w:rPr>
        <w:t>）开工建设，徽河路、旌德路等</w:t>
      </w:r>
      <w:r>
        <w:rPr>
          <w:rFonts w:ascii="Times New Roman" w:hAnsi="Times New Roman" w:eastAsia="仿宋_GB2312"/>
          <w:color w:val="auto"/>
          <w:kern w:val="34"/>
        </w:rPr>
        <w:t>5</w:t>
      </w:r>
      <w:r>
        <w:rPr>
          <w:rFonts w:hint="eastAsia" w:ascii="Times New Roman" w:hAnsi="Times New Roman" w:eastAsia="仿宋_GB2312"/>
          <w:color w:val="auto"/>
          <w:kern w:val="34"/>
        </w:rPr>
        <w:t>条支路建成通车，不断强化交通基础支撑作用。做优公服配套，加快推进市博物馆、市儿童医院新区等重点公服项目，确保年内建成交付，持续提升优质公服供给水平。全面美化环境，快速推进慢行系统建设，力争唐桥公园二期开工，常态实施南淝河、二十埠河沿线环境提升工程，全力打造生态与城市和谐共生新城区。</w:t>
      </w:r>
    </w:p>
    <w:p w14:paraId="0B9EA109">
      <w:pPr>
        <w:pStyle w:val="7"/>
        <w:keepNext w:val="0"/>
        <w:keepLines w:val="0"/>
        <w:pageBreakBefore w:val="0"/>
        <w:widowControl w:val="0"/>
        <w:kinsoku/>
        <w:wordWrap/>
        <w:overflowPunct/>
        <w:topLinePunct w:val="0"/>
        <w:autoSpaceDE/>
        <w:autoSpaceDN/>
        <w:bidi w:val="0"/>
        <w:snapToGrid/>
        <w:spacing w:line="579" w:lineRule="exact"/>
        <w:ind w:firstLine="634"/>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全力夯实产业基础。</w:t>
      </w:r>
      <w:r>
        <w:rPr>
          <w:rFonts w:hint="eastAsia" w:ascii="Times New Roman" w:hAnsi="Times New Roman" w:eastAsia="仿宋_GB2312"/>
          <w:color w:val="auto"/>
          <w:kern w:val="34"/>
        </w:rPr>
        <w:t>围绕省市重点产业链，布局“高端装备制造与新材料、新一代信息技术、生产性服务业”产业集群，加速落地一批高成长性腰部企业，努力打造生产性服务业集聚区。全力争取上级政策资金支持，高标准规划建设十里</w:t>
      </w:r>
      <w:r>
        <w:rPr>
          <w:rFonts w:ascii="Times New Roman" w:hAnsi="Times New Roman" w:eastAsia="仿宋_GB2312"/>
          <w:color w:val="auto"/>
          <w:kern w:val="34"/>
        </w:rPr>
        <w:t>产业</w:t>
      </w:r>
      <w:r>
        <w:rPr>
          <w:rFonts w:hint="eastAsia" w:ascii="Times New Roman" w:hAnsi="Times New Roman" w:eastAsia="仿宋_GB2312"/>
          <w:color w:val="auto"/>
          <w:kern w:val="34"/>
        </w:rPr>
        <w:t>长廊，加快红旗产业园升级改造，做强产业发展平台支撑。持续擦亮“一廊一湾一园”区域发展特色名片，全面打造“科技赋能+产业更新”新高地和“科技+产业+文旅”融合发展试验区。</w:t>
      </w:r>
    </w:p>
    <w:p w14:paraId="07A2A09E">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二、更实举措夯实稳增长基础，努力推动经济持续向好</w:t>
      </w:r>
    </w:p>
    <w:p w14:paraId="173E81CA">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千方百计扩大有效投资。</w:t>
      </w:r>
      <w:r>
        <w:rPr>
          <w:rFonts w:hint="eastAsia" w:ascii="Times New Roman" w:hAnsi="Times New Roman" w:eastAsia="仿宋_GB2312"/>
          <w:color w:val="auto"/>
          <w:kern w:val="34"/>
        </w:rPr>
        <w:t>积极抢抓政策机遇，用足用好国家“两重”“两新”和一揽子增量政策，紧盯城市更新、环境治理、地下管网等重点领域，努力争取中央预算内投资、超长期国债、政府专项债等资金支持，滚动形成一批打基础、补短板、调结构、利长远的重点项目。加快推动项目建设，不断健全优化大建设三级调度机制，强化基础路网、产业园区和重点产业类项目建设服务保障，实现扩大有效投资与优化产业结构、改善居住环境良性循环。全力增强社会投资信心，坚决落实调整优化房地产调控政策，积极创新政府和社会资本合作机制，支持社会资本参与新型基础设施等领域建设，加快推进片区更新，努力提升区域土地价值和社会投资信心，推动超400亩优质地块上市。</w:t>
      </w:r>
    </w:p>
    <w:p w14:paraId="3DB032EE">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千方百计提升招引质效。</w:t>
      </w:r>
      <w:r>
        <w:rPr>
          <w:rFonts w:hint="eastAsia" w:ascii="Times New Roman" w:hAnsi="Times New Roman" w:eastAsia="仿宋_GB2312"/>
          <w:color w:val="auto"/>
          <w:kern w:val="34"/>
        </w:rPr>
        <w:t>坚持把招商引资作为“一号工程”，全力构建高水平招商引资新模式，力争招引落地重点产业项目</w:t>
      </w:r>
      <w:r>
        <w:rPr>
          <w:rFonts w:ascii="Times New Roman" w:hAnsi="Times New Roman" w:eastAsia="仿宋_GB2312"/>
          <w:color w:val="auto"/>
          <w:kern w:val="34"/>
        </w:rPr>
        <w:t>100</w:t>
      </w:r>
      <w:r>
        <w:rPr>
          <w:rFonts w:hint="eastAsia" w:ascii="Times New Roman" w:hAnsi="Times New Roman" w:eastAsia="仿宋_GB2312"/>
          <w:color w:val="auto"/>
          <w:kern w:val="34"/>
        </w:rPr>
        <w:t>个，亿元以上项目50个，50亿元项目再有突破。持续推进产业集群招商，围绕合肥市“6+5+X”产业集群体系</w:t>
      </w:r>
      <w:r>
        <w:rPr>
          <w:rFonts w:hint="eastAsia" w:ascii="仿宋_GB2312"/>
          <w:color w:val="auto"/>
          <w:vertAlign w:val="superscript"/>
        </w:rPr>
        <w:t>〔</w:t>
      </w:r>
      <w:r>
        <w:rPr>
          <w:rFonts w:ascii="仿宋_GB2312"/>
          <w:color w:val="auto"/>
          <w:vertAlign w:val="superscript"/>
        </w:rPr>
        <w:t>5</w:t>
      </w:r>
      <w:r>
        <w:rPr>
          <w:rFonts w:hint="eastAsia" w:ascii="仿宋_GB2312"/>
          <w:color w:val="auto"/>
          <w:vertAlign w:val="superscript"/>
        </w:rPr>
        <w:t>〕</w:t>
      </w:r>
      <w:r>
        <w:rPr>
          <w:rFonts w:hint="eastAsia" w:ascii="Times New Roman" w:hAnsi="Times New Roman" w:eastAsia="仿宋_GB2312"/>
          <w:color w:val="auto"/>
          <w:kern w:val="34"/>
        </w:rPr>
        <w:t xml:space="preserve">，立足瑶海产业承接能力基础，争取再签约落地一批国产可替代和生产性服务业腰部企业。全面拓宽招商引资渠道，持续深化基金招商、科技招商、驻点招商、平台招商、场景招商、商协会招商等模式，加速招引一批高成长性企业。全力强化项目落地建设保障，上线招商引资落地闭环管理服务平台，紧盯土地要素、政务审批、融资贷款、场景推介等重点环节，开展专班并联集中审批试点，为企业和项目提供全生命周期优质服务，确保“四上”企业数总量突破千户。                                                                      </w:t>
      </w:r>
    </w:p>
    <w:p w14:paraId="7E2C17E4">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千方百计激发消费活力。</w:t>
      </w:r>
      <w:r>
        <w:rPr>
          <w:rFonts w:hint="eastAsia" w:ascii="Times New Roman" w:hAnsi="Times New Roman" w:eastAsia="仿宋_GB2312"/>
          <w:color w:val="auto"/>
          <w:kern w:val="34"/>
        </w:rPr>
        <w:t>稳定和扩大传统消费，落实各级消费促进政策，开展更加精准有效的促消费活动，提振汽车、家居、电子产品等重点商品消费信心。培育壮大新型消费，鼓励支持传统商贸企业加快数字化、智能化改造和跨界发展，加速线上线下协同发展，大力发展首发经济、首店经济、数字经济、银发经济、品牌经济，打造一批升级类、改善类新型消费场景，积极创建</w:t>
      </w:r>
      <w:r>
        <w:rPr>
          <w:rFonts w:ascii="Times New Roman" w:hAnsi="Times New Roman" w:eastAsia="仿宋_GB2312"/>
          <w:color w:val="auto"/>
          <w:kern w:val="34"/>
        </w:rPr>
        <w:t>全省放心消费</w:t>
      </w:r>
      <w:r>
        <w:rPr>
          <w:rFonts w:hint="eastAsia" w:ascii="Times New Roman" w:hAnsi="Times New Roman" w:eastAsia="仿宋_GB2312"/>
          <w:color w:val="auto"/>
          <w:kern w:val="34"/>
        </w:rPr>
        <w:t>示范</w:t>
      </w:r>
      <w:r>
        <w:rPr>
          <w:rFonts w:ascii="Times New Roman" w:hAnsi="Times New Roman" w:eastAsia="仿宋_GB2312"/>
          <w:color w:val="auto"/>
          <w:kern w:val="34"/>
        </w:rPr>
        <w:t>区</w:t>
      </w:r>
      <w:r>
        <w:rPr>
          <w:rFonts w:hint="eastAsia" w:ascii="Times New Roman" w:hAnsi="Times New Roman" w:eastAsia="仿宋_GB2312"/>
          <w:color w:val="auto"/>
          <w:kern w:val="34"/>
        </w:rPr>
        <w:t>。提升消费</w:t>
      </w:r>
      <w:r>
        <w:rPr>
          <w:rFonts w:ascii="Times New Roman" w:hAnsi="Times New Roman" w:eastAsia="仿宋_GB2312"/>
          <w:color w:val="auto"/>
          <w:kern w:val="34"/>
        </w:rPr>
        <w:t>供给</w:t>
      </w:r>
      <w:r>
        <w:rPr>
          <w:rFonts w:hint="eastAsia" w:ascii="Times New Roman" w:hAnsi="Times New Roman" w:eastAsia="仿宋_GB2312"/>
          <w:color w:val="auto"/>
          <w:kern w:val="34"/>
        </w:rPr>
        <w:t>品质，加快推进置地万象汇等商业综合体建设，支持徽商二号门、车桥新界等街区创建特色商业街，促进消费扩容升级。丰富文旅消费业态，高质量办好世界制造业大会纺织服装产业发展论坛等活动，创新 “</w:t>
      </w:r>
      <w:r>
        <w:rPr>
          <w:rFonts w:ascii="Times New Roman" w:hAnsi="Times New Roman" w:eastAsia="仿宋_GB2312"/>
          <w:color w:val="auto"/>
          <w:kern w:val="34"/>
        </w:rPr>
        <w:t>文旅</w:t>
      </w:r>
      <w:r>
        <w:rPr>
          <w:rFonts w:hint="eastAsia" w:ascii="Times New Roman" w:hAnsi="Times New Roman" w:eastAsia="仿宋_GB2312"/>
          <w:color w:val="auto"/>
          <w:kern w:val="34"/>
        </w:rPr>
        <w:t>+</w:t>
      </w:r>
      <w:r>
        <w:rPr>
          <w:rFonts w:ascii="Times New Roman" w:hAnsi="Times New Roman" w:eastAsia="仿宋_GB2312"/>
          <w:color w:val="auto"/>
          <w:kern w:val="34"/>
        </w:rPr>
        <w:t>百业</w:t>
      </w:r>
      <w:r>
        <w:rPr>
          <w:rFonts w:hint="eastAsia" w:ascii="Times New Roman" w:hAnsi="Times New Roman" w:eastAsia="仿宋_GB2312"/>
          <w:color w:val="auto"/>
          <w:kern w:val="34"/>
        </w:rPr>
        <w:t>”发展</w:t>
      </w:r>
      <w:r>
        <w:rPr>
          <w:rFonts w:ascii="Times New Roman" w:hAnsi="Times New Roman" w:eastAsia="仿宋_GB2312"/>
          <w:color w:val="auto"/>
          <w:kern w:val="34"/>
        </w:rPr>
        <w:t>模式</w:t>
      </w:r>
      <w:r>
        <w:rPr>
          <w:rFonts w:hint="eastAsia" w:ascii="Times New Roman" w:hAnsi="Times New Roman" w:eastAsia="仿宋_GB2312"/>
          <w:color w:val="auto"/>
          <w:kern w:val="34"/>
        </w:rPr>
        <w:t>，研究推广一批工业游、科技游、田园游等特色轻旅游产品和路线，推动文化和旅游融合发展。</w:t>
      </w:r>
    </w:p>
    <w:p w14:paraId="71C985C9">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三、更高质量发展新质生产力，努力构建现代产业体系</w:t>
      </w:r>
    </w:p>
    <w:p w14:paraId="6052C456">
      <w:pPr>
        <w:pStyle w:val="7"/>
        <w:keepNext w:val="0"/>
        <w:keepLines w:val="0"/>
        <w:pageBreakBefore w:val="0"/>
        <w:widowControl w:val="0"/>
        <w:kinsoku/>
        <w:wordWrap/>
        <w:overflowPunct/>
        <w:topLinePunct w:val="0"/>
        <w:autoSpaceDE/>
        <w:autoSpaceDN/>
        <w:bidi w:val="0"/>
        <w:snapToGrid/>
        <w:spacing w:line="579" w:lineRule="exact"/>
        <w:ind w:firstLine="634"/>
        <w:textAlignment w:val="auto"/>
        <w:rPr>
          <w:rFonts w:ascii="楷体_GB2312" w:hAnsi="楷体_GB2312" w:eastAsia="仿宋_GB2312" w:cs="楷体_GB2312"/>
          <w:b/>
          <w:bCs/>
          <w:color w:val="auto"/>
          <w:kern w:val="34"/>
        </w:rPr>
      </w:pPr>
      <w:r>
        <w:rPr>
          <w:rFonts w:hint="eastAsia" w:ascii="楷体_GB2312" w:hAnsi="楷体_GB2312" w:eastAsia="楷体_GB2312" w:cs="楷体_GB2312"/>
          <w:b/>
          <w:bCs/>
          <w:color w:val="auto"/>
          <w:kern w:val="34"/>
        </w:rPr>
        <w:t>做大产业集群。</w:t>
      </w:r>
      <w:r>
        <w:rPr>
          <w:rFonts w:hint="eastAsia" w:ascii="Times New Roman" w:hAnsi="Times New Roman" w:eastAsia="仿宋_GB2312"/>
          <w:color w:val="auto"/>
          <w:kern w:val="34"/>
        </w:rPr>
        <w:t>深化“微园区+基金+场景应用”引育模式，优化大数据产业联盟、MAH转化中心、商协会大厦等产业平台，依托一谷三基地、十里产业长廊等园区载体，全力打造高端装备制造与新材料、新一代信息技术、生命健康、智能机器人等新兴产业集群。加速培育未来产业，加快推进智新创谷产业园</w:t>
      </w:r>
      <w:r>
        <w:rPr>
          <w:rFonts w:hint="eastAsia" w:ascii="Times New Roman" w:hAnsi="Times New Roman" w:eastAsia="仿宋_GB2312"/>
          <w:color w:val="auto"/>
          <w:kern w:val="34"/>
          <w:lang w:eastAsia="zh-CN"/>
        </w:rPr>
        <w:t>、</w:t>
      </w:r>
      <w:r>
        <w:rPr>
          <w:rFonts w:hint="eastAsia" w:ascii="Times New Roman" w:hAnsi="Times New Roman" w:eastAsia="仿宋_GB2312"/>
          <w:color w:val="auto"/>
          <w:kern w:val="34"/>
        </w:rPr>
        <w:t>新能源（氢能）产业园等园区建设，快速布局一批智能机器人、氢能等未来产业项目。大力推进工业上楼，推行“研发+总部+委外制造”模式，力争规上工业企业数翻一番。做强现代服务业支撑，建立服务业聚集区梯度培育体系，重点发展工业设计、软件信息、研发中试、</w:t>
      </w:r>
      <w:r>
        <w:rPr>
          <w:rFonts w:ascii="Times New Roman" w:hAnsi="Times New Roman" w:eastAsia="仿宋_GB2312"/>
          <w:color w:val="auto"/>
          <w:kern w:val="34"/>
        </w:rPr>
        <w:t>人力资源</w:t>
      </w:r>
      <w:r>
        <w:rPr>
          <w:rFonts w:hint="eastAsia" w:ascii="Times New Roman" w:hAnsi="Times New Roman" w:eastAsia="仿宋_GB2312"/>
          <w:color w:val="auto"/>
          <w:kern w:val="34"/>
        </w:rPr>
        <w:t>等生产性服务业，支持现有省级服务业集聚区扩能升级。支持运用数字技术、绿色技术改造提升传统产业，建设低碳与智能建造研究中心，培育一批绿色材料、智能建造企业。探索推广设计牵头的EPC</w:t>
      </w:r>
      <w:r>
        <w:rPr>
          <w:rFonts w:hint="eastAsia" w:ascii="仿宋_GB2312"/>
          <w:color w:val="auto"/>
          <w:vertAlign w:val="superscript"/>
        </w:rPr>
        <w:t>〔</w:t>
      </w:r>
      <w:r>
        <w:rPr>
          <w:rFonts w:ascii="仿宋_GB2312"/>
          <w:color w:val="auto"/>
          <w:vertAlign w:val="superscript"/>
        </w:rPr>
        <w:t>6</w:t>
      </w:r>
      <w:r>
        <w:rPr>
          <w:rFonts w:hint="eastAsia" w:ascii="仿宋_GB2312"/>
          <w:color w:val="auto"/>
          <w:vertAlign w:val="superscript"/>
        </w:rPr>
        <w:t>〕</w:t>
      </w:r>
      <w:r>
        <w:rPr>
          <w:rFonts w:hint="eastAsia" w:ascii="Times New Roman" w:hAnsi="Times New Roman" w:eastAsia="仿宋_GB2312"/>
          <w:color w:val="auto"/>
          <w:kern w:val="34"/>
        </w:rPr>
        <w:t>工程总承包模式，推动建筑业全产业链融合发展。发挥商贸业细分领域优势，加快</w:t>
      </w:r>
      <w:r>
        <w:rPr>
          <w:rFonts w:ascii="Times New Roman" w:hAnsi="Times New Roman" w:eastAsia="仿宋_GB2312"/>
          <w:color w:val="auto"/>
          <w:kern w:val="34"/>
        </w:rPr>
        <w:t>新鸿安地块商业街建设，</w:t>
      </w:r>
      <w:r>
        <w:rPr>
          <w:rFonts w:hint="eastAsia" w:ascii="Times New Roman" w:hAnsi="Times New Roman" w:eastAsia="仿宋_GB2312"/>
          <w:color w:val="auto"/>
          <w:kern w:val="34"/>
        </w:rPr>
        <w:t>适时启动中国</w:t>
      </w:r>
      <w:r>
        <w:rPr>
          <w:rFonts w:ascii="Times New Roman" w:hAnsi="Times New Roman" w:eastAsia="仿宋_GB2312"/>
          <w:color w:val="auto"/>
          <w:kern w:val="34"/>
        </w:rPr>
        <w:t>（</w:t>
      </w:r>
      <w:r>
        <w:rPr>
          <w:rFonts w:hint="eastAsia" w:ascii="Times New Roman" w:hAnsi="Times New Roman" w:eastAsia="仿宋_GB2312"/>
          <w:color w:val="auto"/>
          <w:kern w:val="34"/>
        </w:rPr>
        <w:t>合肥</w:t>
      </w:r>
      <w:r>
        <w:rPr>
          <w:rFonts w:ascii="Times New Roman" w:hAnsi="Times New Roman" w:eastAsia="仿宋_GB2312"/>
          <w:color w:val="auto"/>
          <w:kern w:val="34"/>
        </w:rPr>
        <w:t>）</w:t>
      </w:r>
      <w:r>
        <w:rPr>
          <w:rFonts w:hint="eastAsia" w:ascii="Times New Roman" w:hAnsi="Times New Roman" w:eastAsia="仿宋_GB2312"/>
          <w:color w:val="auto"/>
          <w:kern w:val="34"/>
        </w:rPr>
        <w:t>服装原创设计基地二期项目，加速打造火车站片区时尚经济圈。</w:t>
      </w:r>
    </w:p>
    <w:p w14:paraId="3569BC42">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强化要素保障。</w:t>
      </w:r>
      <w:r>
        <w:rPr>
          <w:rFonts w:hint="eastAsia" w:ascii="Times New Roman" w:hAnsi="Times New Roman" w:eastAsia="仿宋_GB2312"/>
          <w:color w:val="auto"/>
          <w:kern w:val="34"/>
        </w:rPr>
        <w:t>制定发布新一轮产业发展政策，加大企业升规升</w:t>
      </w:r>
      <w:r>
        <w:rPr>
          <w:rFonts w:ascii="Times New Roman" w:hAnsi="Times New Roman" w:eastAsia="仿宋_GB2312"/>
          <w:color w:val="auto"/>
          <w:kern w:val="34"/>
        </w:rPr>
        <w:t>限</w:t>
      </w:r>
      <w:r>
        <w:rPr>
          <w:rFonts w:hint="eastAsia" w:ascii="Times New Roman" w:hAnsi="Times New Roman" w:eastAsia="仿宋_GB2312"/>
          <w:color w:val="auto"/>
          <w:kern w:val="34"/>
        </w:rPr>
        <w:t>上台阶支持力度，促进产业集聚发展。健全金融支撑体系，完成区级母基金和配套子基金组建，积极参与省市专项基金，不断优化“基金丛林”生态，更好发挥基金投资引导作用。创新推出“人才</w:t>
      </w:r>
      <w:r>
        <w:rPr>
          <w:rFonts w:ascii="Times New Roman" w:hAnsi="Times New Roman" w:eastAsia="仿宋_GB2312"/>
          <w:color w:val="auto"/>
          <w:kern w:val="34"/>
        </w:rPr>
        <w:t>政银担</w:t>
      </w:r>
      <w:r>
        <w:rPr>
          <w:rFonts w:hint="eastAsia" w:ascii="仿宋_GB2312"/>
          <w:color w:val="auto"/>
          <w:vertAlign w:val="superscript"/>
        </w:rPr>
        <w:t>〔7〕</w:t>
      </w:r>
      <w:r>
        <w:rPr>
          <w:rFonts w:hint="eastAsia" w:ascii="Times New Roman" w:hAnsi="Times New Roman" w:eastAsia="仿宋_GB2312"/>
          <w:color w:val="auto"/>
          <w:kern w:val="34"/>
        </w:rPr>
        <w:t>”</w:t>
      </w:r>
      <w:r>
        <w:rPr>
          <w:rFonts w:ascii="Times New Roman" w:hAnsi="Times New Roman" w:eastAsia="仿宋_GB2312"/>
          <w:color w:val="auto"/>
          <w:kern w:val="34"/>
        </w:rPr>
        <w:t>金融产品</w:t>
      </w:r>
      <w:r>
        <w:rPr>
          <w:rFonts w:hint="eastAsia" w:ascii="Times New Roman" w:hAnsi="Times New Roman" w:eastAsia="仿宋_GB2312"/>
          <w:color w:val="auto"/>
          <w:kern w:val="34"/>
        </w:rPr>
        <w:t>，充分用好“</w:t>
      </w:r>
      <w:r>
        <w:rPr>
          <w:rFonts w:ascii="Times New Roman" w:hAnsi="Times New Roman" w:eastAsia="仿宋_GB2312"/>
          <w:color w:val="auto"/>
          <w:kern w:val="34"/>
        </w:rPr>
        <w:t>信易贷</w:t>
      </w:r>
      <w:r>
        <w:rPr>
          <w:rFonts w:hint="eastAsia" w:ascii="仿宋_GB2312"/>
          <w:color w:val="auto"/>
          <w:vertAlign w:val="superscript"/>
        </w:rPr>
        <w:t>〔8〕</w:t>
      </w:r>
      <w:r>
        <w:rPr>
          <w:rFonts w:hint="eastAsia" w:ascii="Times New Roman" w:hAnsi="Times New Roman" w:eastAsia="仿宋_GB2312"/>
          <w:color w:val="auto"/>
          <w:kern w:val="34"/>
        </w:rPr>
        <w:t>”等融资平台和“</w:t>
      </w:r>
      <w:r>
        <w:rPr>
          <w:rFonts w:ascii="Times New Roman" w:hAnsi="Times New Roman" w:eastAsia="仿宋_GB2312"/>
          <w:color w:val="auto"/>
          <w:kern w:val="34"/>
        </w:rPr>
        <w:t>科创政银担</w:t>
      </w:r>
      <w:r>
        <w:rPr>
          <w:rFonts w:hint="eastAsia" w:ascii="仿宋_GB2312"/>
          <w:color w:val="auto"/>
          <w:vertAlign w:val="superscript"/>
        </w:rPr>
        <w:t>〔9〕</w:t>
      </w:r>
      <w:r>
        <w:rPr>
          <w:rFonts w:hint="eastAsia" w:ascii="Times New Roman" w:hAnsi="Times New Roman" w:eastAsia="仿宋_GB2312"/>
          <w:color w:val="auto"/>
          <w:kern w:val="34"/>
        </w:rPr>
        <w:t>”</w:t>
      </w:r>
      <w:r>
        <w:rPr>
          <w:rFonts w:ascii="Times New Roman" w:hAnsi="Times New Roman" w:eastAsia="仿宋_GB2312"/>
          <w:color w:val="auto"/>
          <w:kern w:val="34"/>
        </w:rPr>
        <w:t>等金融产品</w:t>
      </w:r>
      <w:r>
        <w:rPr>
          <w:rFonts w:hint="eastAsia" w:ascii="Times New Roman" w:hAnsi="Times New Roman" w:eastAsia="仿宋_GB2312"/>
          <w:color w:val="auto"/>
          <w:kern w:val="34"/>
        </w:rPr>
        <w:t>，支持高层次人才团队创新创业和科创企业项目融合发展。加强优质产业用地推介，推行产业用地“清单制”管理，全力推动重点产业项目带方案出让，力争实现“拿地即开工”目标。强化场景开放开发和应用创新，加快青年创意田园无人体系测试基地建设，支持企业参与智慧城市建设，培育一批特色产业应用场景，争取更多项目纳入市级应用示范目录。</w:t>
      </w:r>
    </w:p>
    <w:p w14:paraId="6B122987">
      <w:pPr>
        <w:pStyle w:val="3"/>
        <w:keepNext w:val="0"/>
        <w:keepLines w:val="0"/>
        <w:pageBreakBefore w:val="0"/>
        <w:widowControl w:val="0"/>
        <w:kinsoku/>
        <w:wordWrap/>
        <w:overflowPunct/>
        <w:topLinePunct w:val="0"/>
        <w:autoSpaceDE/>
        <w:autoSpaceDN/>
        <w:bidi w:val="0"/>
        <w:snapToGrid/>
        <w:spacing w:line="579" w:lineRule="exact"/>
        <w:ind w:left="0" w:firstLine="632" w:firstLineChars="200"/>
        <w:jc w:val="both"/>
        <w:textAlignment w:val="auto"/>
        <w:rPr>
          <w:rFonts w:ascii="Times New Roman" w:hAnsi="Times New Roman" w:eastAsia="仿宋_GB2312"/>
          <w:color w:val="auto"/>
          <w:kern w:val="34"/>
          <w:u w:val="single"/>
        </w:rPr>
      </w:pPr>
      <w:r>
        <w:rPr>
          <w:rFonts w:hint="eastAsia" w:ascii="楷体_GB2312" w:hAnsi="楷体_GB2312" w:eastAsia="楷体_GB2312" w:cs="楷体_GB2312"/>
          <w:b/>
          <w:bCs/>
          <w:color w:val="auto"/>
          <w:kern w:val="34"/>
        </w:rPr>
        <w:t>赋能科技创新。</w:t>
      </w:r>
      <w:r>
        <w:rPr>
          <w:rFonts w:hint="eastAsia" w:ascii="Times New Roman" w:hAnsi="Times New Roman" w:eastAsia="仿宋_GB2312"/>
          <w:color w:val="auto"/>
          <w:kern w:val="34"/>
        </w:rPr>
        <w:t>建设高能级创新平台，深化与高等院校、科研院所</w:t>
      </w:r>
      <w:r>
        <w:rPr>
          <w:rFonts w:ascii="Times New Roman" w:hAnsi="Times New Roman" w:eastAsia="仿宋_GB2312"/>
          <w:color w:val="auto"/>
          <w:kern w:val="34"/>
        </w:rPr>
        <w:t>等</w:t>
      </w:r>
      <w:r>
        <w:rPr>
          <w:rFonts w:hint="eastAsia" w:ascii="Times New Roman" w:hAnsi="Times New Roman" w:eastAsia="仿宋_GB2312"/>
          <w:color w:val="auto"/>
          <w:kern w:val="34"/>
        </w:rPr>
        <w:t>创新合作，加大科技成果转化项目激励，力争科技成果转化和科技招商新成立企业数增速超50</w:t>
      </w:r>
      <w:r>
        <w:rPr>
          <w:rFonts w:ascii="Times New Roman" w:hAnsi="Times New Roman" w:eastAsia="仿宋_GB2312"/>
          <w:color w:val="auto"/>
          <w:kern w:val="34"/>
        </w:rPr>
        <w:t>%</w:t>
      </w:r>
      <w:r>
        <w:rPr>
          <w:rFonts w:hint="eastAsia" w:ascii="Times New Roman" w:hAnsi="Times New Roman" w:eastAsia="仿宋_GB2312"/>
          <w:color w:val="auto"/>
          <w:kern w:val="34"/>
        </w:rPr>
        <w:t>。强化企业科技创新主体地位，全面加强知识产权保护，引导企业实施智能改造、机器换人、企业上云，着力打造一批应用示范项目，培育“专精特新”企业</w:t>
      </w:r>
      <w:r>
        <w:rPr>
          <w:rFonts w:hint="eastAsia" w:ascii="Times New Roman" w:hAnsi="Times New Roman" w:eastAsia="仿宋_GB2312"/>
          <w:color w:val="auto"/>
          <w:kern w:val="34"/>
          <w:lang w:val="en-US" w:eastAsia="zh-CN"/>
        </w:rPr>
        <w:t>2</w:t>
      </w:r>
      <w:r>
        <w:rPr>
          <w:rFonts w:hint="eastAsia" w:ascii="Times New Roman" w:hAnsi="Times New Roman" w:eastAsia="仿宋_GB2312"/>
          <w:color w:val="auto"/>
          <w:kern w:val="34"/>
        </w:rPr>
        <w:t>0家，延续国家级专精特新“小巨人”企业新增势头，国家高新技术企业、科技型中小企业数增速超</w:t>
      </w:r>
      <w:r>
        <w:rPr>
          <w:rFonts w:ascii="Times New Roman" w:hAnsi="Times New Roman" w:eastAsia="仿宋_GB2312"/>
          <w:color w:val="auto"/>
          <w:kern w:val="34"/>
        </w:rPr>
        <w:t>20</w:t>
      </w:r>
      <w:r>
        <w:rPr>
          <w:rFonts w:hint="eastAsia" w:ascii="Times New Roman" w:hAnsi="Times New Roman" w:eastAsia="仿宋_GB2312"/>
          <w:color w:val="auto"/>
          <w:kern w:val="34"/>
        </w:rPr>
        <w:t>%。出台更加积极、更加开放、更加有效的人才政策，持续开展“招才引智进高校”等活动，力争新增大专以上就业人员超</w:t>
      </w:r>
      <w:r>
        <w:rPr>
          <w:rFonts w:ascii="Times New Roman" w:hAnsi="Times New Roman" w:eastAsia="仿宋_GB2312"/>
          <w:color w:val="auto"/>
          <w:kern w:val="34"/>
        </w:rPr>
        <w:t>2</w:t>
      </w:r>
      <w:r>
        <w:rPr>
          <w:rFonts w:hint="eastAsia" w:ascii="Times New Roman" w:hAnsi="Times New Roman" w:eastAsia="仿宋_GB2312"/>
          <w:color w:val="auto"/>
          <w:kern w:val="34"/>
        </w:rPr>
        <w:t>万人，高层次人才总量突破600人，营造吸引人、留住人、成就人的良好生态。</w:t>
      </w:r>
    </w:p>
    <w:p w14:paraId="257F6EB3">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四、更强统筹推动城市更新，努力提升城区能级活力</w:t>
      </w:r>
    </w:p>
    <w:p w14:paraId="35A2FF7F">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提升城区品质。</w:t>
      </w:r>
      <w:r>
        <w:rPr>
          <w:rFonts w:hint="eastAsia" w:ascii="Times New Roman" w:hAnsi="Times New Roman" w:eastAsia="仿宋_GB2312"/>
          <w:color w:val="auto"/>
          <w:kern w:val="34"/>
        </w:rPr>
        <w:t>强化规划引领，深化“多规合一”改革，力争获批</w:t>
      </w:r>
      <w:r>
        <w:rPr>
          <w:rFonts w:ascii="Times New Roman" w:hAnsi="Times New Roman" w:eastAsia="仿宋_GB2312"/>
          <w:color w:val="auto"/>
          <w:kern w:val="34"/>
        </w:rPr>
        <w:t>5</w:t>
      </w:r>
      <w:r>
        <w:rPr>
          <w:rFonts w:hint="eastAsia" w:ascii="Times New Roman" w:hAnsi="Times New Roman" w:eastAsia="仿宋_GB2312"/>
          <w:color w:val="auto"/>
          <w:kern w:val="34"/>
        </w:rPr>
        <w:t>个成片开发方案、</w:t>
      </w:r>
      <w:r>
        <w:rPr>
          <w:rFonts w:ascii="Times New Roman" w:hAnsi="Times New Roman" w:eastAsia="仿宋_GB2312"/>
          <w:color w:val="auto"/>
          <w:kern w:val="34"/>
        </w:rPr>
        <w:t>15</w:t>
      </w:r>
      <w:r>
        <w:rPr>
          <w:rFonts w:hint="eastAsia" w:ascii="Times New Roman" w:hAnsi="Times New Roman" w:eastAsia="仿宋_GB2312"/>
          <w:color w:val="auto"/>
          <w:kern w:val="34"/>
        </w:rPr>
        <w:t>个街坊控规。聚力片区更新，实现龚大塘片区更新圆满收官，加快推进和平路片区开发建设，适时启动龙岗片区等城市更新项目。攻坚城中村改造，完成全部</w:t>
      </w:r>
      <w:r>
        <w:rPr>
          <w:rFonts w:ascii="Times New Roman" w:hAnsi="Times New Roman" w:eastAsia="仿宋_GB2312"/>
          <w:color w:val="auto"/>
          <w:kern w:val="34"/>
        </w:rPr>
        <w:t>32</w:t>
      </w:r>
      <w:r>
        <w:rPr>
          <w:rFonts w:hint="eastAsia" w:ascii="Times New Roman" w:hAnsi="Times New Roman" w:eastAsia="仿宋_GB2312"/>
          <w:color w:val="auto"/>
          <w:kern w:val="34"/>
        </w:rPr>
        <w:t>个下剩项目改造，力争征迁面积再超百万平方米。提升征迁安置效率，持续调整优化补偿安置方式，加大货币化安置、房票安置、现房安置力度，争取让征迁群众早日住进新房。探索建立“租购并举”住房制度，完善“保障+市场”住房供应体系，尽力满足刚性和改善性住房需求。提升土地使用效率，完成低效用地再开发专项规划编制，用好土地收储专项债政策，积极盘活利用一批闲置和低效用地。</w:t>
      </w:r>
    </w:p>
    <w:p w14:paraId="08FF84AB">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楷体_GB2312" w:hAnsi="楷体_GB2312" w:eastAsia="仿宋_GB2312" w:cs="楷体_GB2312"/>
          <w:b/>
          <w:bCs/>
          <w:color w:val="auto"/>
          <w:kern w:val="34"/>
        </w:rPr>
      </w:pPr>
      <w:r>
        <w:rPr>
          <w:rFonts w:hint="eastAsia" w:ascii="楷体_GB2312" w:hAnsi="楷体_GB2312" w:eastAsia="楷体_GB2312" w:cs="楷体_GB2312"/>
          <w:b/>
          <w:bCs/>
          <w:color w:val="auto"/>
          <w:kern w:val="34"/>
        </w:rPr>
        <w:t>提升保障水平。</w:t>
      </w:r>
      <w:r>
        <w:rPr>
          <w:rFonts w:hint="eastAsia" w:ascii="Times New Roman" w:hAnsi="Times New Roman" w:eastAsia="仿宋_GB2312"/>
          <w:color w:val="auto"/>
          <w:kern w:val="34"/>
        </w:rPr>
        <w:t>夯实区域交通支撑作用，实施梅岭路、雨山路等22条支路网项目，再治理一批交通拥堵点和安全</w:t>
      </w:r>
      <w:r>
        <w:rPr>
          <w:rFonts w:ascii="Times New Roman" w:hAnsi="Times New Roman" w:eastAsia="仿宋_GB2312"/>
          <w:color w:val="auto"/>
          <w:kern w:val="34"/>
        </w:rPr>
        <w:t>隐患点</w:t>
      </w:r>
      <w:r>
        <w:rPr>
          <w:rFonts w:hint="eastAsia" w:ascii="Times New Roman" w:hAnsi="Times New Roman" w:eastAsia="仿宋_GB2312"/>
          <w:color w:val="auto"/>
          <w:kern w:val="34"/>
        </w:rPr>
        <w:t>，全力提升区域内部交通效率。加快推进新型城市基础设施建设，实施城市更新基础设施补短板项目，争取建设改造地下雨污管网20公里。优化群众生活配套服务，开工建设城东街道社区卫生服务中心、三里街片塘路综合服务中心，让群众生活更便利。实施</w:t>
      </w:r>
      <w:r>
        <w:rPr>
          <w:rFonts w:ascii="Times New Roman" w:hAnsi="Times New Roman" w:eastAsia="仿宋_GB2312"/>
          <w:color w:val="auto"/>
          <w:kern w:val="34"/>
        </w:rPr>
        <w:t>4</w:t>
      </w:r>
      <w:r>
        <w:rPr>
          <w:rFonts w:hint="eastAsia" w:ascii="Times New Roman" w:hAnsi="Times New Roman" w:eastAsia="仿宋_GB2312"/>
          <w:color w:val="auto"/>
          <w:kern w:val="34"/>
        </w:rPr>
        <w:t>个城市内涝治理工程，启动</w:t>
      </w:r>
      <w:r>
        <w:rPr>
          <w:rFonts w:ascii="Times New Roman" w:hAnsi="Times New Roman" w:eastAsia="仿宋_GB2312"/>
          <w:color w:val="auto"/>
          <w:kern w:val="34"/>
        </w:rPr>
        <w:t>19</w:t>
      </w:r>
      <w:r>
        <w:rPr>
          <w:rFonts w:hint="eastAsia" w:ascii="Times New Roman" w:hAnsi="Times New Roman" w:eastAsia="仿宋_GB2312"/>
          <w:color w:val="auto"/>
          <w:kern w:val="34"/>
        </w:rPr>
        <w:t>个老旧小区综合整治，新增机动车停车泊位1.4万个，不断改善群众居住环境。</w:t>
      </w:r>
    </w:p>
    <w:p w14:paraId="1ACE416D">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提升服务能力。</w:t>
      </w:r>
      <w:r>
        <w:rPr>
          <w:rFonts w:hint="eastAsia" w:ascii="仿宋_GB2312" w:eastAsia="仿宋_GB2312"/>
          <w:color w:val="auto"/>
        </w:rPr>
        <w:t>深入开展城市管理执法专项行动</w:t>
      </w:r>
      <w:r>
        <w:rPr>
          <w:rFonts w:hint="eastAsia" w:ascii="Times New Roman" w:hAnsi="Times New Roman" w:eastAsia="仿宋_GB2312"/>
          <w:color w:val="auto"/>
          <w:kern w:val="34"/>
        </w:rPr>
        <w:t>，全面厘清理顺区街权责，不断增强城市管理综合能力和精细化水平。加强数字城管建设，搭建完善城市运行管理服务平台，有效整合数据资源，推进城市运行管理服务“一网统管”。强化国有企业责任担当，持续推进国有企业承担学前教育</w:t>
      </w:r>
      <w:r>
        <w:rPr>
          <w:rFonts w:ascii="Times New Roman" w:hAnsi="Times New Roman" w:eastAsia="仿宋_GB2312"/>
          <w:color w:val="auto"/>
          <w:kern w:val="34"/>
        </w:rPr>
        <w:t>、</w:t>
      </w:r>
      <w:r>
        <w:rPr>
          <w:rFonts w:hint="eastAsia" w:ascii="Times New Roman" w:hAnsi="Times New Roman" w:eastAsia="仿宋_GB2312"/>
          <w:color w:val="auto"/>
          <w:kern w:val="34"/>
        </w:rPr>
        <w:t>物业管理、城市保洁等公共服务领域社会责任。深入推进自治自管，充分发挥社会组织和业委会作用，引导群众参与城市管理和小区治理。加强小区物业管理，持续</w:t>
      </w:r>
      <w:r>
        <w:rPr>
          <w:rFonts w:hint="eastAsia" w:ascii="Times New Roman" w:hAnsi="Times New Roman" w:eastAsia="仿宋_GB2312" w:cs="宋体"/>
          <w:color w:val="auto"/>
          <w:kern w:val="34"/>
        </w:rPr>
        <w:t>完善物业管理服务考评机制，加大物业领域矛盾纠纷化解力度，再打造一批“美好家园”“和美小区”等示范小区。</w:t>
      </w:r>
    </w:p>
    <w:p w14:paraId="5B532B20">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五、更深层次推动改革开放，努力增强发展内生动力</w:t>
      </w:r>
    </w:p>
    <w:p w14:paraId="30CEA38F">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深化重点领域改革。</w:t>
      </w:r>
      <w:r>
        <w:rPr>
          <w:rFonts w:hint="eastAsia" w:ascii="Times New Roman" w:hAnsi="Times New Roman" w:eastAsia="仿宋_GB2312"/>
          <w:color w:val="auto"/>
          <w:kern w:val="34"/>
        </w:rPr>
        <w:t>加快实施新一轮国有企业改革深化提升行动，支持国有企业发行公司债</w:t>
      </w:r>
      <w:r>
        <w:rPr>
          <w:rFonts w:ascii="Times New Roman" w:hAnsi="Times New Roman" w:eastAsia="仿宋_GB2312"/>
          <w:color w:val="auto"/>
          <w:kern w:val="34"/>
        </w:rPr>
        <w:t>、</w:t>
      </w:r>
      <w:r>
        <w:rPr>
          <w:rFonts w:hint="eastAsia" w:ascii="Times New Roman" w:hAnsi="Times New Roman" w:eastAsia="仿宋_GB2312"/>
          <w:color w:val="auto"/>
          <w:kern w:val="34"/>
        </w:rPr>
        <w:t>科创债，进一步拓宽融资渠道。分类分批推进国有资产确权办证，推动数据资产化，探索市场化运作方式，提高国有资产利用率和使用效益。严格落实零基预算改革，深化区级支出项目绩效评价，清理无效低效预算支出，确保民生工程、重大项目得到优先保障。持续深化“亩均论英雄”改革，提升新型产业用地使用效率，确保亩均营收和税收继续优于全市平均水平。完成水务一体化改革任务，统筹全区“排水、净水、治水”工作和涉水项目投资、建设、管理。深化行政执法体制改革</w:t>
      </w:r>
      <w:r>
        <w:rPr>
          <w:rFonts w:ascii="Times New Roman" w:hAnsi="Times New Roman" w:eastAsia="仿宋_GB2312"/>
          <w:color w:val="auto"/>
          <w:kern w:val="34"/>
        </w:rPr>
        <w:t>，</w:t>
      </w:r>
      <w:r>
        <w:rPr>
          <w:rFonts w:hint="eastAsia" w:ascii="Times New Roman" w:hAnsi="Times New Roman" w:eastAsia="仿宋_GB2312"/>
          <w:color w:val="auto"/>
          <w:kern w:val="34"/>
        </w:rPr>
        <w:t>落实提升行政执法</w:t>
      </w:r>
      <w:r>
        <w:rPr>
          <w:rFonts w:ascii="Times New Roman" w:hAnsi="Times New Roman" w:eastAsia="仿宋_GB2312"/>
          <w:color w:val="auto"/>
          <w:kern w:val="34"/>
        </w:rPr>
        <w:t>质量三年行动，优化基层执法赋权工作。</w:t>
      </w:r>
    </w:p>
    <w:p w14:paraId="6B328559">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提高开放合作水平。</w:t>
      </w:r>
      <w:r>
        <w:rPr>
          <w:rFonts w:hint="eastAsia" w:ascii="Times New Roman" w:hAnsi="Times New Roman" w:eastAsia="仿宋_GB2312"/>
          <w:color w:val="auto"/>
          <w:kern w:val="34"/>
        </w:rPr>
        <w:t>坚持把长三角一体化发展作为</w:t>
      </w:r>
      <w:r>
        <w:rPr>
          <w:rFonts w:ascii="Times New Roman" w:hAnsi="Times New Roman" w:eastAsia="仿宋_GB2312"/>
          <w:color w:val="auto"/>
          <w:kern w:val="34"/>
        </w:rPr>
        <w:t>最大机遇</w:t>
      </w:r>
      <w:r>
        <w:rPr>
          <w:rFonts w:hint="eastAsia" w:ascii="Times New Roman" w:hAnsi="Times New Roman" w:eastAsia="仿宋_GB2312"/>
          <w:color w:val="auto"/>
          <w:kern w:val="34"/>
        </w:rPr>
        <w:t>，积极对接上海长宁区、宁波海曙区等地区，加快推动合作共建事项落地。更深层次融入“</w:t>
      </w:r>
      <w:r>
        <w:rPr>
          <w:rFonts w:ascii="Times New Roman" w:hAnsi="Times New Roman" w:eastAsia="仿宋_GB2312"/>
          <w:color w:val="auto"/>
          <w:kern w:val="34"/>
        </w:rPr>
        <w:t>合肥都市圈</w:t>
      </w:r>
      <w:r>
        <w:rPr>
          <w:rFonts w:hint="eastAsia" w:ascii="Times New Roman" w:hAnsi="Times New Roman" w:eastAsia="仿宋_GB2312"/>
          <w:color w:val="auto"/>
          <w:kern w:val="34"/>
        </w:rPr>
        <w:t>”</w:t>
      </w:r>
      <w:r>
        <w:rPr>
          <w:rFonts w:ascii="Times New Roman" w:hAnsi="Times New Roman" w:eastAsia="仿宋_GB2312"/>
          <w:color w:val="auto"/>
          <w:kern w:val="34"/>
        </w:rPr>
        <w:t>建设</w:t>
      </w:r>
      <w:r>
        <w:rPr>
          <w:rFonts w:hint="eastAsia" w:ascii="Times New Roman" w:hAnsi="Times New Roman" w:eastAsia="仿宋_GB2312"/>
          <w:color w:val="auto"/>
          <w:kern w:val="34"/>
        </w:rPr>
        <w:t>，</w:t>
      </w:r>
      <w:r>
        <w:rPr>
          <w:rFonts w:ascii="Times New Roman" w:hAnsi="Times New Roman" w:eastAsia="仿宋_GB2312"/>
          <w:color w:val="auto"/>
          <w:kern w:val="34"/>
        </w:rPr>
        <w:t>完成瑶海</w:t>
      </w:r>
      <w:r>
        <w:rPr>
          <w:rFonts w:hint="eastAsia" w:ascii="Times New Roman" w:hAnsi="Times New Roman" w:eastAsia="仿宋_GB2312"/>
          <w:color w:val="auto"/>
          <w:kern w:val="34"/>
        </w:rPr>
        <w:t>省级</w:t>
      </w:r>
      <w:r>
        <w:rPr>
          <w:rFonts w:ascii="Times New Roman" w:hAnsi="Times New Roman" w:eastAsia="仿宋_GB2312"/>
          <w:color w:val="auto"/>
          <w:kern w:val="34"/>
        </w:rPr>
        <w:t>经济开发区</w:t>
      </w:r>
      <w:r>
        <w:rPr>
          <w:rFonts w:hint="eastAsia" w:ascii="Times New Roman" w:hAnsi="Times New Roman" w:eastAsia="仿宋_GB2312"/>
          <w:color w:val="auto"/>
          <w:kern w:val="34"/>
        </w:rPr>
        <w:t>创建</w:t>
      </w:r>
      <w:r>
        <w:rPr>
          <w:rFonts w:ascii="Times New Roman" w:hAnsi="Times New Roman" w:eastAsia="仿宋_GB2312"/>
          <w:color w:val="auto"/>
          <w:kern w:val="34"/>
        </w:rPr>
        <w:t>。</w:t>
      </w:r>
      <w:r>
        <w:rPr>
          <w:rFonts w:hint="eastAsia" w:ascii="Times New Roman" w:hAnsi="Times New Roman" w:eastAsia="仿宋_GB2312"/>
          <w:color w:val="auto"/>
          <w:kern w:val="34"/>
        </w:rPr>
        <w:t>积极支持更多载体入选科大硅谷创新单元，承接科大硅谷全球合伙人及产业项目。打好“五外联动</w:t>
      </w:r>
      <w:r>
        <w:rPr>
          <w:rFonts w:hint="eastAsia" w:ascii="仿宋_GB2312"/>
          <w:color w:val="auto"/>
          <w:vertAlign w:val="superscript"/>
        </w:rPr>
        <w:t>〔10〕</w:t>
      </w:r>
      <w:r>
        <w:rPr>
          <w:rFonts w:hint="eastAsia" w:ascii="Times New Roman" w:hAnsi="Times New Roman" w:eastAsia="仿宋_GB2312"/>
          <w:color w:val="auto"/>
          <w:kern w:val="34"/>
        </w:rPr>
        <w:t>”组合拳，加快培育开放合作新优势。落实优化外资企业营商环境26条举措，为外资企业发展提供坚实支撑。增强外贸发展新动能，完善区级稳外贸政策措施，加快跨境电商孵化中心建设，鼓励支持企业组团出海，开拓“一带一路”</w:t>
      </w:r>
      <w:r>
        <w:rPr>
          <w:rFonts w:ascii="Times New Roman" w:hAnsi="Times New Roman" w:eastAsia="仿宋_GB2312"/>
          <w:color w:val="auto"/>
          <w:kern w:val="34"/>
        </w:rPr>
        <w:t>沿线国家和地区</w:t>
      </w:r>
      <w:r>
        <w:rPr>
          <w:rFonts w:hint="eastAsia" w:ascii="Times New Roman" w:hAnsi="Times New Roman" w:eastAsia="仿宋_GB2312"/>
          <w:color w:val="auto"/>
          <w:kern w:val="34"/>
        </w:rPr>
        <w:t>等新兴市场。</w:t>
      </w:r>
    </w:p>
    <w:p w14:paraId="2A9C3DEB">
      <w:pPr>
        <w:keepNext w:val="0"/>
        <w:keepLines w:val="0"/>
        <w:pageBreakBefore w:val="0"/>
        <w:widowControl w:val="0"/>
        <w:kinsoku/>
        <w:wordWrap/>
        <w:overflowPunct/>
        <w:topLinePunct w:val="0"/>
        <w:autoSpaceDE/>
        <w:autoSpaceDN/>
        <w:bidi w:val="0"/>
        <w:snapToGrid/>
        <w:spacing w:line="579" w:lineRule="exact"/>
        <w:ind w:firstLine="632"/>
        <w:textAlignment w:val="auto"/>
        <w:rPr>
          <w:color w:val="auto"/>
        </w:rPr>
      </w:pPr>
      <w:r>
        <w:rPr>
          <w:rFonts w:hint="eastAsia" w:ascii="楷体_GB2312" w:hAnsi="楷体_GB2312" w:eastAsia="楷体_GB2312" w:cs="楷体_GB2312"/>
          <w:b/>
          <w:bCs/>
          <w:color w:val="auto"/>
          <w:kern w:val="34"/>
        </w:rPr>
        <w:t>打造一流营商环境。</w:t>
      </w:r>
      <w:r>
        <w:rPr>
          <w:rFonts w:hint="eastAsia" w:ascii="Times New Roman" w:hAnsi="Times New Roman" w:eastAsia="仿宋_GB2312"/>
          <w:color w:val="auto"/>
          <w:kern w:val="34"/>
        </w:rPr>
        <w:t>深化“放管服”改革，不断增强经济发展“软实力”。</w:t>
      </w:r>
      <w:r>
        <w:rPr>
          <w:rFonts w:ascii="Times New Roman" w:hAnsi="Times New Roman" w:eastAsia="仿宋_GB2312"/>
          <w:color w:val="auto"/>
          <w:kern w:val="34"/>
        </w:rPr>
        <w:t>在 “高效办成一件事” 上持续加力</w:t>
      </w:r>
      <w:r>
        <w:rPr>
          <w:rFonts w:hint="eastAsia" w:ascii="Times New Roman" w:hAnsi="Times New Roman" w:eastAsia="仿宋_GB2312"/>
          <w:color w:val="auto"/>
          <w:kern w:val="34"/>
        </w:rPr>
        <w:t>，推动更多事项联动审批、集成办理，打造高效便利的政务环境。深化综合窗口改革，建成政邮合作省级试点，拓展政务服务新载体。严格落实规范涉企行政检查要求，认真</w:t>
      </w:r>
      <w:r>
        <w:rPr>
          <w:rFonts w:ascii="Times New Roman" w:hAnsi="Times New Roman" w:eastAsia="仿宋_GB2312"/>
          <w:color w:val="auto"/>
          <w:kern w:val="34"/>
        </w:rPr>
        <w:t>贯彻</w:t>
      </w:r>
      <w:r>
        <w:rPr>
          <w:rFonts w:hint="eastAsia" w:ascii="Times New Roman" w:hAnsi="Times New Roman" w:eastAsia="仿宋_GB2312"/>
          <w:color w:val="auto"/>
          <w:kern w:val="34"/>
        </w:rPr>
        <w:t>《公平竞争审查条例》，</w:t>
      </w:r>
      <w:r>
        <w:rPr>
          <w:rFonts w:hint="eastAsia" w:ascii="Times New Roman" w:hAnsi="Times New Roman" w:eastAsia="仿宋_GB2312"/>
          <w:color w:val="auto"/>
          <w:kern w:val="34"/>
          <w:lang w:eastAsia="zh-CN"/>
        </w:rPr>
        <w:t>全面</w:t>
      </w:r>
      <w:r>
        <w:rPr>
          <w:rFonts w:hint="eastAsia" w:ascii="Times New Roman" w:hAnsi="Times New Roman" w:eastAsia="仿宋_GB2312"/>
          <w:color w:val="auto"/>
          <w:kern w:val="34"/>
        </w:rPr>
        <w:t>参与全国统一大市场建设。</w:t>
      </w:r>
      <w:r>
        <w:rPr>
          <w:rFonts w:hint="eastAsia" w:ascii="Times New Roman" w:hAnsi="Times New Roman" w:eastAsia="仿宋_GB2312"/>
          <w:color w:val="auto"/>
          <w:kern w:val="34"/>
          <w:lang w:eastAsia="zh-CN"/>
        </w:rPr>
        <w:t>坚决执行</w:t>
      </w:r>
      <w:r>
        <w:rPr>
          <w:rFonts w:hint="eastAsia" w:ascii="Times New Roman" w:hAnsi="Times New Roman" w:eastAsia="仿宋_GB2312"/>
          <w:color w:val="auto"/>
          <w:kern w:val="34"/>
        </w:rPr>
        <w:t>“</w:t>
      </w:r>
      <w:r>
        <w:rPr>
          <w:rFonts w:ascii="Times New Roman" w:hAnsi="Times New Roman" w:eastAsia="仿宋_GB2312"/>
          <w:color w:val="auto"/>
          <w:kern w:val="34"/>
        </w:rPr>
        <w:t>市场准入负面清单</w:t>
      </w:r>
      <w:r>
        <w:rPr>
          <w:rFonts w:hint="eastAsia" w:ascii="Times New Roman" w:hAnsi="Times New Roman" w:eastAsia="仿宋_GB2312"/>
          <w:color w:val="auto"/>
          <w:kern w:val="34"/>
        </w:rPr>
        <w:t>”制度，加强民营企业和企业家合法权益保护，</w:t>
      </w:r>
      <w:r>
        <w:rPr>
          <w:rFonts w:ascii="Times New Roman" w:hAnsi="Times New Roman" w:eastAsia="仿宋_GB2312"/>
          <w:color w:val="auto"/>
          <w:kern w:val="34"/>
        </w:rPr>
        <w:t>打造更加开放、更加公平、更加包容的市场环境。</w:t>
      </w:r>
      <w:r>
        <w:rPr>
          <w:rFonts w:hint="eastAsia" w:ascii="Times New Roman" w:hAnsi="Times New Roman" w:eastAsia="仿宋_GB2312"/>
          <w:color w:val="auto"/>
          <w:kern w:val="34"/>
        </w:rPr>
        <w:t>深化企业服务专员工作制度，清单化闭环式推进企业诉求“一口收办”，推动涉企问题优质高效解决，提高企业满意度。</w:t>
      </w:r>
    </w:p>
    <w:p w14:paraId="712204FA">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六、更优服务回应人民新期盼，努力擦亮群众幸福底色</w:t>
      </w:r>
    </w:p>
    <w:p w14:paraId="5066432B">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加强社会保障。</w:t>
      </w:r>
      <w:r>
        <w:rPr>
          <w:rFonts w:hint="eastAsia" w:ascii="Times New Roman" w:hAnsi="Times New Roman" w:eastAsia="仿宋_GB2312"/>
          <w:color w:val="auto"/>
          <w:kern w:val="34"/>
        </w:rPr>
        <w:t>落实就业优先政策，加强基层就业服务平台建设，强化就业供需对接和创业服务，突出抓好高校毕业生、农民工等重点群体就业创业，确保新增城镇就业</w:t>
      </w:r>
      <w:r>
        <w:rPr>
          <w:rFonts w:ascii="Times New Roman" w:hAnsi="Times New Roman" w:eastAsia="仿宋_GB2312"/>
          <w:color w:val="auto"/>
          <w:kern w:val="34"/>
        </w:rPr>
        <w:t>1.2</w:t>
      </w:r>
      <w:r>
        <w:rPr>
          <w:rFonts w:hint="eastAsia" w:ascii="Times New Roman" w:hAnsi="Times New Roman" w:eastAsia="仿宋_GB2312"/>
          <w:color w:val="auto"/>
          <w:kern w:val="34"/>
        </w:rPr>
        <w:t>万人以上。健全根治欠薪长效机制，确保欠薪案件动态清零，有力维护劳动者合法权益。强化社会基本保障，持续推进基本养老保险和基本医疗保险参保扩面，稳步提高各项社会保险待遇水平。落实渐进式延迟退休政策，加强灵活就业和新就业形态劳动者权益保障。持续推动巩固拓展脱贫攻坚成果同乡村振兴有效衔接，坚决守住不发生规模性返贫底线。加快“一老一小”服务项目建设，大力发展“医养结合”“医育结合”，全面落实国家城市社区嵌入式服务建设试点任务，创成全国学前教育普及普惠区。</w:t>
      </w:r>
    </w:p>
    <w:p w14:paraId="3A879B85">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兜牢民生底线。</w:t>
      </w:r>
      <w:r>
        <w:rPr>
          <w:rFonts w:hint="eastAsia" w:ascii="Times New Roman" w:hAnsi="Times New Roman" w:eastAsia="仿宋_GB2312"/>
          <w:color w:val="auto"/>
          <w:kern w:val="34"/>
        </w:rPr>
        <w:t>持续加大财政民生投入，认真办好省市民生实事。优化提升教育资源供给，实施教育类项目17个，新增学位</w:t>
      </w:r>
      <w:r>
        <w:rPr>
          <w:rFonts w:ascii="Times New Roman" w:hAnsi="Times New Roman" w:eastAsia="仿宋_GB2312"/>
          <w:color w:val="auto"/>
          <w:kern w:val="34"/>
        </w:rPr>
        <w:t>13870</w:t>
      </w:r>
      <w:r>
        <w:rPr>
          <w:rFonts w:hint="eastAsia" w:ascii="Times New Roman" w:hAnsi="Times New Roman" w:eastAsia="仿宋_GB2312"/>
          <w:color w:val="auto"/>
          <w:kern w:val="34"/>
        </w:rPr>
        <w:t>个。持续推进“双减”工作，实施义务教育课程教学改革，打造</w:t>
      </w:r>
      <w:r>
        <w:rPr>
          <w:rFonts w:ascii="Times New Roman" w:hAnsi="Times New Roman" w:eastAsia="仿宋_GB2312"/>
          <w:color w:val="auto"/>
          <w:kern w:val="34"/>
        </w:rPr>
        <w:t>3</w:t>
      </w:r>
      <w:r>
        <w:rPr>
          <w:rFonts w:hint="eastAsia" w:ascii="Times New Roman" w:hAnsi="Times New Roman" w:eastAsia="仿宋_GB2312"/>
          <w:color w:val="auto"/>
          <w:kern w:val="34"/>
        </w:rPr>
        <w:t>所义务教育教学改革实验校。深化医药卫生体制改革，完成紧密型城市医疗集团建设试点任务，推动更多优质医疗资源扩容下沉，更好满足群众“家门口”就医需求。扎实做好第四次全国文物普查，支持非遗进社区、非遗进校园，加强非遗保护</w:t>
      </w:r>
      <w:r>
        <w:rPr>
          <w:rFonts w:hint="eastAsia" w:ascii="Times New Roman" w:hAnsi="Times New Roman" w:eastAsia="仿宋_GB2312"/>
          <w:color w:val="auto"/>
        </w:rPr>
        <w:t>传承</w:t>
      </w:r>
      <w:r>
        <w:rPr>
          <w:rFonts w:hint="eastAsia" w:ascii="Times New Roman" w:hAnsi="Times New Roman" w:eastAsia="仿宋_GB2312"/>
          <w:color w:val="auto"/>
          <w:kern w:val="34"/>
        </w:rPr>
        <w:t>。持续推动公共文化场所免费开放，引导支持群众文化创作，常态开展“社区大舞台”“梨园风采展”等群众性文化活动，提高优秀文化服务供给水平。</w:t>
      </w:r>
    </w:p>
    <w:p w14:paraId="75DD03D6">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优化人居环境。</w:t>
      </w:r>
      <w:r>
        <w:rPr>
          <w:rFonts w:hint="eastAsia" w:ascii="Times New Roman" w:hAnsi="Times New Roman" w:eastAsia="仿宋_GB2312"/>
          <w:color w:val="auto"/>
          <w:kern w:val="34"/>
        </w:rPr>
        <w:t>协同推进降碳、减污、扩绿、增长，以更高标准打好蓝天、碧水、净土保卫战，推动生态环境质量持续向好。常态长效抓好中央及省生态环保督察转办信访件和突出生态环保问题整改，以高质量整改成效回应群众诉求和社会关切。加快二十埠河流域EOD项目建设，推进环境治理与产业融合发展。强化排口溯源监管，力争5处考核断面全部达</w:t>
      </w:r>
      <w:r>
        <w:rPr>
          <w:rFonts w:ascii="Times New Roman" w:hAnsi="Times New Roman" w:eastAsia="仿宋_GB2312"/>
          <w:color w:val="auto"/>
          <w:kern w:val="34"/>
        </w:rPr>
        <w:t>到Ⅲ</w:t>
      </w:r>
      <w:r>
        <w:rPr>
          <w:rFonts w:hint="eastAsia" w:ascii="Times New Roman" w:hAnsi="Times New Roman" w:eastAsia="仿宋_GB2312"/>
          <w:color w:val="auto"/>
          <w:kern w:val="34"/>
        </w:rPr>
        <w:t>类标准。健全大气污染管控联动机制，全力压降PM</w:t>
      </w:r>
      <w:r>
        <w:rPr>
          <w:rFonts w:hint="eastAsia" w:ascii="Times New Roman" w:hAnsi="Times New Roman" w:eastAsia="仿宋_GB2312"/>
          <w:color w:val="auto"/>
          <w:kern w:val="34"/>
          <w:vertAlign w:val="subscript"/>
        </w:rPr>
        <w:t>2.5</w:t>
      </w:r>
      <w:r>
        <w:rPr>
          <w:rFonts w:hint="eastAsia" w:ascii="Times New Roman" w:hAnsi="Times New Roman" w:eastAsia="仿宋_GB2312"/>
          <w:color w:val="auto"/>
          <w:kern w:val="34"/>
        </w:rPr>
        <w:t>、PM</w:t>
      </w:r>
      <w:r>
        <w:rPr>
          <w:rFonts w:hint="eastAsia" w:ascii="Times New Roman" w:hAnsi="Times New Roman" w:eastAsia="仿宋_GB2312"/>
          <w:color w:val="auto"/>
          <w:kern w:val="34"/>
          <w:vertAlign w:val="subscript"/>
        </w:rPr>
        <w:t>10</w:t>
      </w:r>
      <w:r>
        <w:rPr>
          <w:rFonts w:hint="eastAsia" w:ascii="Times New Roman" w:hAnsi="Times New Roman" w:eastAsia="仿宋_GB2312"/>
          <w:color w:val="auto"/>
          <w:kern w:val="34"/>
        </w:rPr>
        <w:t>浓度，稳步提高</w:t>
      </w:r>
      <w:r>
        <w:rPr>
          <w:rFonts w:ascii="Times New Roman" w:hAnsi="Times New Roman" w:eastAsia="仿宋_GB2312"/>
          <w:color w:val="auto"/>
          <w:kern w:val="34"/>
        </w:rPr>
        <w:t>空气质量优良天数，</w:t>
      </w:r>
      <w:r>
        <w:rPr>
          <w:rFonts w:hint="eastAsia" w:ascii="Times New Roman" w:hAnsi="Times New Roman" w:eastAsia="仿宋_GB2312"/>
          <w:color w:val="auto"/>
          <w:kern w:val="34"/>
        </w:rPr>
        <w:t>守护好人民群众的蓝天白云。建成投用绿色循环综合体，持续完善固废综合治理体系，加快推进“无废城市”建设。</w:t>
      </w:r>
    </w:p>
    <w:p w14:paraId="386329D1">
      <w:pPr>
        <w:keepNext w:val="0"/>
        <w:keepLines w:val="0"/>
        <w:pageBreakBefore w:val="0"/>
        <w:widowControl w:val="0"/>
        <w:kinsoku/>
        <w:wordWrap/>
        <w:overflowPunct/>
        <w:topLinePunct w:val="0"/>
        <w:autoSpaceDE/>
        <w:autoSpaceDN/>
        <w:bidi w:val="0"/>
        <w:snapToGrid/>
        <w:spacing w:line="579" w:lineRule="exact"/>
        <w:ind w:firstLine="632"/>
        <w:textAlignment w:val="auto"/>
        <w:rPr>
          <w:color w:val="auto"/>
        </w:rPr>
      </w:pPr>
      <w:r>
        <w:rPr>
          <w:rFonts w:hint="eastAsia" w:ascii="黑体" w:hAnsi="黑体" w:eastAsia="黑体" w:cs="黑体"/>
          <w:color w:val="auto"/>
          <w:kern w:val="34"/>
        </w:rPr>
        <w:t>七、更大力度统筹发展和安全，努力营造安全稳定环境</w:t>
      </w:r>
    </w:p>
    <w:p w14:paraId="6D600347">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防范化解重大风险</w:t>
      </w:r>
      <w:r>
        <w:rPr>
          <w:rFonts w:hint="eastAsia" w:ascii="楷体_GB2312" w:hAnsi="楷体_GB2312" w:eastAsia="楷体_GB2312" w:cs="楷体_GB2312"/>
          <w:color w:val="auto"/>
          <w:kern w:val="34"/>
        </w:rPr>
        <w:t>。</w:t>
      </w:r>
      <w:r>
        <w:rPr>
          <w:rFonts w:hint="eastAsia" w:ascii="Times New Roman" w:hAnsi="Times New Roman" w:eastAsia="仿宋_GB2312"/>
          <w:color w:val="auto"/>
          <w:kern w:val="34"/>
        </w:rPr>
        <w:t>积极落实一揽子化债方案，用好用活政策“组合拳”，全力优化债务结构，坚决守住不新增隐性债务、不发生系统性风险的底线。强化金融风险防控，</w:t>
      </w:r>
      <w:r>
        <w:rPr>
          <w:rFonts w:ascii="Times New Roman" w:hAnsi="Times New Roman" w:eastAsia="仿宋_GB2312"/>
          <w:color w:val="auto"/>
        </w:rPr>
        <w:t>深入开展防范非法集资专项行动</w:t>
      </w:r>
      <w:r>
        <w:rPr>
          <w:rFonts w:hint="eastAsia" w:ascii="Times New Roman" w:hAnsi="Times New Roman" w:eastAsia="仿宋_GB2312"/>
          <w:color w:val="auto"/>
          <w:kern w:val="34"/>
        </w:rPr>
        <w:t>。一楼一策落实“保交楼”，稳步推进存量房收购，优化增量住房供给，加强商品房开发建设监管，促进区域房地产市场健康发展。压实粮食安全工作责任，加强粮食应急保供网络建设，持续做好保供稳价工作。用好“府院联动”“府</w:t>
      </w:r>
      <w:r>
        <w:rPr>
          <w:rFonts w:ascii="Times New Roman" w:hAnsi="Times New Roman" w:eastAsia="仿宋_GB2312"/>
          <w:color w:val="auto"/>
          <w:kern w:val="34"/>
        </w:rPr>
        <w:t>检</w:t>
      </w:r>
      <w:r>
        <w:rPr>
          <w:rFonts w:hint="eastAsia" w:ascii="Times New Roman" w:hAnsi="Times New Roman" w:eastAsia="仿宋_GB2312"/>
          <w:color w:val="auto"/>
          <w:kern w:val="34"/>
        </w:rPr>
        <w:t>联动”机制，办好群众反映强烈的民生案件，加大破产案件清积力度，切实维护人民群众切身利益。积极防范化解社会领域重大风险，加强社会面治安防控，严防发生极端</w:t>
      </w:r>
      <w:r>
        <w:rPr>
          <w:rFonts w:ascii="Times New Roman" w:hAnsi="Times New Roman" w:eastAsia="仿宋_GB2312"/>
          <w:color w:val="auto"/>
          <w:kern w:val="34"/>
        </w:rPr>
        <w:t>案件</w:t>
      </w:r>
      <w:r>
        <w:rPr>
          <w:rFonts w:hint="eastAsia" w:ascii="Times New Roman" w:hAnsi="Times New Roman" w:eastAsia="仿宋_GB2312"/>
          <w:color w:val="auto"/>
          <w:kern w:val="34"/>
        </w:rPr>
        <w:t>。</w:t>
      </w:r>
    </w:p>
    <w:p w14:paraId="1D70B0B6">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rPr>
      </w:pPr>
      <w:r>
        <w:rPr>
          <w:rFonts w:hint="eastAsia" w:ascii="楷体_GB2312" w:hAnsi="楷体_GB2312" w:eastAsia="楷体_GB2312" w:cs="楷体_GB2312"/>
          <w:b/>
          <w:bCs/>
          <w:color w:val="auto"/>
          <w:kern w:val="34"/>
        </w:rPr>
        <w:t>守牢安全生产底线。</w:t>
      </w:r>
      <w:r>
        <w:rPr>
          <w:rFonts w:hint="eastAsia" w:ascii="Times New Roman" w:hAnsi="Times New Roman" w:eastAsia="仿宋_GB2312"/>
          <w:color w:val="auto"/>
          <w:kern w:val="34"/>
        </w:rPr>
        <w:t>深入开展安全生产</w:t>
      </w:r>
      <w:r>
        <w:rPr>
          <w:rFonts w:ascii="Times New Roman" w:hAnsi="Times New Roman" w:eastAsia="仿宋_GB2312"/>
          <w:color w:val="auto"/>
          <w:kern w:val="34"/>
        </w:rPr>
        <w:t>治本攻坚三年</w:t>
      </w:r>
      <w:r>
        <w:rPr>
          <w:rFonts w:hint="eastAsia" w:ascii="Times New Roman" w:hAnsi="Times New Roman" w:eastAsia="仿宋_GB2312"/>
          <w:color w:val="auto"/>
          <w:kern w:val="34"/>
        </w:rPr>
        <w:t>行动，推进重大事故隐患动态清零，不断提升本质安全水平，实现“三坚决两确保</w:t>
      </w:r>
      <w:r>
        <w:rPr>
          <w:rFonts w:hint="eastAsia" w:ascii="仿宋_GB2312"/>
          <w:color w:val="auto"/>
          <w:vertAlign w:val="superscript"/>
        </w:rPr>
        <w:t>〔</w:t>
      </w:r>
      <w:r>
        <w:rPr>
          <w:rFonts w:ascii="仿宋_GB2312"/>
          <w:color w:val="auto"/>
          <w:vertAlign w:val="superscript"/>
        </w:rPr>
        <w:t>1</w:t>
      </w:r>
      <w:r>
        <w:rPr>
          <w:rFonts w:hint="eastAsia" w:ascii="仿宋_GB2312"/>
          <w:color w:val="auto"/>
          <w:vertAlign w:val="superscript"/>
        </w:rPr>
        <w:t>1〕</w:t>
      </w:r>
      <w:r>
        <w:rPr>
          <w:rFonts w:hint="eastAsia" w:ascii="Times New Roman" w:hAnsi="Times New Roman" w:eastAsia="仿宋_GB2312"/>
          <w:color w:val="auto"/>
          <w:kern w:val="34"/>
        </w:rPr>
        <w:t>”目标。实施应急指挥协调能力提升项目，加快监测预警、指挥调度、抢险救援“三大系统”建设，提升应急响应和处置能力。落实房屋全生命周期安全管理制度，加强房屋建筑信息动态更新监管，坚决守住D级危房“人房分离”底线，筑牢群众居住安全屏障。更大力度整治群众身边的安全隐患，继续开展</w:t>
      </w:r>
      <w:r>
        <w:rPr>
          <w:rFonts w:ascii="Times New Roman" w:hAnsi="Times New Roman" w:eastAsia="仿宋_GB2312"/>
          <w:color w:val="auto"/>
          <w:kern w:val="34"/>
        </w:rPr>
        <w:t>住宅小区</w:t>
      </w:r>
      <w:r>
        <w:rPr>
          <w:rFonts w:hint="eastAsia" w:ascii="Times New Roman" w:hAnsi="Times New Roman" w:eastAsia="仿宋_GB2312"/>
          <w:color w:val="auto"/>
          <w:kern w:val="34"/>
        </w:rPr>
        <w:t>消防</w:t>
      </w:r>
      <w:r>
        <w:rPr>
          <w:rFonts w:ascii="Times New Roman" w:hAnsi="Times New Roman" w:eastAsia="仿宋_GB2312"/>
          <w:color w:val="auto"/>
          <w:kern w:val="34"/>
        </w:rPr>
        <w:t>设施改造，</w:t>
      </w:r>
      <w:r>
        <w:rPr>
          <w:rFonts w:hint="eastAsia" w:ascii="Times New Roman" w:hAnsi="Times New Roman" w:eastAsia="仿宋_GB2312"/>
          <w:color w:val="auto"/>
          <w:kern w:val="34"/>
        </w:rPr>
        <w:t>完成使用15年以上住宅老旧电梯维修改造。</w:t>
      </w:r>
      <w:r>
        <w:rPr>
          <w:rFonts w:hint="eastAsia" w:ascii="Times New Roman" w:hAnsi="Times New Roman" w:eastAsia="仿宋_GB2312"/>
          <w:color w:val="auto"/>
        </w:rPr>
        <w:t>加强食品药品安全智慧化监管，扩大“透明厨房”试点，创建省食品安全示范区。</w:t>
      </w:r>
    </w:p>
    <w:p w14:paraId="61F3C968">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楷体_GB2312" w:hAnsi="楷体_GB2312" w:eastAsia="楷体_GB2312" w:cs="楷体_GB2312"/>
          <w:b/>
          <w:bCs/>
          <w:color w:val="auto"/>
          <w:kern w:val="34"/>
        </w:rPr>
        <w:t>提升基层治理水平。</w:t>
      </w:r>
      <w:r>
        <w:rPr>
          <w:rFonts w:hint="eastAsia" w:ascii="Times New Roman" w:hAnsi="Times New Roman" w:eastAsia="仿宋_GB2312"/>
          <w:color w:val="auto"/>
          <w:kern w:val="34"/>
        </w:rPr>
        <w:t>纵深推进社会治理现代化，坚持</w:t>
      </w:r>
      <w:r>
        <w:rPr>
          <w:rFonts w:ascii="Times New Roman" w:hAnsi="Times New Roman" w:eastAsia="仿宋_GB2312"/>
          <w:color w:val="auto"/>
          <w:kern w:val="34"/>
        </w:rPr>
        <w:t>和发展新时代“</w:t>
      </w:r>
      <w:r>
        <w:rPr>
          <w:rFonts w:hint="eastAsia" w:ascii="Times New Roman" w:hAnsi="Times New Roman" w:eastAsia="仿宋_GB2312"/>
          <w:color w:val="auto"/>
          <w:kern w:val="34"/>
        </w:rPr>
        <w:t>枫桥经验</w:t>
      </w:r>
      <w:r>
        <w:rPr>
          <w:rFonts w:ascii="Times New Roman" w:hAnsi="Times New Roman" w:eastAsia="仿宋_GB2312"/>
          <w:color w:val="auto"/>
          <w:kern w:val="34"/>
        </w:rPr>
        <w:t>”</w:t>
      </w:r>
      <w:r>
        <w:rPr>
          <w:rFonts w:hint="eastAsia" w:ascii="Times New Roman" w:hAnsi="Times New Roman" w:eastAsia="仿宋_GB2312"/>
          <w:color w:val="auto"/>
          <w:kern w:val="34"/>
        </w:rPr>
        <w:t>，</w:t>
      </w:r>
      <w:r>
        <w:rPr>
          <w:rFonts w:ascii="Times New Roman" w:hAnsi="Times New Roman" w:eastAsia="仿宋_GB2312"/>
          <w:color w:val="auto"/>
          <w:kern w:val="34"/>
        </w:rPr>
        <w:t>推广“新时代</w:t>
      </w:r>
      <w:r>
        <w:rPr>
          <w:rFonts w:hint="eastAsia" w:ascii="Times New Roman" w:hAnsi="Times New Roman" w:eastAsia="仿宋_GB2312"/>
          <w:color w:val="auto"/>
          <w:kern w:val="34"/>
        </w:rPr>
        <w:t>六尺巷</w:t>
      </w:r>
      <w:r>
        <w:rPr>
          <w:rFonts w:ascii="Times New Roman" w:hAnsi="Times New Roman" w:eastAsia="仿宋_GB2312"/>
          <w:color w:val="auto"/>
          <w:kern w:val="34"/>
        </w:rPr>
        <w:t>工作法”</w:t>
      </w:r>
      <w:r>
        <w:rPr>
          <w:rFonts w:hint="eastAsia" w:ascii="Times New Roman" w:hAnsi="Times New Roman" w:eastAsia="仿宋_GB2312"/>
          <w:color w:val="auto"/>
          <w:kern w:val="34"/>
        </w:rPr>
        <w:t>。不断完善社区工作者队伍管理机制，整合优化基层人员力量。深化“数字瑶海”建设，不断拓展“城市大脑”应用场景，提升基层智慧治理水平。开展规范社区工作事务、机制牌子和证明事项专项整治行动，破解基层治理“小马拉大车”突出问题，持续为基层减负。纵深推进信访法治化，严格落实领导干部包案接访下访制度，优质高效办理初信初访，努力化解一批信访积案。实体化运作“三个中心</w:t>
      </w:r>
      <w:r>
        <w:rPr>
          <w:rFonts w:hint="eastAsia" w:ascii="仿宋_GB2312"/>
          <w:color w:val="auto"/>
          <w:vertAlign w:val="superscript"/>
        </w:rPr>
        <w:t>〔</w:t>
      </w:r>
      <w:r>
        <w:rPr>
          <w:rFonts w:ascii="仿宋_GB2312"/>
          <w:color w:val="auto"/>
          <w:vertAlign w:val="superscript"/>
        </w:rPr>
        <w:t>1</w:t>
      </w:r>
      <w:r>
        <w:rPr>
          <w:rFonts w:hint="eastAsia" w:ascii="仿宋_GB2312"/>
          <w:color w:val="auto"/>
          <w:vertAlign w:val="superscript"/>
        </w:rPr>
        <w:t>2〕</w:t>
      </w:r>
      <w:r>
        <w:rPr>
          <w:rFonts w:hint="eastAsia" w:ascii="Times New Roman" w:hAnsi="Times New Roman" w:eastAsia="仿宋_GB2312"/>
          <w:color w:val="auto"/>
          <w:kern w:val="34"/>
        </w:rPr>
        <w:t>”，加强人民调解</w:t>
      </w:r>
      <w:r>
        <w:rPr>
          <w:rFonts w:ascii="Times New Roman" w:hAnsi="Times New Roman" w:eastAsia="仿宋_GB2312"/>
          <w:color w:val="auto"/>
          <w:kern w:val="34"/>
        </w:rPr>
        <w:t>、</w:t>
      </w:r>
      <w:r>
        <w:rPr>
          <w:rFonts w:hint="eastAsia" w:ascii="Times New Roman" w:hAnsi="Times New Roman" w:eastAsia="仿宋_GB2312"/>
          <w:color w:val="auto"/>
          <w:kern w:val="34"/>
        </w:rPr>
        <w:t>行政调解、司法调解，推动社会矛盾问题解决在基层、化解在萌芽状态。加强社会治安防控体系建设，常态化开展扫黑除恶斗争，依法严厉打击各类违法犯罪活动，全力</w:t>
      </w:r>
      <w:r>
        <w:rPr>
          <w:rFonts w:ascii="Times New Roman" w:hAnsi="Times New Roman" w:eastAsia="仿宋_GB2312"/>
          <w:color w:val="auto"/>
          <w:kern w:val="34"/>
        </w:rPr>
        <w:t>守护人民群众安全感。</w:t>
      </w:r>
    </w:p>
    <w:p w14:paraId="7D0CA837">
      <w:pPr>
        <w:pStyle w:val="2"/>
        <w:keepNext w:val="0"/>
        <w:keepLines w:val="0"/>
        <w:pageBreakBefore w:val="0"/>
        <w:widowControl w:val="0"/>
        <w:kinsoku/>
        <w:wordWrap/>
        <w:overflowPunct/>
        <w:topLinePunct w:val="0"/>
        <w:autoSpaceDE/>
        <w:autoSpaceDN/>
        <w:bidi w:val="0"/>
        <w:snapToGrid/>
        <w:spacing w:line="579" w:lineRule="exact"/>
        <w:textAlignment w:val="auto"/>
        <w:rPr>
          <w:color w:val="auto"/>
        </w:rPr>
      </w:pPr>
    </w:p>
    <w:p w14:paraId="6AE8D57A">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ascii="Times New Roman" w:hAnsi="Times New Roman" w:eastAsia="黑体"/>
          <w:bCs/>
          <w:color w:val="auto"/>
          <w:kern w:val="32"/>
        </w:rPr>
      </w:pPr>
      <w:r>
        <w:rPr>
          <w:rFonts w:hint="eastAsia" w:ascii="Times New Roman" w:hAnsi="Times New Roman" w:eastAsia="黑体"/>
          <w:bCs/>
          <w:color w:val="auto"/>
          <w:kern w:val="32"/>
        </w:rPr>
        <w:t>提高政府履职能力和水平</w:t>
      </w:r>
    </w:p>
    <w:p w14:paraId="5002A5C2">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p>
    <w:p w14:paraId="5A3DA20E">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Times New Roman" w:hAnsi="Times New Roman" w:eastAsia="仿宋_GB2312"/>
          <w:color w:val="auto"/>
          <w:kern w:val="34"/>
        </w:rPr>
        <w:t>面对新形势、新任务、新要求，我们将全面加强政府自身建设，勤勉尽责担当，忠诚干净奉献，以奋进姿态交出不负时代、不负人民、不负使命的优异答卷。</w:t>
      </w:r>
    </w:p>
    <w:p w14:paraId="4789D5C3">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坚持政治引领，打造忠诚政府。</w:t>
      </w:r>
      <w:r>
        <w:rPr>
          <w:rFonts w:hint="eastAsia" w:ascii="Times New Roman" w:hAnsi="Times New Roman" w:eastAsia="仿宋_GB2312"/>
          <w:color w:val="auto"/>
          <w:kern w:val="34"/>
        </w:rPr>
        <w:t>把学习贯彻习近平新时代中国特色社会主义思想作为首要政治任务、放在首要位置，深刻领悟“两个确立”的决定性意义，坚决做到“两个维护”，不断提高政治判断力、政治领悟力、政治执行力。坚决贯彻落实习近平总书记考察安徽重要讲话精神，始终在思想上政治上行动上同以习近平同志为核心的党中央保持高度一致。严格落实意识形态工作责任制，持续推动省委巡视反馈问题整改。坚决把党的全面领导贯穿政府工作各领域全过程，不折不扣落实党中央决策部署和省市及区委工作要求。</w:t>
      </w:r>
    </w:p>
    <w:p w14:paraId="3E0D9E99">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坚持依法行政，打造法治政府。</w:t>
      </w:r>
      <w:r>
        <w:rPr>
          <w:rFonts w:hint="eastAsia" w:ascii="Times New Roman" w:hAnsi="Times New Roman" w:eastAsia="仿宋_GB2312"/>
          <w:color w:val="auto"/>
          <w:kern w:val="34"/>
        </w:rPr>
        <w:t>深入学习贯彻习近平法治思想，自觉用法治思维和法治方式推动工作、解决问题。深入践行全过程人民民主，自觉接受区人大及其常委会的法律监督、区政协的民主监督、新闻媒体的舆论监督，</w:t>
      </w:r>
      <w:r>
        <w:rPr>
          <w:rFonts w:ascii="Times New Roman" w:hAnsi="Times New Roman" w:eastAsia="仿宋_GB2312"/>
          <w:color w:val="auto"/>
          <w:kern w:val="34"/>
        </w:rPr>
        <w:t>认真办理人大代表议案建议和政协提案</w:t>
      </w:r>
      <w:r>
        <w:rPr>
          <w:rFonts w:hint="eastAsia" w:ascii="Times New Roman" w:hAnsi="Times New Roman" w:eastAsia="仿宋_GB2312"/>
          <w:color w:val="auto"/>
          <w:kern w:val="34"/>
        </w:rPr>
        <w:t>。健全依法决策机制，拓宽人民参与决策和监督的渠道，推动重大行政决策科学民主合法。强化政府法律顾问和公职律师作用，提升政务公开、行政复议和行政应诉质效，规范行政权力运行。加强政务诚信建设，做到有约必履、有诺必践，以政府诚信带动社会诚信。高质量完成“八五”普法目标任务，加快法治政府和法治瑶海建设。</w:t>
      </w:r>
    </w:p>
    <w:p w14:paraId="085A9DB5">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坚持求真务实，打造实干政府。</w:t>
      </w:r>
      <w:r>
        <w:rPr>
          <w:rFonts w:hint="eastAsia" w:ascii="Times New Roman" w:hAnsi="Times New Roman" w:eastAsia="仿宋_GB2312"/>
          <w:color w:val="auto"/>
          <w:kern w:val="34"/>
        </w:rPr>
        <w:t>始终紧扣高质量转型发展的中心任务，一心一意谋发展，不折不扣抓落实。带头弘扬实干精神，做到“重实干、做实功、求实效”，把更多精力集中到推动发展、服务群众上。更加注重提升专业能力，推广“一线工作法”，清单闭环推动工作落实。持续深化政务服务改革，提供更加便民利企的服务，实现有效市场与有为政府更好结合。健全正向激励和容错纠错机制，严格落实“三个区分开来”要求，严肃整治懒政怠政行为。坚持纠“四风”与树新风并举，持续精文减会，用政府的实干苦干争创瑶海转型发展的实绩实效。</w:t>
      </w:r>
    </w:p>
    <w:p w14:paraId="3C2EEC5C">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坚持初心使命，打造为民政府。</w:t>
      </w:r>
      <w:r>
        <w:rPr>
          <w:rFonts w:hint="eastAsia" w:ascii="Times New Roman" w:hAnsi="Times New Roman" w:eastAsia="仿宋_GB2312"/>
          <w:color w:val="auto"/>
          <w:kern w:val="34"/>
        </w:rPr>
        <w:t>树立和践行正确政绩观，把人民群众摆在心中的最高位置，把为民造福作为政府工作的最大追求。</w:t>
      </w:r>
      <w:r>
        <w:rPr>
          <w:rFonts w:ascii="Times New Roman" w:hAnsi="Times New Roman" w:eastAsia="仿宋_GB2312"/>
          <w:color w:val="auto"/>
          <w:kern w:val="34"/>
        </w:rPr>
        <w:t>始终</w:t>
      </w:r>
      <w:r>
        <w:rPr>
          <w:rFonts w:hint="eastAsia" w:ascii="Times New Roman" w:hAnsi="Times New Roman" w:eastAsia="仿宋_GB2312"/>
          <w:color w:val="auto"/>
          <w:kern w:val="34"/>
        </w:rPr>
        <w:t>把民生</w:t>
      </w:r>
      <w:r>
        <w:rPr>
          <w:rFonts w:ascii="Times New Roman" w:hAnsi="Times New Roman" w:eastAsia="仿宋_GB2312"/>
          <w:color w:val="auto"/>
          <w:kern w:val="34"/>
        </w:rPr>
        <w:t>保障</w:t>
      </w:r>
      <w:r>
        <w:rPr>
          <w:rFonts w:hint="eastAsia" w:ascii="Times New Roman" w:hAnsi="Times New Roman" w:eastAsia="仿宋_GB2312"/>
          <w:color w:val="auto"/>
          <w:kern w:val="34"/>
        </w:rPr>
        <w:t>摆</w:t>
      </w:r>
      <w:r>
        <w:rPr>
          <w:rFonts w:ascii="Times New Roman" w:hAnsi="Times New Roman" w:eastAsia="仿宋_GB2312"/>
          <w:color w:val="auto"/>
          <w:kern w:val="34"/>
        </w:rPr>
        <w:t>在第一序列</w:t>
      </w:r>
      <w:r>
        <w:rPr>
          <w:rFonts w:hint="eastAsia" w:ascii="Times New Roman" w:hAnsi="Times New Roman" w:eastAsia="仿宋_GB2312"/>
          <w:color w:val="auto"/>
          <w:kern w:val="34"/>
        </w:rPr>
        <w:t>，用心用情用力办好民生实事，坚持在发展中保障和改善民生。持续推进政府职能转变，不断提升公共服务能力和水平，更好满足人民群众对美好生活的需求。带头弘扬“四下基层”优良作风，提升“民声呼应”工作质效，切实解决好群众的操心事、烦心事、揪心事。</w:t>
      </w:r>
    </w:p>
    <w:p w14:paraId="1D1D125C">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黑体" w:hAnsi="黑体" w:eastAsia="黑体" w:cs="黑体"/>
          <w:color w:val="auto"/>
          <w:kern w:val="34"/>
        </w:rPr>
        <w:t>坚持从严治政，打造廉洁政府。</w:t>
      </w:r>
      <w:r>
        <w:rPr>
          <w:rFonts w:hint="eastAsia" w:ascii="Times New Roman" w:hAnsi="Times New Roman" w:eastAsia="仿宋_GB2312"/>
          <w:color w:val="auto"/>
          <w:kern w:val="34"/>
        </w:rPr>
        <w:t>发扬彻底的自我革命精神，纵深推进政府系统党风廉政建设和反腐败斗争，压紧压实政府系统全面从严治党责任链条。坚决执行中央八项规定及其实施细则精神，严格落实重大事项请示报告制度，拓展深化党纪学习教育成果。继续落实政府过“紧日子”的要求，持续压减一般性支出，兜牢基层“三保”底线。不断扎牢权力制度笼子，加强对权力运行的制约和监督，强化重点领域和关键岗位廉政风险防控。支持纪检监察和区委巡察工作，下更大力气整治群众身边不正之风和腐败问题，全力营造风清气正、干事创业的良好政治生态。</w:t>
      </w:r>
    </w:p>
    <w:p w14:paraId="1B0C495D">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黑体" w:hAnsi="黑体" w:eastAsia="黑体" w:cs="黑体"/>
          <w:color w:val="auto"/>
          <w:kern w:val="34"/>
        </w:rPr>
      </w:pPr>
      <w:r>
        <w:rPr>
          <w:rFonts w:hint="eastAsia" w:ascii="黑体" w:hAnsi="黑体" w:eastAsia="黑体" w:cs="黑体"/>
          <w:color w:val="auto"/>
          <w:kern w:val="34"/>
        </w:rPr>
        <w:t>各位代表！</w:t>
      </w:r>
    </w:p>
    <w:p w14:paraId="315D9DEA">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hint="eastAsia" w:ascii="Times New Roman" w:hAnsi="Times New Roman" w:eastAsia="仿宋_GB2312"/>
          <w:color w:val="auto"/>
          <w:kern w:val="34"/>
        </w:rPr>
        <w:t>奋斗成就梦想，实干铸就辉煌！让我们更加紧密地团结在以习近平同志为核心的党中央周围，在市委市政府和区委坚强领导下，求真务实、守正创新，接续奋斗、勇毅前行，坚决落实市委“六个开创新局面”要求，加快推进合肥东部新中心建设，奋力谱写</w:t>
      </w:r>
      <w:r>
        <w:rPr>
          <w:rFonts w:hint="eastAsia" w:ascii="Times New Roman" w:hAnsi="Times New Roman" w:eastAsia="仿宋_GB2312"/>
          <w:color w:val="auto"/>
          <w:kern w:val="34"/>
          <w:lang w:eastAsia="zh-CN"/>
        </w:rPr>
        <w:t>中国式</w:t>
      </w:r>
      <w:r>
        <w:rPr>
          <w:rFonts w:hint="eastAsia" w:ascii="Times New Roman" w:hAnsi="Times New Roman" w:eastAsia="仿宋_GB2312"/>
          <w:color w:val="auto"/>
          <w:kern w:val="34"/>
        </w:rPr>
        <w:t>现代化瑶海</w:t>
      </w:r>
      <w:bookmarkStart w:id="0" w:name="_GoBack"/>
      <w:bookmarkEnd w:id="0"/>
      <w:r>
        <w:rPr>
          <w:rFonts w:hint="eastAsia" w:ascii="Times New Roman" w:hAnsi="Times New Roman" w:eastAsia="仿宋_GB2312"/>
          <w:color w:val="auto"/>
          <w:kern w:val="34"/>
        </w:rPr>
        <w:t>篇章！</w:t>
      </w:r>
    </w:p>
    <w:p w14:paraId="3CC051E9">
      <w:pPr>
        <w:pStyle w:val="2"/>
        <w:keepNext w:val="0"/>
        <w:keepLines w:val="0"/>
        <w:pageBreakBefore w:val="0"/>
        <w:widowControl w:val="0"/>
        <w:kinsoku/>
        <w:wordWrap/>
        <w:overflowPunct/>
        <w:topLinePunct w:val="0"/>
        <w:autoSpaceDE/>
        <w:autoSpaceDN/>
        <w:bidi w:val="0"/>
        <w:snapToGrid/>
        <w:spacing w:after="0" w:line="579" w:lineRule="exact"/>
        <w:textAlignment w:val="auto"/>
        <w:rPr>
          <w:color w:val="auto"/>
        </w:rPr>
      </w:pPr>
    </w:p>
    <w:p w14:paraId="222DDE2D">
      <w:pPr>
        <w:pStyle w:val="3"/>
        <w:keepNext w:val="0"/>
        <w:keepLines w:val="0"/>
        <w:pageBreakBefore w:val="0"/>
        <w:widowControl w:val="0"/>
        <w:kinsoku/>
        <w:wordWrap/>
        <w:overflowPunct/>
        <w:topLinePunct w:val="0"/>
        <w:autoSpaceDE/>
        <w:autoSpaceDN/>
        <w:bidi w:val="0"/>
        <w:snapToGrid/>
        <w:spacing w:line="579" w:lineRule="exact"/>
        <w:ind w:left="0"/>
        <w:textAlignment w:val="auto"/>
        <w:rPr>
          <w:color w:val="auto"/>
        </w:rPr>
      </w:pPr>
    </w:p>
    <w:p w14:paraId="1DBC0FD3">
      <w:pPr>
        <w:keepNext w:val="0"/>
        <w:keepLines w:val="0"/>
        <w:pageBreakBefore w:val="0"/>
        <w:widowControl w:val="0"/>
        <w:kinsoku/>
        <w:wordWrap/>
        <w:overflowPunct/>
        <w:topLinePunct w:val="0"/>
        <w:autoSpaceDE/>
        <w:autoSpaceDN/>
        <w:bidi w:val="0"/>
        <w:snapToGrid/>
        <w:spacing w:line="579" w:lineRule="exact"/>
        <w:textAlignment w:val="auto"/>
        <w:rPr>
          <w:color w:val="auto"/>
        </w:rPr>
      </w:pPr>
    </w:p>
    <w:p w14:paraId="09CD2AFF">
      <w:pPr>
        <w:pStyle w:val="2"/>
        <w:keepNext w:val="0"/>
        <w:keepLines w:val="0"/>
        <w:pageBreakBefore w:val="0"/>
        <w:widowControl w:val="0"/>
        <w:kinsoku/>
        <w:wordWrap/>
        <w:overflowPunct/>
        <w:topLinePunct w:val="0"/>
        <w:autoSpaceDE/>
        <w:autoSpaceDN/>
        <w:bidi w:val="0"/>
        <w:snapToGrid/>
        <w:spacing w:after="0" w:line="579" w:lineRule="exact"/>
        <w:textAlignment w:val="auto"/>
        <w:rPr>
          <w:color w:val="auto"/>
        </w:rPr>
      </w:pPr>
    </w:p>
    <w:p w14:paraId="4064457F">
      <w:pPr>
        <w:pStyle w:val="3"/>
        <w:keepNext w:val="0"/>
        <w:keepLines w:val="0"/>
        <w:pageBreakBefore w:val="0"/>
        <w:widowControl w:val="0"/>
        <w:kinsoku/>
        <w:wordWrap/>
        <w:overflowPunct/>
        <w:topLinePunct w:val="0"/>
        <w:autoSpaceDE/>
        <w:autoSpaceDN/>
        <w:bidi w:val="0"/>
        <w:snapToGrid/>
        <w:spacing w:line="579" w:lineRule="exact"/>
        <w:ind w:left="0"/>
        <w:textAlignment w:val="auto"/>
        <w:rPr>
          <w:color w:val="auto"/>
        </w:rPr>
      </w:pPr>
    </w:p>
    <w:p w14:paraId="31B4837E">
      <w:pPr>
        <w:keepNext w:val="0"/>
        <w:keepLines w:val="0"/>
        <w:pageBreakBefore w:val="0"/>
        <w:widowControl w:val="0"/>
        <w:kinsoku/>
        <w:wordWrap/>
        <w:overflowPunct/>
        <w:topLinePunct w:val="0"/>
        <w:autoSpaceDE/>
        <w:autoSpaceDN/>
        <w:bidi w:val="0"/>
        <w:snapToGrid/>
        <w:spacing w:line="579" w:lineRule="exact"/>
        <w:jc w:val="center"/>
        <w:textAlignment w:val="auto"/>
        <w:rPr>
          <w:rFonts w:ascii="Times New Roman" w:hAnsi="Times New Roman" w:eastAsia="方正小标宋简体"/>
          <w:color w:val="auto"/>
          <w:kern w:val="34"/>
          <w:sz w:val="44"/>
          <w:szCs w:val="44"/>
        </w:rPr>
      </w:pPr>
      <w:r>
        <w:rPr>
          <w:rFonts w:ascii="Times New Roman" w:hAnsi="Times New Roman" w:eastAsia="方正小标宋简体"/>
          <w:color w:val="auto"/>
          <w:sz w:val="44"/>
          <w:szCs w:val="44"/>
        </w:rPr>
        <w:t>名词解释</w:t>
      </w:r>
    </w:p>
    <w:p w14:paraId="742FAE03">
      <w:pPr>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p>
    <w:p w14:paraId="51287E18">
      <w:pPr>
        <w:pStyle w:val="28"/>
        <w:keepNext w:val="0"/>
        <w:keepLines w:val="0"/>
        <w:pageBreakBefore w:val="0"/>
        <w:widowControl w:val="0"/>
        <w:kinsoku/>
        <w:wordWrap/>
        <w:overflowPunct/>
        <w:topLinePunct w:val="0"/>
        <w:autoSpaceDE/>
        <w:autoSpaceDN/>
        <w:bidi w:val="0"/>
        <w:snapToGrid/>
        <w:spacing w:line="579" w:lineRule="exact"/>
        <w:ind w:firstLine="632"/>
        <w:textAlignment w:val="auto"/>
        <w:rPr>
          <w:rFonts w:ascii="Times New Roman" w:hAnsi="Times New Roman" w:eastAsia="仿宋_GB2312"/>
          <w:color w:val="auto"/>
          <w:kern w:val="34"/>
        </w:rPr>
      </w:pPr>
      <w:r>
        <w:rPr>
          <w:rFonts w:ascii="Times New Roman" w:hAnsi="Times New Roman" w:eastAsia="黑体"/>
          <w:color w:val="auto"/>
          <w:kern w:val="34"/>
        </w:rPr>
        <w:t>1.</w:t>
      </w:r>
      <w:r>
        <w:rPr>
          <w:rFonts w:hint="eastAsia" w:ascii="Times New Roman" w:hAnsi="Times New Roman" w:eastAsia="黑体"/>
          <w:color w:val="auto"/>
          <w:kern w:val="34"/>
        </w:rPr>
        <w:t xml:space="preserve"> </w:t>
      </w:r>
      <w:r>
        <w:rPr>
          <w:rFonts w:ascii="Times New Roman" w:hAnsi="Times New Roman" w:eastAsia="黑体"/>
          <w:color w:val="auto"/>
          <w:kern w:val="34"/>
        </w:rPr>
        <w:t>EOD：</w:t>
      </w:r>
      <w:r>
        <w:rPr>
          <w:rFonts w:ascii="Times New Roman" w:hAnsi="Times New Roman" w:eastAsia="仿宋_GB2312"/>
          <w:color w:val="auto"/>
          <w:kern w:val="34"/>
        </w:rPr>
        <w:t>是指以生态保护和环境治理为基础，以特色产业运营为支撑，以区域综合开发为载体，采取产业链延伸、联合经营、组合开发等方式，推动收益性差的生态环境治理项目与收益较好的关联产业有效融合，统筹推进，一体化实施，将生态环境治理带来的经济价值内部化，是一种创新性的项目组织实施方式。</w:t>
      </w:r>
    </w:p>
    <w:p w14:paraId="25C4A5B6">
      <w:pPr>
        <w:pStyle w:val="2"/>
        <w:keepNext w:val="0"/>
        <w:keepLines w:val="0"/>
        <w:pageBreakBefore w:val="0"/>
        <w:widowControl w:val="0"/>
        <w:kinsoku/>
        <w:wordWrap/>
        <w:overflowPunct/>
        <w:topLinePunct w:val="0"/>
        <w:autoSpaceDE/>
        <w:autoSpaceDN/>
        <w:bidi w:val="0"/>
        <w:snapToGrid/>
        <w:spacing w:after="0" w:line="579" w:lineRule="exact"/>
        <w:ind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2. MAH：</w:t>
      </w:r>
      <w:r>
        <w:rPr>
          <w:rFonts w:ascii="Times New Roman" w:hAnsi="Times New Roman" w:eastAsia="仿宋_GB2312"/>
          <w:color w:val="auto"/>
          <w:kern w:val="34"/>
        </w:rPr>
        <w:t>是指药品上市许可持有人制度，取得药品注册证书的企业或者药品研制机构对药品质量承担全生命周期主要责任的制度，最突出优势是将上市许可（药品批准文号持有人）与生产企业相分离，允许药品上市许可持有人自行生产药品或委托药品生产企业生产。</w:t>
      </w:r>
    </w:p>
    <w:p w14:paraId="5BBFDB2B">
      <w:pPr>
        <w:pStyle w:val="3"/>
        <w:keepNext w:val="0"/>
        <w:keepLines w:val="0"/>
        <w:pageBreakBefore w:val="0"/>
        <w:widowControl w:val="0"/>
        <w:kinsoku/>
        <w:wordWrap/>
        <w:overflowPunct/>
        <w:topLinePunct w:val="0"/>
        <w:autoSpaceDE/>
        <w:autoSpaceDN/>
        <w:bidi w:val="0"/>
        <w:snapToGrid/>
        <w:spacing w:line="579" w:lineRule="exact"/>
        <w:ind w:left="0"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3. 一利五率：</w:t>
      </w:r>
      <w:r>
        <w:rPr>
          <w:rFonts w:ascii="Times New Roman" w:hAnsi="Times New Roman" w:eastAsia="仿宋_GB2312"/>
          <w:color w:val="auto"/>
          <w:kern w:val="34"/>
        </w:rPr>
        <w:t>是指“利润总额、资产负债率、净资产收益率、全员劳动生产率、研发经费投入强度和营业现金比率”。这五个指标分别从不同的维度衡量了国有企业的经营绩效和财务状况。</w:t>
      </w:r>
    </w:p>
    <w:p w14:paraId="6619C30E">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4. “六情”大走访：</w:t>
      </w:r>
      <w:r>
        <w:rPr>
          <w:rFonts w:ascii="Times New Roman" w:hAnsi="Times New Roman" w:eastAsia="仿宋_GB2312"/>
          <w:color w:val="auto"/>
          <w:kern w:val="34"/>
        </w:rPr>
        <w:t>是指以“知民情、降警情 、减访情、 防危情、控舆情、增感情”为主要目标的大走访活动。</w:t>
      </w:r>
    </w:p>
    <w:p w14:paraId="4EE3EAC3">
      <w:pPr>
        <w:pStyle w:val="2"/>
        <w:keepNext w:val="0"/>
        <w:keepLines w:val="0"/>
        <w:pageBreakBefore w:val="0"/>
        <w:widowControl w:val="0"/>
        <w:kinsoku/>
        <w:wordWrap/>
        <w:overflowPunct/>
        <w:topLinePunct w:val="0"/>
        <w:autoSpaceDE/>
        <w:autoSpaceDN/>
        <w:bidi w:val="0"/>
        <w:snapToGrid/>
        <w:spacing w:after="0" w:line="579" w:lineRule="exact"/>
        <w:ind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5. “6+5+X”产业集群体系：</w:t>
      </w:r>
      <w:r>
        <w:rPr>
          <w:rFonts w:ascii="Times New Roman" w:hAnsi="Times New Roman" w:eastAsia="仿宋_GB2312"/>
          <w:color w:val="auto"/>
          <w:kern w:val="34"/>
        </w:rPr>
        <w:t>是指“6大支柱产业+5大新兴产业+X个特色产业”。6大支柱产业包括新能源汽车、新一代信息技术、先进光伏及新型储能、生物医药、智能家电（居）、高端装备及新材料。5大新兴产业包括量子信息、空天技术、聚变能源、下一代人工智能、合成生物。X个特色产业则是指合肥市根据自身的优势和特点，发展的一些特色产业，如低空经济、生物制造、新型显示等。</w:t>
      </w:r>
    </w:p>
    <w:p w14:paraId="591969EE">
      <w:pPr>
        <w:pStyle w:val="3"/>
        <w:keepNext w:val="0"/>
        <w:keepLines w:val="0"/>
        <w:pageBreakBefore w:val="0"/>
        <w:widowControl w:val="0"/>
        <w:kinsoku/>
        <w:wordWrap/>
        <w:overflowPunct/>
        <w:topLinePunct w:val="0"/>
        <w:autoSpaceDE/>
        <w:autoSpaceDN/>
        <w:bidi w:val="0"/>
        <w:snapToGrid/>
        <w:spacing w:line="579" w:lineRule="exact"/>
        <w:ind w:left="0"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 xml:space="preserve">6. </w:t>
      </w:r>
      <w:r>
        <w:rPr>
          <w:rFonts w:hint="eastAsia" w:ascii="Times New Roman" w:hAnsi="Times New Roman" w:eastAsia="黑体"/>
          <w:color w:val="auto"/>
          <w:kern w:val="34"/>
        </w:rPr>
        <w:t>EPC：</w:t>
      </w:r>
      <w:r>
        <w:rPr>
          <w:rFonts w:hint="eastAsia" w:ascii="Times New Roman" w:hAnsi="Times New Roman" w:eastAsia="仿宋_GB2312"/>
          <w:color w:val="auto"/>
          <w:kern w:val="34"/>
        </w:rPr>
        <w:t>是指公司受业主委托，按照合同约定对工程建设项目的设计、采购、施工、试运行等实行全过程或若干阶段的承包。</w:t>
      </w:r>
    </w:p>
    <w:p w14:paraId="1C0DFFE4">
      <w:pPr>
        <w:pStyle w:val="3"/>
        <w:keepNext w:val="0"/>
        <w:keepLines w:val="0"/>
        <w:pageBreakBefore w:val="0"/>
        <w:widowControl w:val="0"/>
        <w:kinsoku/>
        <w:wordWrap/>
        <w:overflowPunct/>
        <w:topLinePunct w:val="0"/>
        <w:autoSpaceDE/>
        <w:autoSpaceDN/>
        <w:bidi w:val="0"/>
        <w:snapToGrid/>
        <w:spacing w:line="579" w:lineRule="exact"/>
        <w:ind w:left="0" w:firstLine="632" w:firstLineChars="200"/>
        <w:textAlignment w:val="auto"/>
        <w:rPr>
          <w:rFonts w:ascii="Times New Roman" w:hAnsi="Times New Roman" w:eastAsia="仿宋_GB2312"/>
          <w:color w:val="auto"/>
          <w:kern w:val="34"/>
        </w:rPr>
      </w:pPr>
      <w:r>
        <w:rPr>
          <w:rFonts w:hint="eastAsia" w:ascii="Times New Roman" w:hAnsi="Times New Roman" w:eastAsia="黑体"/>
          <w:color w:val="auto"/>
          <w:kern w:val="34"/>
        </w:rPr>
        <w:t xml:space="preserve">7. </w:t>
      </w:r>
      <w:r>
        <w:rPr>
          <w:rFonts w:ascii="Times New Roman" w:hAnsi="Times New Roman" w:eastAsia="黑体"/>
          <w:color w:val="auto"/>
          <w:kern w:val="34"/>
        </w:rPr>
        <w:t>人才政银担：</w:t>
      </w:r>
      <w:r>
        <w:rPr>
          <w:rFonts w:ascii="Times New Roman" w:hAnsi="Times New Roman" w:eastAsia="仿宋_GB2312"/>
          <w:color w:val="auto"/>
          <w:kern w:val="34"/>
        </w:rPr>
        <w:t>是指瑶海区为积极推动对科技创新人才的信贷投放，按照“资源共享、风险共担”的原则，探索推行科创人才贷金融产品，实施人才分级授信，提供最高800万元的信贷额度，充分激发科技人才创新创业创造活力。</w:t>
      </w:r>
    </w:p>
    <w:p w14:paraId="63497333">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hint="eastAsia" w:ascii="Times New Roman" w:hAnsi="Times New Roman" w:eastAsia="黑体"/>
          <w:color w:val="auto"/>
          <w:kern w:val="34"/>
        </w:rPr>
        <w:t>8</w:t>
      </w:r>
      <w:r>
        <w:rPr>
          <w:rFonts w:ascii="Times New Roman" w:hAnsi="Times New Roman" w:eastAsia="黑体"/>
          <w:color w:val="auto"/>
          <w:kern w:val="34"/>
        </w:rPr>
        <w:t>. 信易贷：</w:t>
      </w:r>
      <w:r>
        <w:rPr>
          <w:rFonts w:ascii="Times New Roman" w:hAnsi="Times New Roman" w:eastAsia="仿宋_GB2312"/>
          <w:color w:val="auto"/>
          <w:kern w:val="34"/>
        </w:rPr>
        <w:t>是指中小企业融资综合信用服务平台，是以信用为核心，为解决中小微企业发展过程中融资难、贵、慢等问题打造的一站式、服务企业全生命周期的融资大平台。</w:t>
      </w:r>
    </w:p>
    <w:p w14:paraId="17CFC8F5">
      <w:pPr>
        <w:pStyle w:val="2"/>
        <w:keepNext w:val="0"/>
        <w:keepLines w:val="0"/>
        <w:pageBreakBefore w:val="0"/>
        <w:widowControl w:val="0"/>
        <w:kinsoku/>
        <w:wordWrap/>
        <w:overflowPunct/>
        <w:topLinePunct w:val="0"/>
        <w:autoSpaceDE/>
        <w:autoSpaceDN/>
        <w:bidi w:val="0"/>
        <w:snapToGrid/>
        <w:spacing w:after="0" w:line="579" w:lineRule="exact"/>
        <w:ind w:firstLine="632" w:firstLineChars="200"/>
        <w:textAlignment w:val="auto"/>
        <w:rPr>
          <w:rFonts w:ascii="Times New Roman" w:hAnsi="Times New Roman" w:eastAsia="仿宋_GB2312"/>
          <w:color w:val="auto"/>
          <w:kern w:val="34"/>
        </w:rPr>
      </w:pPr>
      <w:r>
        <w:rPr>
          <w:rFonts w:hint="eastAsia" w:ascii="Times New Roman" w:hAnsi="Times New Roman" w:eastAsia="黑体"/>
          <w:color w:val="auto"/>
          <w:kern w:val="34"/>
        </w:rPr>
        <w:t>9</w:t>
      </w:r>
      <w:r>
        <w:rPr>
          <w:rFonts w:ascii="Times New Roman" w:hAnsi="Times New Roman" w:eastAsia="黑体"/>
          <w:color w:val="auto"/>
          <w:kern w:val="34"/>
        </w:rPr>
        <w:t>. 科创政银担：</w:t>
      </w:r>
      <w:r>
        <w:rPr>
          <w:rFonts w:ascii="Times New Roman" w:hAnsi="Times New Roman" w:eastAsia="仿宋_GB2312"/>
          <w:color w:val="auto"/>
          <w:kern w:val="34"/>
        </w:rPr>
        <w:t>是指瑶海区为助力科创型中小微企业融资，推出的金融产品。风险资金池总规模为4000万元，由省市各级担保机构、合作银行、区平台公司按照比例分担风险责任，企业无需提供反担保抵押物。</w:t>
      </w:r>
    </w:p>
    <w:p w14:paraId="65C1B99C">
      <w:pPr>
        <w:pStyle w:val="3"/>
        <w:keepNext w:val="0"/>
        <w:keepLines w:val="0"/>
        <w:pageBreakBefore w:val="0"/>
        <w:widowControl w:val="0"/>
        <w:kinsoku/>
        <w:wordWrap/>
        <w:overflowPunct/>
        <w:topLinePunct w:val="0"/>
        <w:autoSpaceDE/>
        <w:autoSpaceDN/>
        <w:bidi w:val="0"/>
        <w:snapToGrid/>
        <w:spacing w:line="579" w:lineRule="exact"/>
        <w:ind w:left="0" w:firstLine="632" w:firstLineChars="200"/>
        <w:textAlignment w:val="auto"/>
        <w:rPr>
          <w:rFonts w:ascii="Times New Roman" w:hAnsi="Times New Roman" w:eastAsia="仿宋_GB2312"/>
          <w:color w:val="auto"/>
          <w:kern w:val="34"/>
        </w:rPr>
      </w:pPr>
      <w:r>
        <w:rPr>
          <w:rFonts w:hint="eastAsia" w:ascii="Times New Roman" w:hAnsi="Times New Roman" w:eastAsia="黑体"/>
          <w:color w:val="auto"/>
          <w:kern w:val="34"/>
        </w:rPr>
        <w:t>10</w:t>
      </w:r>
      <w:r>
        <w:rPr>
          <w:rFonts w:ascii="Times New Roman" w:hAnsi="Times New Roman" w:eastAsia="黑体"/>
          <w:color w:val="auto"/>
          <w:kern w:val="34"/>
        </w:rPr>
        <w:t>. 五外联动：</w:t>
      </w:r>
      <w:r>
        <w:rPr>
          <w:rFonts w:ascii="Times New Roman" w:hAnsi="Times New Roman" w:eastAsia="仿宋_GB2312"/>
          <w:color w:val="auto"/>
          <w:kern w:val="34"/>
        </w:rPr>
        <w:t>是指构建外贸、外资、外包、外经、外智“五外联动”工作新格局，通过联强产业、联建平台、联培企业、联拓市场、联创品牌、联防风险6个联动方向，着力推动对外贸易提质培优、利用外资提质增量、服务外包提质升级、对外经济合作提质增效、引进外智提质创新，汇聚国际经济合作和竞争新优势，推进高水平对外开放。</w:t>
      </w:r>
    </w:p>
    <w:p w14:paraId="323406D1">
      <w:pPr>
        <w:keepNext w:val="0"/>
        <w:keepLines w:val="0"/>
        <w:pageBreakBefore w:val="0"/>
        <w:widowControl w:val="0"/>
        <w:kinsoku/>
        <w:wordWrap/>
        <w:overflowPunct/>
        <w:topLinePunct w:val="0"/>
        <w:autoSpaceDE/>
        <w:autoSpaceDN/>
        <w:bidi w:val="0"/>
        <w:snapToGrid/>
        <w:spacing w:line="579" w:lineRule="exact"/>
        <w:ind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1</w:t>
      </w:r>
      <w:r>
        <w:rPr>
          <w:rFonts w:hint="eastAsia" w:ascii="Times New Roman" w:hAnsi="Times New Roman" w:eastAsia="黑体"/>
          <w:color w:val="auto"/>
          <w:kern w:val="34"/>
        </w:rPr>
        <w:t>1</w:t>
      </w:r>
      <w:r>
        <w:rPr>
          <w:rFonts w:ascii="Times New Roman" w:hAnsi="Times New Roman" w:eastAsia="黑体"/>
          <w:color w:val="auto"/>
          <w:kern w:val="34"/>
        </w:rPr>
        <w:t>. 三坚决两确保：</w:t>
      </w:r>
      <w:r>
        <w:rPr>
          <w:rFonts w:ascii="Times New Roman" w:hAnsi="Times New Roman" w:eastAsia="仿宋_GB2312"/>
          <w:color w:val="auto"/>
          <w:kern w:val="34"/>
        </w:rPr>
        <w:t>是指坚决杜绝较大事故，坚决杜绝亡人火灾，坚决遏制一般事故，确保生产安全事故数和亡人数“双下降”。</w:t>
      </w:r>
    </w:p>
    <w:p w14:paraId="0375A453">
      <w:pPr>
        <w:pStyle w:val="2"/>
        <w:keepNext w:val="0"/>
        <w:keepLines w:val="0"/>
        <w:pageBreakBefore w:val="0"/>
        <w:widowControl w:val="0"/>
        <w:kinsoku/>
        <w:wordWrap/>
        <w:overflowPunct/>
        <w:topLinePunct w:val="0"/>
        <w:autoSpaceDE/>
        <w:autoSpaceDN/>
        <w:bidi w:val="0"/>
        <w:snapToGrid/>
        <w:spacing w:after="0" w:line="579" w:lineRule="exact"/>
        <w:ind w:firstLine="632" w:firstLineChars="200"/>
        <w:textAlignment w:val="auto"/>
        <w:rPr>
          <w:rFonts w:ascii="Times New Roman" w:hAnsi="Times New Roman" w:eastAsia="仿宋_GB2312"/>
          <w:color w:val="auto"/>
          <w:kern w:val="34"/>
        </w:rPr>
      </w:pPr>
      <w:r>
        <w:rPr>
          <w:rFonts w:ascii="Times New Roman" w:hAnsi="Times New Roman" w:eastAsia="黑体"/>
          <w:color w:val="auto"/>
          <w:kern w:val="34"/>
        </w:rPr>
        <w:t>1</w:t>
      </w:r>
      <w:r>
        <w:rPr>
          <w:rFonts w:hint="eastAsia" w:ascii="Times New Roman" w:hAnsi="Times New Roman" w:eastAsia="黑体"/>
          <w:color w:val="auto"/>
          <w:kern w:val="34"/>
        </w:rPr>
        <w:t>2</w:t>
      </w:r>
      <w:r>
        <w:rPr>
          <w:rFonts w:ascii="Times New Roman" w:hAnsi="Times New Roman" w:eastAsia="黑体"/>
          <w:color w:val="auto"/>
          <w:kern w:val="34"/>
        </w:rPr>
        <w:t>.</w:t>
      </w:r>
      <w:r>
        <w:rPr>
          <w:rFonts w:hint="eastAsia" w:ascii="Times New Roman" w:hAnsi="Times New Roman" w:eastAsia="黑体"/>
          <w:color w:val="auto"/>
          <w:kern w:val="34"/>
        </w:rPr>
        <w:t xml:space="preserve"> </w:t>
      </w:r>
      <w:r>
        <w:rPr>
          <w:rFonts w:ascii="Times New Roman" w:hAnsi="Times New Roman" w:eastAsia="黑体"/>
          <w:color w:val="auto"/>
          <w:kern w:val="34"/>
        </w:rPr>
        <w:t>三个中心：</w:t>
      </w:r>
      <w:r>
        <w:rPr>
          <w:rFonts w:ascii="Times New Roman" w:hAnsi="Times New Roman" w:eastAsia="仿宋_GB2312"/>
          <w:color w:val="auto"/>
          <w:kern w:val="34"/>
        </w:rPr>
        <w:t>是指群众来访接待中心、矛盾纠纷多元化解调处中心、社会治安综合治理中心。</w:t>
      </w:r>
    </w:p>
    <w:p w14:paraId="41423A72">
      <w:pPr>
        <w:pStyle w:val="3"/>
        <w:keepNext w:val="0"/>
        <w:keepLines w:val="0"/>
        <w:pageBreakBefore w:val="0"/>
        <w:widowControl w:val="0"/>
        <w:kinsoku/>
        <w:wordWrap/>
        <w:overflowPunct/>
        <w:topLinePunct w:val="0"/>
        <w:autoSpaceDE/>
        <w:autoSpaceDN/>
        <w:bidi w:val="0"/>
        <w:snapToGrid/>
        <w:spacing w:line="579" w:lineRule="exact"/>
        <w:ind w:left="0"/>
        <w:textAlignment w:val="auto"/>
        <w:rPr>
          <w:rFonts w:ascii="Times New Roman" w:hAnsi="Times New Roman" w:eastAsia="仿宋_GB2312"/>
          <w:color w:val="auto"/>
          <w:kern w:val="34"/>
        </w:rPr>
      </w:pPr>
    </w:p>
    <w:sectPr>
      <w:footerReference r:id="rId3" w:type="default"/>
      <w:pgSz w:w="11906" w:h="16838"/>
      <w:pgMar w:top="2098" w:right="1474" w:bottom="1985" w:left="1588" w:header="851" w:footer="1418"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8DA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A8C16">
                          <w:pPr>
                            <w:pStyle w:val="8"/>
                            <w:rPr>
                              <w:rFonts w:ascii="宋体" w:hAnsi="宋体" w:cs="宋体"/>
                              <w:color w:val="FFFFFF" w:themeColor="background1"/>
                              <w:sz w:val="28"/>
                              <w:szCs w:val="28"/>
                              <w14:textFill>
                                <w14:solidFill>
                                  <w14:schemeClr w14:val="bg1"/>
                                </w14:solidFill>
                              </w14:textFill>
                            </w:rPr>
                          </w:pPr>
                          <w:r>
                            <w:rPr>
                              <w:rFonts w:hint="eastAsia" w:ascii="宋体" w:hAnsi="宋体" w:cs="宋体"/>
                              <w:color w:val="FFFFFF" w:themeColor="background1"/>
                              <w:sz w:val="28"/>
                              <w:szCs w:val="28"/>
                              <w14:textFill>
                                <w14:solidFill>
                                  <w14:schemeClr w14:val="bg1"/>
                                </w14:solidFill>
                              </w14:textFill>
                            </w:rPr>
                            <w:t>—</w:t>
                          </w: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w:t>
                          </w:r>
                          <w:r>
                            <w:rPr>
                              <w:rFonts w:hint="eastAsia" w:ascii="宋体" w:hAnsi="宋体" w:cs="宋体"/>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AA8C16">
                    <w:pPr>
                      <w:pStyle w:val="8"/>
                      <w:rPr>
                        <w:rFonts w:ascii="宋体" w:hAnsi="宋体" w:cs="宋体"/>
                        <w:color w:val="FFFFFF" w:themeColor="background1"/>
                        <w:sz w:val="28"/>
                        <w:szCs w:val="28"/>
                        <w14:textFill>
                          <w14:solidFill>
                            <w14:schemeClr w14:val="bg1"/>
                          </w14:solidFill>
                        </w14:textFill>
                      </w:rPr>
                    </w:pPr>
                    <w:r>
                      <w:rPr>
                        <w:rFonts w:hint="eastAsia" w:ascii="宋体" w:hAnsi="宋体" w:cs="宋体"/>
                        <w:color w:val="FFFFFF" w:themeColor="background1"/>
                        <w:sz w:val="28"/>
                        <w:szCs w:val="28"/>
                        <w14:textFill>
                          <w14:solidFill>
                            <w14:schemeClr w14:val="bg1"/>
                          </w14:solidFill>
                        </w14:textFill>
                      </w:rPr>
                      <w:t>—</w:t>
                    </w: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w:t>
                    </w:r>
                    <w:r>
                      <w:rPr>
                        <w:rFonts w:hint="eastAsia" w:ascii="宋体" w:hAnsi="宋体" w:cs="宋体"/>
                        <w:color w:val="FFFFFF" w:themeColor="background1"/>
                        <w:sz w:val="28"/>
                        <w:szCs w:val="28"/>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TZkNTQzNGMyNmNhMjA2ZGY0OGExZWNhOTg3ZTQifQ=="/>
  </w:docVars>
  <w:rsids>
    <w:rsidRoot w:val="590569A9"/>
    <w:rsid w:val="00016FAF"/>
    <w:rsid w:val="00020186"/>
    <w:rsid w:val="000206DE"/>
    <w:rsid w:val="000335A9"/>
    <w:rsid w:val="000407CC"/>
    <w:rsid w:val="00040E5A"/>
    <w:rsid w:val="00042888"/>
    <w:rsid w:val="00046F04"/>
    <w:rsid w:val="000544F8"/>
    <w:rsid w:val="000549FB"/>
    <w:rsid w:val="00054C2E"/>
    <w:rsid w:val="000550CF"/>
    <w:rsid w:val="00055F3F"/>
    <w:rsid w:val="00057DA2"/>
    <w:rsid w:val="00064435"/>
    <w:rsid w:val="000829C5"/>
    <w:rsid w:val="00095FB3"/>
    <w:rsid w:val="000B0939"/>
    <w:rsid w:val="000C079F"/>
    <w:rsid w:val="000C45D9"/>
    <w:rsid w:val="000C7CFA"/>
    <w:rsid w:val="000C7EDD"/>
    <w:rsid w:val="000D464D"/>
    <w:rsid w:val="000E185E"/>
    <w:rsid w:val="000F4778"/>
    <w:rsid w:val="00102254"/>
    <w:rsid w:val="00106527"/>
    <w:rsid w:val="001137C6"/>
    <w:rsid w:val="00114866"/>
    <w:rsid w:val="00135FAB"/>
    <w:rsid w:val="00140B47"/>
    <w:rsid w:val="00144C1A"/>
    <w:rsid w:val="001453FE"/>
    <w:rsid w:val="001455FD"/>
    <w:rsid w:val="00150AD0"/>
    <w:rsid w:val="0015112F"/>
    <w:rsid w:val="0015240B"/>
    <w:rsid w:val="00155E39"/>
    <w:rsid w:val="00156881"/>
    <w:rsid w:val="0016696E"/>
    <w:rsid w:val="001766FF"/>
    <w:rsid w:val="0017737B"/>
    <w:rsid w:val="00181B8E"/>
    <w:rsid w:val="00184F73"/>
    <w:rsid w:val="00185313"/>
    <w:rsid w:val="001878C2"/>
    <w:rsid w:val="001933EC"/>
    <w:rsid w:val="00193465"/>
    <w:rsid w:val="00193DF6"/>
    <w:rsid w:val="001A25EE"/>
    <w:rsid w:val="001A2968"/>
    <w:rsid w:val="001B6540"/>
    <w:rsid w:val="001B6B68"/>
    <w:rsid w:val="001B7CBA"/>
    <w:rsid w:val="001E7594"/>
    <w:rsid w:val="001F0E67"/>
    <w:rsid w:val="001F401D"/>
    <w:rsid w:val="001F6413"/>
    <w:rsid w:val="001F7577"/>
    <w:rsid w:val="001F7CAA"/>
    <w:rsid w:val="002204D2"/>
    <w:rsid w:val="00227A4B"/>
    <w:rsid w:val="00230656"/>
    <w:rsid w:val="00243C03"/>
    <w:rsid w:val="00243C94"/>
    <w:rsid w:val="00262F70"/>
    <w:rsid w:val="00263EAE"/>
    <w:rsid w:val="00271467"/>
    <w:rsid w:val="00273459"/>
    <w:rsid w:val="00274274"/>
    <w:rsid w:val="00276629"/>
    <w:rsid w:val="00283832"/>
    <w:rsid w:val="0028585C"/>
    <w:rsid w:val="0029259E"/>
    <w:rsid w:val="002A31FA"/>
    <w:rsid w:val="002A372D"/>
    <w:rsid w:val="002C1AF3"/>
    <w:rsid w:val="002C71EB"/>
    <w:rsid w:val="002D44EA"/>
    <w:rsid w:val="002D59BC"/>
    <w:rsid w:val="002E0C38"/>
    <w:rsid w:val="002E16A9"/>
    <w:rsid w:val="002E527F"/>
    <w:rsid w:val="002E52AA"/>
    <w:rsid w:val="002F0EE5"/>
    <w:rsid w:val="002F2541"/>
    <w:rsid w:val="002F2C5E"/>
    <w:rsid w:val="00300514"/>
    <w:rsid w:val="0030258E"/>
    <w:rsid w:val="003042D6"/>
    <w:rsid w:val="0032055A"/>
    <w:rsid w:val="0032152A"/>
    <w:rsid w:val="00325E43"/>
    <w:rsid w:val="00333726"/>
    <w:rsid w:val="00335A89"/>
    <w:rsid w:val="003433C2"/>
    <w:rsid w:val="00344D59"/>
    <w:rsid w:val="00344DE9"/>
    <w:rsid w:val="00347898"/>
    <w:rsid w:val="003527F0"/>
    <w:rsid w:val="0035506B"/>
    <w:rsid w:val="00355FE0"/>
    <w:rsid w:val="00360E08"/>
    <w:rsid w:val="00362A24"/>
    <w:rsid w:val="003643A6"/>
    <w:rsid w:val="00364BCC"/>
    <w:rsid w:val="00365993"/>
    <w:rsid w:val="0037169E"/>
    <w:rsid w:val="0037736C"/>
    <w:rsid w:val="00377B2E"/>
    <w:rsid w:val="00381B01"/>
    <w:rsid w:val="0038363A"/>
    <w:rsid w:val="00385D7E"/>
    <w:rsid w:val="00393452"/>
    <w:rsid w:val="00394485"/>
    <w:rsid w:val="003A2243"/>
    <w:rsid w:val="003B22A5"/>
    <w:rsid w:val="003D0404"/>
    <w:rsid w:val="003D2DA4"/>
    <w:rsid w:val="003E3E0B"/>
    <w:rsid w:val="003E4F46"/>
    <w:rsid w:val="003E61B3"/>
    <w:rsid w:val="003F1CFC"/>
    <w:rsid w:val="003F5509"/>
    <w:rsid w:val="003F70FF"/>
    <w:rsid w:val="004042F4"/>
    <w:rsid w:val="00421C73"/>
    <w:rsid w:val="00426EEE"/>
    <w:rsid w:val="00434A6B"/>
    <w:rsid w:val="004351E2"/>
    <w:rsid w:val="004368FD"/>
    <w:rsid w:val="00436D46"/>
    <w:rsid w:val="00440FD8"/>
    <w:rsid w:val="00442CBD"/>
    <w:rsid w:val="00462C59"/>
    <w:rsid w:val="0046757C"/>
    <w:rsid w:val="00472A4D"/>
    <w:rsid w:val="00474A28"/>
    <w:rsid w:val="004865B0"/>
    <w:rsid w:val="00486E90"/>
    <w:rsid w:val="00487454"/>
    <w:rsid w:val="004A0119"/>
    <w:rsid w:val="004A1E6C"/>
    <w:rsid w:val="004A54A9"/>
    <w:rsid w:val="004A642F"/>
    <w:rsid w:val="004A7CBE"/>
    <w:rsid w:val="004B797D"/>
    <w:rsid w:val="004C01F5"/>
    <w:rsid w:val="004C0DC1"/>
    <w:rsid w:val="004C17B2"/>
    <w:rsid w:val="004C213C"/>
    <w:rsid w:val="004C230B"/>
    <w:rsid w:val="004D5858"/>
    <w:rsid w:val="004D6A14"/>
    <w:rsid w:val="004D73A4"/>
    <w:rsid w:val="004D7844"/>
    <w:rsid w:val="004E1177"/>
    <w:rsid w:val="004E474E"/>
    <w:rsid w:val="004E499F"/>
    <w:rsid w:val="004F134A"/>
    <w:rsid w:val="004F3E0C"/>
    <w:rsid w:val="004F4018"/>
    <w:rsid w:val="00500138"/>
    <w:rsid w:val="0050369C"/>
    <w:rsid w:val="005053FA"/>
    <w:rsid w:val="00511469"/>
    <w:rsid w:val="0051266C"/>
    <w:rsid w:val="0051280A"/>
    <w:rsid w:val="00512A07"/>
    <w:rsid w:val="00525358"/>
    <w:rsid w:val="005343DB"/>
    <w:rsid w:val="00536159"/>
    <w:rsid w:val="00540DEE"/>
    <w:rsid w:val="00541678"/>
    <w:rsid w:val="00543816"/>
    <w:rsid w:val="005471CD"/>
    <w:rsid w:val="005510EC"/>
    <w:rsid w:val="00554CB8"/>
    <w:rsid w:val="00554D2D"/>
    <w:rsid w:val="00557ECE"/>
    <w:rsid w:val="0056722D"/>
    <w:rsid w:val="005714C6"/>
    <w:rsid w:val="00571C30"/>
    <w:rsid w:val="00572900"/>
    <w:rsid w:val="00573A04"/>
    <w:rsid w:val="00574A7F"/>
    <w:rsid w:val="0057737E"/>
    <w:rsid w:val="00577C9C"/>
    <w:rsid w:val="0059609F"/>
    <w:rsid w:val="0059749F"/>
    <w:rsid w:val="005A53EA"/>
    <w:rsid w:val="005A6BF1"/>
    <w:rsid w:val="005A7010"/>
    <w:rsid w:val="005B055E"/>
    <w:rsid w:val="005B4355"/>
    <w:rsid w:val="005B6B28"/>
    <w:rsid w:val="005C2714"/>
    <w:rsid w:val="005C32FE"/>
    <w:rsid w:val="005D03A3"/>
    <w:rsid w:val="005D5747"/>
    <w:rsid w:val="005D72F3"/>
    <w:rsid w:val="005E2920"/>
    <w:rsid w:val="005E3FED"/>
    <w:rsid w:val="005E65BD"/>
    <w:rsid w:val="005F467F"/>
    <w:rsid w:val="0060063F"/>
    <w:rsid w:val="0060434F"/>
    <w:rsid w:val="00611A11"/>
    <w:rsid w:val="00613669"/>
    <w:rsid w:val="00620199"/>
    <w:rsid w:val="006212B7"/>
    <w:rsid w:val="006423C6"/>
    <w:rsid w:val="006438F3"/>
    <w:rsid w:val="00647A35"/>
    <w:rsid w:val="00654A9C"/>
    <w:rsid w:val="0066297E"/>
    <w:rsid w:val="006709B6"/>
    <w:rsid w:val="00671552"/>
    <w:rsid w:val="00685300"/>
    <w:rsid w:val="006A3D0F"/>
    <w:rsid w:val="006A618D"/>
    <w:rsid w:val="006B213C"/>
    <w:rsid w:val="006B31D8"/>
    <w:rsid w:val="006C3B00"/>
    <w:rsid w:val="006C59D4"/>
    <w:rsid w:val="006E0731"/>
    <w:rsid w:val="006E1339"/>
    <w:rsid w:val="006E259B"/>
    <w:rsid w:val="006E40BA"/>
    <w:rsid w:val="006E762F"/>
    <w:rsid w:val="006F089C"/>
    <w:rsid w:val="006F18AF"/>
    <w:rsid w:val="00700D20"/>
    <w:rsid w:val="00702D1B"/>
    <w:rsid w:val="00705A6E"/>
    <w:rsid w:val="007078A8"/>
    <w:rsid w:val="00710F1A"/>
    <w:rsid w:val="007124E1"/>
    <w:rsid w:val="00713D66"/>
    <w:rsid w:val="00714383"/>
    <w:rsid w:val="00714455"/>
    <w:rsid w:val="00723374"/>
    <w:rsid w:val="00731FC9"/>
    <w:rsid w:val="00740426"/>
    <w:rsid w:val="00753DEB"/>
    <w:rsid w:val="007602F2"/>
    <w:rsid w:val="007621FF"/>
    <w:rsid w:val="0076470C"/>
    <w:rsid w:val="00770A0B"/>
    <w:rsid w:val="00775114"/>
    <w:rsid w:val="0077518F"/>
    <w:rsid w:val="00780DB0"/>
    <w:rsid w:val="007A039D"/>
    <w:rsid w:val="007A0498"/>
    <w:rsid w:val="007A1382"/>
    <w:rsid w:val="007A43C9"/>
    <w:rsid w:val="007B3F05"/>
    <w:rsid w:val="007D5333"/>
    <w:rsid w:val="007E677E"/>
    <w:rsid w:val="00801CDA"/>
    <w:rsid w:val="0080755A"/>
    <w:rsid w:val="00807ACF"/>
    <w:rsid w:val="00807C81"/>
    <w:rsid w:val="00810F84"/>
    <w:rsid w:val="00814025"/>
    <w:rsid w:val="00824069"/>
    <w:rsid w:val="00830E4D"/>
    <w:rsid w:val="00831BEF"/>
    <w:rsid w:val="00834210"/>
    <w:rsid w:val="00836AEC"/>
    <w:rsid w:val="008408DC"/>
    <w:rsid w:val="00840D6D"/>
    <w:rsid w:val="00853C75"/>
    <w:rsid w:val="00857F0D"/>
    <w:rsid w:val="00863941"/>
    <w:rsid w:val="00864120"/>
    <w:rsid w:val="008810A7"/>
    <w:rsid w:val="00892741"/>
    <w:rsid w:val="00892A8E"/>
    <w:rsid w:val="008954EA"/>
    <w:rsid w:val="008A0B8C"/>
    <w:rsid w:val="008A1247"/>
    <w:rsid w:val="008B0933"/>
    <w:rsid w:val="008B4436"/>
    <w:rsid w:val="008B5758"/>
    <w:rsid w:val="008C081D"/>
    <w:rsid w:val="008C2A07"/>
    <w:rsid w:val="008C6A88"/>
    <w:rsid w:val="008D0D9A"/>
    <w:rsid w:val="008D5728"/>
    <w:rsid w:val="00904C23"/>
    <w:rsid w:val="00920E10"/>
    <w:rsid w:val="00921E97"/>
    <w:rsid w:val="00926DA5"/>
    <w:rsid w:val="00927C1F"/>
    <w:rsid w:val="009362E7"/>
    <w:rsid w:val="009373E7"/>
    <w:rsid w:val="00947338"/>
    <w:rsid w:val="00950724"/>
    <w:rsid w:val="009509AC"/>
    <w:rsid w:val="00954143"/>
    <w:rsid w:val="00954951"/>
    <w:rsid w:val="00962455"/>
    <w:rsid w:val="00965272"/>
    <w:rsid w:val="00965708"/>
    <w:rsid w:val="009806F2"/>
    <w:rsid w:val="00980900"/>
    <w:rsid w:val="00980D76"/>
    <w:rsid w:val="009905CB"/>
    <w:rsid w:val="00990F7A"/>
    <w:rsid w:val="009A3E75"/>
    <w:rsid w:val="009A6CCB"/>
    <w:rsid w:val="009B225A"/>
    <w:rsid w:val="009B45FA"/>
    <w:rsid w:val="009B50F4"/>
    <w:rsid w:val="009C497D"/>
    <w:rsid w:val="009C74D5"/>
    <w:rsid w:val="009D5BAF"/>
    <w:rsid w:val="009E0113"/>
    <w:rsid w:val="009E3CEC"/>
    <w:rsid w:val="009E3E79"/>
    <w:rsid w:val="009F10F9"/>
    <w:rsid w:val="009F17B9"/>
    <w:rsid w:val="009F5FC2"/>
    <w:rsid w:val="00A013E6"/>
    <w:rsid w:val="00A05C24"/>
    <w:rsid w:val="00A076E2"/>
    <w:rsid w:val="00A12825"/>
    <w:rsid w:val="00A21968"/>
    <w:rsid w:val="00A26303"/>
    <w:rsid w:val="00A27AA0"/>
    <w:rsid w:val="00A353E2"/>
    <w:rsid w:val="00A45ED3"/>
    <w:rsid w:val="00A621B2"/>
    <w:rsid w:val="00A76291"/>
    <w:rsid w:val="00A76749"/>
    <w:rsid w:val="00A93595"/>
    <w:rsid w:val="00A96679"/>
    <w:rsid w:val="00A97AC9"/>
    <w:rsid w:val="00A97BAD"/>
    <w:rsid w:val="00AA2C4F"/>
    <w:rsid w:val="00AA5157"/>
    <w:rsid w:val="00AC24AF"/>
    <w:rsid w:val="00AC6815"/>
    <w:rsid w:val="00AD45AC"/>
    <w:rsid w:val="00AE109F"/>
    <w:rsid w:val="00AE2C98"/>
    <w:rsid w:val="00AE638F"/>
    <w:rsid w:val="00AF0970"/>
    <w:rsid w:val="00AF1CBF"/>
    <w:rsid w:val="00AF4559"/>
    <w:rsid w:val="00AF4A8A"/>
    <w:rsid w:val="00B02A98"/>
    <w:rsid w:val="00B1303C"/>
    <w:rsid w:val="00B16AE1"/>
    <w:rsid w:val="00B21305"/>
    <w:rsid w:val="00B2422F"/>
    <w:rsid w:val="00B4662C"/>
    <w:rsid w:val="00B50BEE"/>
    <w:rsid w:val="00B517D6"/>
    <w:rsid w:val="00B5470D"/>
    <w:rsid w:val="00B5554A"/>
    <w:rsid w:val="00B561ED"/>
    <w:rsid w:val="00B60A43"/>
    <w:rsid w:val="00B65B2F"/>
    <w:rsid w:val="00B748E9"/>
    <w:rsid w:val="00B7675B"/>
    <w:rsid w:val="00B80790"/>
    <w:rsid w:val="00B80B99"/>
    <w:rsid w:val="00B84352"/>
    <w:rsid w:val="00B86271"/>
    <w:rsid w:val="00B90025"/>
    <w:rsid w:val="00BA52E5"/>
    <w:rsid w:val="00BB1A50"/>
    <w:rsid w:val="00BB30CF"/>
    <w:rsid w:val="00BB6532"/>
    <w:rsid w:val="00BB758A"/>
    <w:rsid w:val="00BE6FEB"/>
    <w:rsid w:val="00BF0E19"/>
    <w:rsid w:val="00BF55E9"/>
    <w:rsid w:val="00BF5FF4"/>
    <w:rsid w:val="00C07A38"/>
    <w:rsid w:val="00C10ADB"/>
    <w:rsid w:val="00C160E4"/>
    <w:rsid w:val="00C35F7D"/>
    <w:rsid w:val="00C40D19"/>
    <w:rsid w:val="00C52A8C"/>
    <w:rsid w:val="00C53913"/>
    <w:rsid w:val="00C576C0"/>
    <w:rsid w:val="00C602C3"/>
    <w:rsid w:val="00C623AE"/>
    <w:rsid w:val="00C8113C"/>
    <w:rsid w:val="00C90F42"/>
    <w:rsid w:val="00C957BC"/>
    <w:rsid w:val="00C96AEA"/>
    <w:rsid w:val="00CA1E8A"/>
    <w:rsid w:val="00CA2CDC"/>
    <w:rsid w:val="00CC15B1"/>
    <w:rsid w:val="00CD1765"/>
    <w:rsid w:val="00CD2B63"/>
    <w:rsid w:val="00CE0511"/>
    <w:rsid w:val="00CE35D2"/>
    <w:rsid w:val="00CE4562"/>
    <w:rsid w:val="00CE7DC0"/>
    <w:rsid w:val="00CF55DD"/>
    <w:rsid w:val="00CF69D2"/>
    <w:rsid w:val="00D1253A"/>
    <w:rsid w:val="00D17AB3"/>
    <w:rsid w:val="00D2222C"/>
    <w:rsid w:val="00D241D2"/>
    <w:rsid w:val="00D25F0A"/>
    <w:rsid w:val="00D27D66"/>
    <w:rsid w:val="00D30336"/>
    <w:rsid w:val="00D33199"/>
    <w:rsid w:val="00D43100"/>
    <w:rsid w:val="00D43500"/>
    <w:rsid w:val="00D51689"/>
    <w:rsid w:val="00D523A7"/>
    <w:rsid w:val="00D53D59"/>
    <w:rsid w:val="00D56F88"/>
    <w:rsid w:val="00D74F0D"/>
    <w:rsid w:val="00D75FE0"/>
    <w:rsid w:val="00D760BE"/>
    <w:rsid w:val="00D82063"/>
    <w:rsid w:val="00D858B0"/>
    <w:rsid w:val="00D92D0F"/>
    <w:rsid w:val="00DA41CA"/>
    <w:rsid w:val="00DA775A"/>
    <w:rsid w:val="00DB546D"/>
    <w:rsid w:val="00DB72E1"/>
    <w:rsid w:val="00DC1B9D"/>
    <w:rsid w:val="00DC1BEF"/>
    <w:rsid w:val="00DC4831"/>
    <w:rsid w:val="00DD07E9"/>
    <w:rsid w:val="00DD51D4"/>
    <w:rsid w:val="00DF2830"/>
    <w:rsid w:val="00DF5058"/>
    <w:rsid w:val="00DF5F9D"/>
    <w:rsid w:val="00E03DD9"/>
    <w:rsid w:val="00E05A8B"/>
    <w:rsid w:val="00E05E95"/>
    <w:rsid w:val="00E258EC"/>
    <w:rsid w:val="00E2646E"/>
    <w:rsid w:val="00E314FB"/>
    <w:rsid w:val="00E32832"/>
    <w:rsid w:val="00E34B52"/>
    <w:rsid w:val="00E35C4E"/>
    <w:rsid w:val="00E42A45"/>
    <w:rsid w:val="00E45CB1"/>
    <w:rsid w:val="00E52DC1"/>
    <w:rsid w:val="00E60D48"/>
    <w:rsid w:val="00E613E3"/>
    <w:rsid w:val="00E72D99"/>
    <w:rsid w:val="00EA3BE5"/>
    <w:rsid w:val="00EB18FB"/>
    <w:rsid w:val="00EC4164"/>
    <w:rsid w:val="00EC5B8A"/>
    <w:rsid w:val="00ED299A"/>
    <w:rsid w:val="00ED2AD5"/>
    <w:rsid w:val="00EE41F0"/>
    <w:rsid w:val="00EE6564"/>
    <w:rsid w:val="00EE6BA2"/>
    <w:rsid w:val="00EF02DE"/>
    <w:rsid w:val="00EF192A"/>
    <w:rsid w:val="00EF35FE"/>
    <w:rsid w:val="00F04922"/>
    <w:rsid w:val="00F10210"/>
    <w:rsid w:val="00F11806"/>
    <w:rsid w:val="00F30AC5"/>
    <w:rsid w:val="00F337AD"/>
    <w:rsid w:val="00F44AF5"/>
    <w:rsid w:val="00F4744F"/>
    <w:rsid w:val="00F52A63"/>
    <w:rsid w:val="00F62012"/>
    <w:rsid w:val="00F65811"/>
    <w:rsid w:val="00F65B94"/>
    <w:rsid w:val="00F678F4"/>
    <w:rsid w:val="00F712CE"/>
    <w:rsid w:val="00F72653"/>
    <w:rsid w:val="00F75825"/>
    <w:rsid w:val="00F77230"/>
    <w:rsid w:val="00F80FDA"/>
    <w:rsid w:val="00F8383A"/>
    <w:rsid w:val="00F96622"/>
    <w:rsid w:val="00FA05B5"/>
    <w:rsid w:val="00FA2197"/>
    <w:rsid w:val="00FA3A15"/>
    <w:rsid w:val="00FB6FD2"/>
    <w:rsid w:val="00FC1E89"/>
    <w:rsid w:val="00FC1EE2"/>
    <w:rsid w:val="00FC21A1"/>
    <w:rsid w:val="00FC5332"/>
    <w:rsid w:val="00FD20EB"/>
    <w:rsid w:val="00FD36A7"/>
    <w:rsid w:val="00FD5149"/>
    <w:rsid w:val="00FE501E"/>
    <w:rsid w:val="00FF6CF4"/>
    <w:rsid w:val="01086C64"/>
    <w:rsid w:val="015E6884"/>
    <w:rsid w:val="0192652E"/>
    <w:rsid w:val="01A230A5"/>
    <w:rsid w:val="01A52705"/>
    <w:rsid w:val="01B333B4"/>
    <w:rsid w:val="01E77AC7"/>
    <w:rsid w:val="01F66ABD"/>
    <w:rsid w:val="01FD609D"/>
    <w:rsid w:val="025E3202"/>
    <w:rsid w:val="027345B1"/>
    <w:rsid w:val="02F72AEC"/>
    <w:rsid w:val="031E451D"/>
    <w:rsid w:val="033864A3"/>
    <w:rsid w:val="03841A5E"/>
    <w:rsid w:val="04390EE3"/>
    <w:rsid w:val="045126D0"/>
    <w:rsid w:val="045D1075"/>
    <w:rsid w:val="04B476F2"/>
    <w:rsid w:val="04F05A45"/>
    <w:rsid w:val="04F96FF0"/>
    <w:rsid w:val="05656433"/>
    <w:rsid w:val="05722189"/>
    <w:rsid w:val="05A50F26"/>
    <w:rsid w:val="05AB7BBE"/>
    <w:rsid w:val="05B80C59"/>
    <w:rsid w:val="05CD17F4"/>
    <w:rsid w:val="05E455A5"/>
    <w:rsid w:val="05F23A3F"/>
    <w:rsid w:val="06013E79"/>
    <w:rsid w:val="06130461"/>
    <w:rsid w:val="062749A5"/>
    <w:rsid w:val="066B5CCB"/>
    <w:rsid w:val="06935222"/>
    <w:rsid w:val="07245E7A"/>
    <w:rsid w:val="07397B77"/>
    <w:rsid w:val="074402CA"/>
    <w:rsid w:val="074B1659"/>
    <w:rsid w:val="07533336"/>
    <w:rsid w:val="075A7AEE"/>
    <w:rsid w:val="077A1F3E"/>
    <w:rsid w:val="07B92A66"/>
    <w:rsid w:val="07C37441"/>
    <w:rsid w:val="07D16002"/>
    <w:rsid w:val="07E13553"/>
    <w:rsid w:val="088C017B"/>
    <w:rsid w:val="08F5429D"/>
    <w:rsid w:val="08FF26FB"/>
    <w:rsid w:val="09175C96"/>
    <w:rsid w:val="09371E95"/>
    <w:rsid w:val="09423865"/>
    <w:rsid w:val="097166E9"/>
    <w:rsid w:val="09743C90"/>
    <w:rsid w:val="09912F53"/>
    <w:rsid w:val="09BF1E8A"/>
    <w:rsid w:val="09CB6A81"/>
    <w:rsid w:val="0A026946"/>
    <w:rsid w:val="0A7B2255"/>
    <w:rsid w:val="0A8E01DA"/>
    <w:rsid w:val="0A9450C5"/>
    <w:rsid w:val="0A9926DB"/>
    <w:rsid w:val="0AA230F4"/>
    <w:rsid w:val="0AB262DD"/>
    <w:rsid w:val="0AE222D4"/>
    <w:rsid w:val="0AE71698"/>
    <w:rsid w:val="0B015A39"/>
    <w:rsid w:val="0B3D575C"/>
    <w:rsid w:val="0B664CB3"/>
    <w:rsid w:val="0B883F19"/>
    <w:rsid w:val="0B913D0B"/>
    <w:rsid w:val="0B9E269F"/>
    <w:rsid w:val="0BE856C8"/>
    <w:rsid w:val="0BFC73C5"/>
    <w:rsid w:val="0C000C64"/>
    <w:rsid w:val="0C0369A6"/>
    <w:rsid w:val="0C0A7D34"/>
    <w:rsid w:val="0C2F32F7"/>
    <w:rsid w:val="0C992E66"/>
    <w:rsid w:val="0CA75583"/>
    <w:rsid w:val="0CB832EC"/>
    <w:rsid w:val="0CF16B14"/>
    <w:rsid w:val="0CF54541"/>
    <w:rsid w:val="0CF63E15"/>
    <w:rsid w:val="0D0B6389"/>
    <w:rsid w:val="0D185045"/>
    <w:rsid w:val="0D200E92"/>
    <w:rsid w:val="0D336E17"/>
    <w:rsid w:val="0D660F9A"/>
    <w:rsid w:val="0D815DD4"/>
    <w:rsid w:val="0D927FE1"/>
    <w:rsid w:val="0DDC74AE"/>
    <w:rsid w:val="0E1529C0"/>
    <w:rsid w:val="0E230C39"/>
    <w:rsid w:val="0E5A03D3"/>
    <w:rsid w:val="0E6A6107"/>
    <w:rsid w:val="0E71409B"/>
    <w:rsid w:val="0EBE6BB4"/>
    <w:rsid w:val="0EC266A4"/>
    <w:rsid w:val="0F422B3E"/>
    <w:rsid w:val="0F696B20"/>
    <w:rsid w:val="0F8E2A2A"/>
    <w:rsid w:val="0FD22917"/>
    <w:rsid w:val="0FE20680"/>
    <w:rsid w:val="0FE703C9"/>
    <w:rsid w:val="0FF33D68"/>
    <w:rsid w:val="106B4B1A"/>
    <w:rsid w:val="107C6D27"/>
    <w:rsid w:val="10A26243"/>
    <w:rsid w:val="10B362E0"/>
    <w:rsid w:val="10DB1C9F"/>
    <w:rsid w:val="10F414EB"/>
    <w:rsid w:val="1178129C"/>
    <w:rsid w:val="119500A0"/>
    <w:rsid w:val="1246139A"/>
    <w:rsid w:val="124B1443"/>
    <w:rsid w:val="12850115"/>
    <w:rsid w:val="1299771C"/>
    <w:rsid w:val="13180F89"/>
    <w:rsid w:val="132C0590"/>
    <w:rsid w:val="13623FB2"/>
    <w:rsid w:val="138228A6"/>
    <w:rsid w:val="13871C6A"/>
    <w:rsid w:val="13E56991"/>
    <w:rsid w:val="13F76DF0"/>
    <w:rsid w:val="142676D5"/>
    <w:rsid w:val="14386810"/>
    <w:rsid w:val="14627FE2"/>
    <w:rsid w:val="14667AD2"/>
    <w:rsid w:val="149A777C"/>
    <w:rsid w:val="14B24AC5"/>
    <w:rsid w:val="14E82BDD"/>
    <w:rsid w:val="14ED3D4F"/>
    <w:rsid w:val="153876C0"/>
    <w:rsid w:val="15393438"/>
    <w:rsid w:val="15451DDD"/>
    <w:rsid w:val="15485429"/>
    <w:rsid w:val="15565D98"/>
    <w:rsid w:val="15601E59"/>
    <w:rsid w:val="158955F9"/>
    <w:rsid w:val="15A9236C"/>
    <w:rsid w:val="15AE34DE"/>
    <w:rsid w:val="15C2342E"/>
    <w:rsid w:val="15D05B4B"/>
    <w:rsid w:val="15D34412"/>
    <w:rsid w:val="15D72232"/>
    <w:rsid w:val="15E96C0C"/>
    <w:rsid w:val="15EA74CE"/>
    <w:rsid w:val="160F7CF5"/>
    <w:rsid w:val="16227A29"/>
    <w:rsid w:val="164200CB"/>
    <w:rsid w:val="165878EE"/>
    <w:rsid w:val="16C548DC"/>
    <w:rsid w:val="16D06AD9"/>
    <w:rsid w:val="16ED5E70"/>
    <w:rsid w:val="17005FBC"/>
    <w:rsid w:val="17091CDA"/>
    <w:rsid w:val="17571954"/>
    <w:rsid w:val="17626C76"/>
    <w:rsid w:val="1783099B"/>
    <w:rsid w:val="178C784F"/>
    <w:rsid w:val="17B374D2"/>
    <w:rsid w:val="17DA45A4"/>
    <w:rsid w:val="183028D1"/>
    <w:rsid w:val="185D2F9A"/>
    <w:rsid w:val="186E339C"/>
    <w:rsid w:val="18D23988"/>
    <w:rsid w:val="18D70712"/>
    <w:rsid w:val="18DE2A39"/>
    <w:rsid w:val="19045B0B"/>
    <w:rsid w:val="190A1374"/>
    <w:rsid w:val="192F0DDA"/>
    <w:rsid w:val="194169FE"/>
    <w:rsid w:val="19435B91"/>
    <w:rsid w:val="19536F26"/>
    <w:rsid w:val="198D78AF"/>
    <w:rsid w:val="199254FA"/>
    <w:rsid w:val="19B80DD0"/>
    <w:rsid w:val="19BB08C0"/>
    <w:rsid w:val="19CA28B1"/>
    <w:rsid w:val="19CC03D7"/>
    <w:rsid w:val="1A0B110D"/>
    <w:rsid w:val="1A246465"/>
    <w:rsid w:val="1A253F8B"/>
    <w:rsid w:val="1A383CBF"/>
    <w:rsid w:val="1A452D4F"/>
    <w:rsid w:val="1AA13AC4"/>
    <w:rsid w:val="1AA2738A"/>
    <w:rsid w:val="1AB05F4B"/>
    <w:rsid w:val="1B041DF3"/>
    <w:rsid w:val="1B1F09DB"/>
    <w:rsid w:val="1B222279"/>
    <w:rsid w:val="1B375D24"/>
    <w:rsid w:val="1B8A22F8"/>
    <w:rsid w:val="1C073948"/>
    <w:rsid w:val="1C5A616E"/>
    <w:rsid w:val="1C676ADD"/>
    <w:rsid w:val="1CB11B06"/>
    <w:rsid w:val="1CB3762C"/>
    <w:rsid w:val="1CE4012E"/>
    <w:rsid w:val="1CF739BD"/>
    <w:rsid w:val="1D156539"/>
    <w:rsid w:val="1D331687"/>
    <w:rsid w:val="1D61352C"/>
    <w:rsid w:val="1D6F5C49"/>
    <w:rsid w:val="1DEB2838"/>
    <w:rsid w:val="1E2C2F09"/>
    <w:rsid w:val="1E366767"/>
    <w:rsid w:val="1E696804"/>
    <w:rsid w:val="1F000ED7"/>
    <w:rsid w:val="1F0028D1"/>
    <w:rsid w:val="1F220A99"/>
    <w:rsid w:val="1FA85442"/>
    <w:rsid w:val="1FB04EF2"/>
    <w:rsid w:val="1FB77434"/>
    <w:rsid w:val="1FEB532F"/>
    <w:rsid w:val="1FED554B"/>
    <w:rsid w:val="20C242E2"/>
    <w:rsid w:val="212136FE"/>
    <w:rsid w:val="21940A1D"/>
    <w:rsid w:val="220628F4"/>
    <w:rsid w:val="22460F43"/>
    <w:rsid w:val="225B2C40"/>
    <w:rsid w:val="228A52D3"/>
    <w:rsid w:val="22912E22"/>
    <w:rsid w:val="22B81E40"/>
    <w:rsid w:val="22F866E1"/>
    <w:rsid w:val="234611FA"/>
    <w:rsid w:val="23B90077"/>
    <w:rsid w:val="23E95EED"/>
    <w:rsid w:val="245142FB"/>
    <w:rsid w:val="246A0F18"/>
    <w:rsid w:val="246D0A09"/>
    <w:rsid w:val="24A00DDE"/>
    <w:rsid w:val="24C0322E"/>
    <w:rsid w:val="24E76A0D"/>
    <w:rsid w:val="24ED38F7"/>
    <w:rsid w:val="24F50E8C"/>
    <w:rsid w:val="25164BFC"/>
    <w:rsid w:val="251C047B"/>
    <w:rsid w:val="255120D8"/>
    <w:rsid w:val="257007B0"/>
    <w:rsid w:val="25740633"/>
    <w:rsid w:val="258204E4"/>
    <w:rsid w:val="25CE197B"/>
    <w:rsid w:val="25DD396C"/>
    <w:rsid w:val="262E5F76"/>
    <w:rsid w:val="265F25D3"/>
    <w:rsid w:val="2687496B"/>
    <w:rsid w:val="26CF1507"/>
    <w:rsid w:val="26D10A3B"/>
    <w:rsid w:val="26FB7B30"/>
    <w:rsid w:val="270218DC"/>
    <w:rsid w:val="27133AE9"/>
    <w:rsid w:val="2725595E"/>
    <w:rsid w:val="27602AA7"/>
    <w:rsid w:val="27B150B0"/>
    <w:rsid w:val="27B506FD"/>
    <w:rsid w:val="27BC05B7"/>
    <w:rsid w:val="27F93CB5"/>
    <w:rsid w:val="27FF406E"/>
    <w:rsid w:val="27FF7BCA"/>
    <w:rsid w:val="28072F22"/>
    <w:rsid w:val="283A6E54"/>
    <w:rsid w:val="285C3E36"/>
    <w:rsid w:val="28AA3FD9"/>
    <w:rsid w:val="28DD3674"/>
    <w:rsid w:val="29037B8D"/>
    <w:rsid w:val="29231FDE"/>
    <w:rsid w:val="292C2C40"/>
    <w:rsid w:val="2995752D"/>
    <w:rsid w:val="29C54E43"/>
    <w:rsid w:val="2A336250"/>
    <w:rsid w:val="2A351FC9"/>
    <w:rsid w:val="2A36189D"/>
    <w:rsid w:val="2A3B470F"/>
    <w:rsid w:val="2A6D7434"/>
    <w:rsid w:val="2AA1140C"/>
    <w:rsid w:val="2AB35825"/>
    <w:rsid w:val="2AC11AAE"/>
    <w:rsid w:val="2ADE61BC"/>
    <w:rsid w:val="2AE8703B"/>
    <w:rsid w:val="2B8A38DA"/>
    <w:rsid w:val="2BBD2BE2"/>
    <w:rsid w:val="2BE315B0"/>
    <w:rsid w:val="2C1F083A"/>
    <w:rsid w:val="2C22032B"/>
    <w:rsid w:val="2C6426F1"/>
    <w:rsid w:val="2C7D0233"/>
    <w:rsid w:val="2CBA67B5"/>
    <w:rsid w:val="2CC66F08"/>
    <w:rsid w:val="2CE101E6"/>
    <w:rsid w:val="2CF37DC3"/>
    <w:rsid w:val="2D2B320F"/>
    <w:rsid w:val="2D2E7325"/>
    <w:rsid w:val="2D314CC9"/>
    <w:rsid w:val="2D386C8A"/>
    <w:rsid w:val="2D7749CA"/>
    <w:rsid w:val="2D9139BA"/>
    <w:rsid w:val="2DBF0527"/>
    <w:rsid w:val="2DD12008"/>
    <w:rsid w:val="2DDF6278"/>
    <w:rsid w:val="2DF06932"/>
    <w:rsid w:val="2E051CB2"/>
    <w:rsid w:val="2E0F2B31"/>
    <w:rsid w:val="2EAB0AAB"/>
    <w:rsid w:val="2EAC05D7"/>
    <w:rsid w:val="2ECE4FDA"/>
    <w:rsid w:val="2F135EBE"/>
    <w:rsid w:val="2F503401"/>
    <w:rsid w:val="2FFE4C0B"/>
    <w:rsid w:val="30055F99"/>
    <w:rsid w:val="303261EB"/>
    <w:rsid w:val="30526A50"/>
    <w:rsid w:val="305B02AF"/>
    <w:rsid w:val="307A0735"/>
    <w:rsid w:val="308710A4"/>
    <w:rsid w:val="30907F59"/>
    <w:rsid w:val="30B874AF"/>
    <w:rsid w:val="30FA3624"/>
    <w:rsid w:val="31083F93"/>
    <w:rsid w:val="31B22151"/>
    <w:rsid w:val="31E3055C"/>
    <w:rsid w:val="32026C34"/>
    <w:rsid w:val="3236068C"/>
    <w:rsid w:val="32607DFF"/>
    <w:rsid w:val="3268280F"/>
    <w:rsid w:val="32821B23"/>
    <w:rsid w:val="32987598"/>
    <w:rsid w:val="329B4993"/>
    <w:rsid w:val="32B37F2E"/>
    <w:rsid w:val="32F02F31"/>
    <w:rsid w:val="32F05DB0"/>
    <w:rsid w:val="331A02E0"/>
    <w:rsid w:val="3324596F"/>
    <w:rsid w:val="333C43C8"/>
    <w:rsid w:val="33412688"/>
    <w:rsid w:val="33661445"/>
    <w:rsid w:val="33680D19"/>
    <w:rsid w:val="3377463B"/>
    <w:rsid w:val="33A361F5"/>
    <w:rsid w:val="33CF0D98"/>
    <w:rsid w:val="33FB7DDF"/>
    <w:rsid w:val="3442156A"/>
    <w:rsid w:val="344835B8"/>
    <w:rsid w:val="345D63A4"/>
    <w:rsid w:val="34871673"/>
    <w:rsid w:val="34B166F0"/>
    <w:rsid w:val="34D0301A"/>
    <w:rsid w:val="34EA7A56"/>
    <w:rsid w:val="35026F4B"/>
    <w:rsid w:val="350B5E00"/>
    <w:rsid w:val="352B64A2"/>
    <w:rsid w:val="353C06AF"/>
    <w:rsid w:val="35A10512"/>
    <w:rsid w:val="362353CB"/>
    <w:rsid w:val="36257395"/>
    <w:rsid w:val="36405F7D"/>
    <w:rsid w:val="3659703F"/>
    <w:rsid w:val="365B3E4B"/>
    <w:rsid w:val="366A4DA8"/>
    <w:rsid w:val="36B978C7"/>
    <w:rsid w:val="36BF4EF7"/>
    <w:rsid w:val="36DC2ACA"/>
    <w:rsid w:val="36DF1E25"/>
    <w:rsid w:val="372A4537"/>
    <w:rsid w:val="372F7A96"/>
    <w:rsid w:val="373F4487"/>
    <w:rsid w:val="374B6987"/>
    <w:rsid w:val="37702892"/>
    <w:rsid w:val="37CC00EA"/>
    <w:rsid w:val="37E62B54"/>
    <w:rsid w:val="37EF1A09"/>
    <w:rsid w:val="3826713B"/>
    <w:rsid w:val="385200CE"/>
    <w:rsid w:val="38675187"/>
    <w:rsid w:val="38A30A45"/>
    <w:rsid w:val="38E2156D"/>
    <w:rsid w:val="393B2A2C"/>
    <w:rsid w:val="399B0A74"/>
    <w:rsid w:val="39B514DE"/>
    <w:rsid w:val="3A2A28C9"/>
    <w:rsid w:val="3A322081"/>
    <w:rsid w:val="3A410516"/>
    <w:rsid w:val="3A836438"/>
    <w:rsid w:val="3AD9074E"/>
    <w:rsid w:val="3ADE7B13"/>
    <w:rsid w:val="3AFD0BD3"/>
    <w:rsid w:val="3B0C7A0E"/>
    <w:rsid w:val="3B223EA3"/>
    <w:rsid w:val="3B312338"/>
    <w:rsid w:val="3B4D29BA"/>
    <w:rsid w:val="3B53113B"/>
    <w:rsid w:val="3B5878C5"/>
    <w:rsid w:val="3B837F8F"/>
    <w:rsid w:val="3BA42B0A"/>
    <w:rsid w:val="3BCC3E0F"/>
    <w:rsid w:val="3BEC625F"/>
    <w:rsid w:val="3BEE1FD7"/>
    <w:rsid w:val="3BF27D19"/>
    <w:rsid w:val="3C2D6FA3"/>
    <w:rsid w:val="3C371BD0"/>
    <w:rsid w:val="3C850A89"/>
    <w:rsid w:val="3C9E1C4F"/>
    <w:rsid w:val="3CB925E5"/>
    <w:rsid w:val="3CC2593E"/>
    <w:rsid w:val="3CCE6361"/>
    <w:rsid w:val="3CEC2463"/>
    <w:rsid w:val="3D3A1978"/>
    <w:rsid w:val="3D6C7658"/>
    <w:rsid w:val="3DA60DBB"/>
    <w:rsid w:val="3DAA64D9"/>
    <w:rsid w:val="3DE25B6C"/>
    <w:rsid w:val="3DE43692"/>
    <w:rsid w:val="3DF02394"/>
    <w:rsid w:val="3E1325B2"/>
    <w:rsid w:val="3E410AE4"/>
    <w:rsid w:val="3E4B3711"/>
    <w:rsid w:val="3E6447D3"/>
    <w:rsid w:val="3E7742DF"/>
    <w:rsid w:val="3E8B7FB1"/>
    <w:rsid w:val="3E8E35FE"/>
    <w:rsid w:val="3EE20166"/>
    <w:rsid w:val="3EF94F1B"/>
    <w:rsid w:val="3F001235"/>
    <w:rsid w:val="3F2F4DE1"/>
    <w:rsid w:val="3F7A66FA"/>
    <w:rsid w:val="3F7E18C4"/>
    <w:rsid w:val="3FB11C9A"/>
    <w:rsid w:val="3FBA6DA0"/>
    <w:rsid w:val="3FBB48C6"/>
    <w:rsid w:val="3FE94F8F"/>
    <w:rsid w:val="40063D93"/>
    <w:rsid w:val="403D352D"/>
    <w:rsid w:val="406D5BC1"/>
    <w:rsid w:val="4093314D"/>
    <w:rsid w:val="40A462A9"/>
    <w:rsid w:val="40B41A41"/>
    <w:rsid w:val="40D23C76"/>
    <w:rsid w:val="40DE61EA"/>
    <w:rsid w:val="40E47D03"/>
    <w:rsid w:val="41110C42"/>
    <w:rsid w:val="4149118B"/>
    <w:rsid w:val="41961147"/>
    <w:rsid w:val="41A82C28"/>
    <w:rsid w:val="41DA2CE5"/>
    <w:rsid w:val="421000B1"/>
    <w:rsid w:val="426923B8"/>
    <w:rsid w:val="427E2307"/>
    <w:rsid w:val="429C278D"/>
    <w:rsid w:val="42AE0712"/>
    <w:rsid w:val="42D57A4D"/>
    <w:rsid w:val="437B671B"/>
    <w:rsid w:val="43C55D14"/>
    <w:rsid w:val="43CA332A"/>
    <w:rsid w:val="43ED0DC6"/>
    <w:rsid w:val="43EE7018"/>
    <w:rsid w:val="43F54F5F"/>
    <w:rsid w:val="43F839F3"/>
    <w:rsid w:val="442A686B"/>
    <w:rsid w:val="44332C7D"/>
    <w:rsid w:val="449A2CFC"/>
    <w:rsid w:val="44CB735A"/>
    <w:rsid w:val="44E34D64"/>
    <w:rsid w:val="44FA19ED"/>
    <w:rsid w:val="45101210"/>
    <w:rsid w:val="456D2CB0"/>
    <w:rsid w:val="458058E9"/>
    <w:rsid w:val="45A51959"/>
    <w:rsid w:val="45B17952"/>
    <w:rsid w:val="45D97988"/>
    <w:rsid w:val="46445615"/>
    <w:rsid w:val="46472A10"/>
    <w:rsid w:val="4690085B"/>
    <w:rsid w:val="46D149CF"/>
    <w:rsid w:val="46DC75FC"/>
    <w:rsid w:val="46F96F76"/>
    <w:rsid w:val="472745EF"/>
    <w:rsid w:val="472D42FC"/>
    <w:rsid w:val="47631ACB"/>
    <w:rsid w:val="47633879"/>
    <w:rsid w:val="479A3013"/>
    <w:rsid w:val="47A1210F"/>
    <w:rsid w:val="47D439F5"/>
    <w:rsid w:val="47E250E6"/>
    <w:rsid w:val="480C3F11"/>
    <w:rsid w:val="483D056E"/>
    <w:rsid w:val="48A24875"/>
    <w:rsid w:val="48B32F7D"/>
    <w:rsid w:val="48B56357"/>
    <w:rsid w:val="48CB20B8"/>
    <w:rsid w:val="48E22EC4"/>
    <w:rsid w:val="49520049"/>
    <w:rsid w:val="496658A3"/>
    <w:rsid w:val="496D09DF"/>
    <w:rsid w:val="496D6C31"/>
    <w:rsid w:val="49746212"/>
    <w:rsid w:val="497E0E3E"/>
    <w:rsid w:val="49D56585"/>
    <w:rsid w:val="49F36BDC"/>
    <w:rsid w:val="4A2D63C1"/>
    <w:rsid w:val="4A590F64"/>
    <w:rsid w:val="4AA1441B"/>
    <w:rsid w:val="4AC07235"/>
    <w:rsid w:val="4B355351"/>
    <w:rsid w:val="4B5C0D0B"/>
    <w:rsid w:val="4B700C5B"/>
    <w:rsid w:val="4BA76D1A"/>
    <w:rsid w:val="4C742085"/>
    <w:rsid w:val="4CC92EED"/>
    <w:rsid w:val="4CF11927"/>
    <w:rsid w:val="4D127CBE"/>
    <w:rsid w:val="4D1704BC"/>
    <w:rsid w:val="4D8E53C8"/>
    <w:rsid w:val="4DA62712"/>
    <w:rsid w:val="4E0B07C7"/>
    <w:rsid w:val="4E200716"/>
    <w:rsid w:val="4E2875CB"/>
    <w:rsid w:val="4E355844"/>
    <w:rsid w:val="4E8C7B5A"/>
    <w:rsid w:val="4EAF55F6"/>
    <w:rsid w:val="4ED60DD5"/>
    <w:rsid w:val="4F043B94"/>
    <w:rsid w:val="4F3D2C02"/>
    <w:rsid w:val="4F506DD9"/>
    <w:rsid w:val="4F6208BA"/>
    <w:rsid w:val="4F6E3703"/>
    <w:rsid w:val="4F8E54C1"/>
    <w:rsid w:val="4F934F18"/>
    <w:rsid w:val="4FBC621D"/>
    <w:rsid w:val="4FE92D8A"/>
    <w:rsid w:val="4FF82FCD"/>
    <w:rsid w:val="50081462"/>
    <w:rsid w:val="502415CC"/>
    <w:rsid w:val="50914807"/>
    <w:rsid w:val="50A867A1"/>
    <w:rsid w:val="50EF43D0"/>
    <w:rsid w:val="50FB4B23"/>
    <w:rsid w:val="522D1654"/>
    <w:rsid w:val="52942D01"/>
    <w:rsid w:val="52DE0DE1"/>
    <w:rsid w:val="532A31C3"/>
    <w:rsid w:val="532F6D06"/>
    <w:rsid w:val="5373753A"/>
    <w:rsid w:val="5385101B"/>
    <w:rsid w:val="538631CB"/>
    <w:rsid w:val="539F3E8B"/>
    <w:rsid w:val="53A019B1"/>
    <w:rsid w:val="53B84F4D"/>
    <w:rsid w:val="53C90F08"/>
    <w:rsid w:val="545A24A8"/>
    <w:rsid w:val="546649A9"/>
    <w:rsid w:val="54CD1501"/>
    <w:rsid w:val="54DE4E87"/>
    <w:rsid w:val="54F22699"/>
    <w:rsid w:val="5512068D"/>
    <w:rsid w:val="551C775D"/>
    <w:rsid w:val="552840DE"/>
    <w:rsid w:val="55425416"/>
    <w:rsid w:val="55603AEE"/>
    <w:rsid w:val="556829A3"/>
    <w:rsid w:val="55882AAA"/>
    <w:rsid w:val="55D43B94"/>
    <w:rsid w:val="55E24503"/>
    <w:rsid w:val="55EB785C"/>
    <w:rsid w:val="55FB55C5"/>
    <w:rsid w:val="561850B4"/>
    <w:rsid w:val="561C5C67"/>
    <w:rsid w:val="56244B1C"/>
    <w:rsid w:val="56486A5C"/>
    <w:rsid w:val="56847368"/>
    <w:rsid w:val="56E06AFE"/>
    <w:rsid w:val="56E60023"/>
    <w:rsid w:val="570404A9"/>
    <w:rsid w:val="570A1F63"/>
    <w:rsid w:val="57201787"/>
    <w:rsid w:val="57274CD7"/>
    <w:rsid w:val="578F06BB"/>
    <w:rsid w:val="57D4431F"/>
    <w:rsid w:val="57DF7CCA"/>
    <w:rsid w:val="5804525A"/>
    <w:rsid w:val="58242BB1"/>
    <w:rsid w:val="582901C7"/>
    <w:rsid w:val="583A0626"/>
    <w:rsid w:val="583D0117"/>
    <w:rsid w:val="58767185"/>
    <w:rsid w:val="58B77EC9"/>
    <w:rsid w:val="58F22CAF"/>
    <w:rsid w:val="58FC1D80"/>
    <w:rsid w:val="590454E8"/>
    <w:rsid w:val="590569A9"/>
    <w:rsid w:val="59134F82"/>
    <w:rsid w:val="593C03CE"/>
    <w:rsid w:val="59441031"/>
    <w:rsid w:val="5952374E"/>
    <w:rsid w:val="59927FEE"/>
    <w:rsid w:val="59A044B9"/>
    <w:rsid w:val="59C75EEA"/>
    <w:rsid w:val="59FB5B93"/>
    <w:rsid w:val="5A105AE3"/>
    <w:rsid w:val="5A584DEC"/>
    <w:rsid w:val="5AE34FA5"/>
    <w:rsid w:val="5AE42ACB"/>
    <w:rsid w:val="5AEB3E5A"/>
    <w:rsid w:val="5B215ACE"/>
    <w:rsid w:val="5B3C46B5"/>
    <w:rsid w:val="5C1B42CB"/>
    <w:rsid w:val="5CF76AE6"/>
    <w:rsid w:val="5D5267A9"/>
    <w:rsid w:val="5D814602"/>
    <w:rsid w:val="5DA622BA"/>
    <w:rsid w:val="5DE03A1E"/>
    <w:rsid w:val="5DEE45F3"/>
    <w:rsid w:val="5E8A398A"/>
    <w:rsid w:val="5EC073AC"/>
    <w:rsid w:val="5F0279C4"/>
    <w:rsid w:val="5F2C67EF"/>
    <w:rsid w:val="5F702B80"/>
    <w:rsid w:val="5FA36AB1"/>
    <w:rsid w:val="5FBF7663"/>
    <w:rsid w:val="5FD27396"/>
    <w:rsid w:val="60002155"/>
    <w:rsid w:val="600D6620"/>
    <w:rsid w:val="60340051"/>
    <w:rsid w:val="605E6E7C"/>
    <w:rsid w:val="606F4BE5"/>
    <w:rsid w:val="60765F74"/>
    <w:rsid w:val="607C7302"/>
    <w:rsid w:val="60B30F76"/>
    <w:rsid w:val="60E64787"/>
    <w:rsid w:val="611C2FBF"/>
    <w:rsid w:val="61671D60"/>
    <w:rsid w:val="61813689"/>
    <w:rsid w:val="619C4100"/>
    <w:rsid w:val="619F599E"/>
    <w:rsid w:val="61A92379"/>
    <w:rsid w:val="61AD2277"/>
    <w:rsid w:val="61B256D1"/>
    <w:rsid w:val="6208709F"/>
    <w:rsid w:val="62685D90"/>
    <w:rsid w:val="630C27F8"/>
    <w:rsid w:val="635502EC"/>
    <w:rsid w:val="638F0B06"/>
    <w:rsid w:val="639257BA"/>
    <w:rsid w:val="63AB062A"/>
    <w:rsid w:val="63C67212"/>
    <w:rsid w:val="63CA635C"/>
    <w:rsid w:val="63D062E3"/>
    <w:rsid w:val="63DA0F0F"/>
    <w:rsid w:val="63DD630A"/>
    <w:rsid w:val="63EA2EA2"/>
    <w:rsid w:val="641C3E24"/>
    <w:rsid w:val="642D7184"/>
    <w:rsid w:val="643C4E0D"/>
    <w:rsid w:val="64462101"/>
    <w:rsid w:val="64A31301"/>
    <w:rsid w:val="64C37BF6"/>
    <w:rsid w:val="650A34E8"/>
    <w:rsid w:val="652F6E18"/>
    <w:rsid w:val="65B37C6A"/>
    <w:rsid w:val="65E41BD1"/>
    <w:rsid w:val="66EF0FDB"/>
    <w:rsid w:val="66F916AD"/>
    <w:rsid w:val="66FA440F"/>
    <w:rsid w:val="67310E46"/>
    <w:rsid w:val="675E7762"/>
    <w:rsid w:val="67782A85"/>
    <w:rsid w:val="67926C5B"/>
    <w:rsid w:val="67A94E81"/>
    <w:rsid w:val="67B53825"/>
    <w:rsid w:val="67FB3202"/>
    <w:rsid w:val="68064081"/>
    <w:rsid w:val="683747EF"/>
    <w:rsid w:val="683C7AA3"/>
    <w:rsid w:val="684F3C7A"/>
    <w:rsid w:val="68813505"/>
    <w:rsid w:val="68923B67"/>
    <w:rsid w:val="68AB4C28"/>
    <w:rsid w:val="69134A68"/>
    <w:rsid w:val="6974326C"/>
    <w:rsid w:val="69915837"/>
    <w:rsid w:val="69C935B8"/>
    <w:rsid w:val="69F8705B"/>
    <w:rsid w:val="6A06480C"/>
    <w:rsid w:val="6A3A5966"/>
    <w:rsid w:val="6A647785"/>
    <w:rsid w:val="6A7A4355"/>
    <w:rsid w:val="6AAD2EDA"/>
    <w:rsid w:val="6ABF55E1"/>
    <w:rsid w:val="6ACB7804"/>
    <w:rsid w:val="6B0F5943"/>
    <w:rsid w:val="6B321631"/>
    <w:rsid w:val="6B3C4349"/>
    <w:rsid w:val="6B4F3F91"/>
    <w:rsid w:val="6B930322"/>
    <w:rsid w:val="6B9F6CC6"/>
    <w:rsid w:val="6BA76727"/>
    <w:rsid w:val="6BDF5315"/>
    <w:rsid w:val="6C757A27"/>
    <w:rsid w:val="6CDF4168"/>
    <w:rsid w:val="6CF941B4"/>
    <w:rsid w:val="6D392090"/>
    <w:rsid w:val="6D5749A7"/>
    <w:rsid w:val="6DA772DE"/>
    <w:rsid w:val="6E0A6FA8"/>
    <w:rsid w:val="6E1648D3"/>
    <w:rsid w:val="6E166FE8"/>
    <w:rsid w:val="6E1F40EF"/>
    <w:rsid w:val="6EA91C0A"/>
    <w:rsid w:val="6EAD2902"/>
    <w:rsid w:val="6EDA1DC4"/>
    <w:rsid w:val="6EE3336E"/>
    <w:rsid w:val="6EEE586F"/>
    <w:rsid w:val="6EF8049C"/>
    <w:rsid w:val="6F085E98"/>
    <w:rsid w:val="6F125A01"/>
    <w:rsid w:val="6F2179F2"/>
    <w:rsid w:val="6F6C499C"/>
    <w:rsid w:val="6F9E54E7"/>
    <w:rsid w:val="6FAA5C3A"/>
    <w:rsid w:val="701205C4"/>
    <w:rsid w:val="701D465E"/>
    <w:rsid w:val="70221C74"/>
    <w:rsid w:val="70390D6C"/>
    <w:rsid w:val="704C0A9F"/>
    <w:rsid w:val="708C17E3"/>
    <w:rsid w:val="710D5340"/>
    <w:rsid w:val="71245578"/>
    <w:rsid w:val="716D5171"/>
    <w:rsid w:val="717E112C"/>
    <w:rsid w:val="71A87F57"/>
    <w:rsid w:val="71C50B09"/>
    <w:rsid w:val="71D15700"/>
    <w:rsid w:val="71DF5835"/>
    <w:rsid w:val="71E13469"/>
    <w:rsid w:val="720219A9"/>
    <w:rsid w:val="72640322"/>
    <w:rsid w:val="72874010"/>
    <w:rsid w:val="72DE728C"/>
    <w:rsid w:val="733D0B73"/>
    <w:rsid w:val="742A10F7"/>
    <w:rsid w:val="74393A30"/>
    <w:rsid w:val="744F6DB0"/>
    <w:rsid w:val="74575C64"/>
    <w:rsid w:val="7467234B"/>
    <w:rsid w:val="747131CA"/>
    <w:rsid w:val="74850A24"/>
    <w:rsid w:val="74B82BA7"/>
    <w:rsid w:val="74F31E31"/>
    <w:rsid w:val="75287D2D"/>
    <w:rsid w:val="753D4E5A"/>
    <w:rsid w:val="75DC0FE0"/>
    <w:rsid w:val="75DE488F"/>
    <w:rsid w:val="75F55735"/>
    <w:rsid w:val="761A4B5D"/>
    <w:rsid w:val="76516494"/>
    <w:rsid w:val="76DF4909"/>
    <w:rsid w:val="77185B7F"/>
    <w:rsid w:val="774D28B3"/>
    <w:rsid w:val="776F6BC0"/>
    <w:rsid w:val="77996CC0"/>
    <w:rsid w:val="77C41863"/>
    <w:rsid w:val="77FC0FFD"/>
    <w:rsid w:val="78034139"/>
    <w:rsid w:val="78126A72"/>
    <w:rsid w:val="788355B0"/>
    <w:rsid w:val="78845DCD"/>
    <w:rsid w:val="78857244"/>
    <w:rsid w:val="78A21BA4"/>
    <w:rsid w:val="78AC47D1"/>
    <w:rsid w:val="78E070D6"/>
    <w:rsid w:val="78FD3DB1"/>
    <w:rsid w:val="79142376"/>
    <w:rsid w:val="79607369"/>
    <w:rsid w:val="79683EA2"/>
    <w:rsid w:val="79CA181D"/>
    <w:rsid w:val="7A5B106B"/>
    <w:rsid w:val="7A653600"/>
    <w:rsid w:val="7A777060"/>
    <w:rsid w:val="7A7E04B3"/>
    <w:rsid w:val="7AD46261"/>
    <w:rsid w:val="7AEA15E0"/>
    <w:rsid w:val="7B2F16E9"/>
    <w:rsid w:val="7B3960C4"/>
    <w:rsid w:val="7B3A2150"/>
    <w:rsid w:val="7B6B0973"/>
    <w:rsid w:val="7BDC361F"/>
    <w:rsid w:val="7BE6194C"/>
    <w:rsid w:val="7C1C7EBF"/>
    <w:rsid w:val="7C330D65"/>
    <w:rsid w:val="7C490589"/>
    <w:rsid w:val="7C5C4760"/>
    <w:rsid w:val="7C63164A"/>
    <w:rsid w:val="7C964821"/>
    <w:rsid w:val="7CB73744"/>
    <w:rsid w:val="7D013397"/>
    <w:rsid w:val="7D0C3A90"/>
    <w:rsid w:val="7D6624D5"/>
    <w:rsid w:val="7E0429B9"/>
    <w:rsid w:val="7E53747E"/>
    <w:rsid w:val="7EA5419C"/>
    <w:rsid w:val="7EC54DD8"/>
    <w:rsid w:val="7EFE1FDB"/>
    <w:rsid w:val="7F7122D0"/>
    <w:rsid w:val="7F7C477A"/>
    <w:rsid w:val="7F8279F8"/>
    <w:rsid w:val="7F857B2A"/>
    <w:rsid w:val="7F8F6BFA"/>
    <w:rsid w:val="7F9012CC"/>
    <w:rsid w:val="7FFB7DEC"/>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4">
    <w:name w:val="heading 1"/>
    <w:basedOn w:val="1"/>
    <w:next w:val="1"/>
    <w:qFormat/>
    <w:uiPriority w:val="9"/>
    <w:pPr>
      <w:spacing w:line="579" w:lineRule="atLeast"/>
      <w:jc w:val="center"/>
      <w:outlineLvl w:val="0"/>
    </w:pPr>
    <w:rPr>
      <w:rFonts w:eastAsia="黑体"/>
      <w:bCs/>
      <w:kern w:val="32"/>
      <w:szCs w:val="44"/>
    </w:rPr>
  </w:style>
  <w:style w:type="paragraph" w:styleId="5">
    <w:name w:val="heading 2"/>
    <w:basedOn w:val="1"/>
    <w:next w:val="1"/>
    <w:link w:val="20"/>
    <w:unhideWhenUsed/>
    <w:qFormat/>
    <w:uiPriority w:val="9"/>
    <w:pPr>
      <w:outlineLvl w:val="1"/>
    </w:pPr>
    <w:rPr>
      <w:rFonts w:eastAsia="楷体_GB2312"/>
      <w:b/>
      <w:bCs/>
    </w:rPr>
  </w:style>
  <w:style w:type="paragraph" w:styleId="6">
    <w:name w:val="heading 3"/>
    <w:basedOn w:val="1"/>
    <w:next w:val="1"/>
    <w:unhideWhenUsed/>
    <w:qFormat/>
    <w:uiPriority w:val="0"/>
    <w:pPr>
      <w:outlineLvl w:val="2"/>
    </w:pPr>
    <w:rPr>
      <w:rFonts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index 8"/>
    <w:basedOn w:val="1"/>
    <w:next w:val="1"/>
    <w:unhideWhenUsed/>
    <w:qFormat/>
    <w:uiPriority w:val="99"/>
    <w:pPr>
      <w:ind w:left="2940"/>
      <w:jc w:val="left"/>
    </w:pPr>
  </w:style>
  <w:style w:type="paragraph" w:styleId="7">
    <w:name w:val="Body Text Indent 2"/>
    <w:basedOn w:val="1"/>
    <w:next w:val="1"/>
    <w:qFormat/>
    <w:uiPriority w:val="0"/>
    <w:pPr>
      <w:spacing w:line="590" w:lineRule="exact"/>
      <w:ind w:firstLine="880" w:firstLineChars="200"/>
    </w:pPr>
    <w:rPr>
      <w:rFonts w:eastAsia="方正仿宋_GBK"/>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jc w:val="center"/>
      <w:outlineLvl w:val="1"/>
    </w:pPr>
    <w:rPr>
      <w:rFonts w:eastAsia="楷体_GB2312"/>
      <w:bCs/>
      <w:kern w:val="28"/>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qFormat/>
    <w:uiPriority w:val="10"/>
    <w:pPr>
      <w:jc w:val="center"/>
      <w:outlineLvl w:val="0"/>
    </w:pPr>
    <w:rPr>
      <w:rFonts w:eastAsia="方正小标宋简体"/>
      <w:bCs/>
      <w:sz w:val="44"/>
    </w:rPr>
  </w:style>
  <w:style w:type="character" w:styleId="15">
    <w:name w:val="Strong"/>
    <w:basedOn w:val="14"/>
    <w:qFormat/>
    <w:uiPriority w:val="0"/>
    <w:rPr>
      <w:b/>
    </w:rPr>
  </w:style>
  <w:style w:type="character" w:styleId="16">
    <w:name w:val="FollowedHyperlink"/>
    <w:basedOn w:val="14"/>
    <w:qFormat/>
    <w:uiPriority w:val="0"/>
    <w:rPr>
      <w:color w:val="0088CC"/>
      <w:u w:val="none"/>
    </w:rPr>
  </w:style>
  <w:style w:type="character" w:styleId="17">
    <w:name w:val="Emphasis"/>
    <w:basedOn w:val="14"/>
    <w:qFormat/>
    <w:uiPriority w:val="0"/>
  </w:style>
  <w:style w:type="character" w:styleId="18">
    <w:name w:val="Hyperlink"/>
    <w:basedOn w:val="14"/>
    <w:qFormat/>
    <w:uiPriority w:val="0"/>
    <w:rPr>
      <w:color w:val="0088CC"/>
      <w:u w:val="none"/>
    </w:rPr>
  </w:style>
  <w:style w:type="character" w:styleId="19">
    <w:name w:val="HTML Code"/>
    <w:basedOn w:val="14"/>
    <w:qFormat/>
    <w:uiPriority w:val="0"/>
    <w:rPr>
      <w:rFonts w:ascii="Consolas" w:hAnsi="Consolas" w:eastAsia="Consolas" w:cs="Consolas"/>
      <w:color w:val="DD1144"/>
      <w:sz w:val="14"/>
      <w:szCs w:val="14"/>
      <w:bdr w:val="single" w:color="E1E1E8" w:sz="4" w:space="0"/>
      <w:shd w:val="clear" w:color="auto" w:fill="F7F7F9"/>
    </w:rPr>
  </w:style>
  <w:style w:type="character" w:customStyle="1" w:styleId="20">
    <w:name w:val="标题 2 Char"/>
    <w:basedOn w:val="14"/>
    <w:link w:val="5"/>
    <w:qFormat/>
    <w:uiPriority w:val="9"/>
    <w:rPr>
      <w:rFonts w:eastAsia="楷体_GB2312" w:cs="Times New Roman"/>
      <w:b/>
      <w:bCs/>
    </w:rPr>
  </w:style>
  <w:style w:type="character" w:customStyle="1" w:styleId="21">
    <w:name w:val="页脚 Char"/>
    <w:basedOn w:val="14"/>
    <w:link w:val="8"/>
    <w:qFormat/>
    <w:uiPriority w:val="0"/>
    <w:rPr>
      <w:rFonts w:ascii="Calibri" w:hAnsi="Calibri"/>
      <w:kern w:val="2"/>
      <w:sz w:val="18"/>
      <w:szCs w:val="18"/>
    </w:rPr>
  </w:style>
  <w:style w:type="character" w:customStyle="1" w:styleId="22">
    <w:name w:val="页眉 Char"/>
    <w:basedOn w:val="14"/>
    <w:link w:val="9"/>
    <w:qFormat/>
    <w:uiPriority w:val="0"/>
    <w:rPr>
      <w:rFonts w:ascii="Calibri" w:hAnsi="Calibri"/>
      <w:kern w:val="2"/>
      <w:sz w:val="18"/>
      <w:szCs w:val="18"/>
    </w:rPr>
  </w:style>
  <w:style w:type="character" w:customStyle="1" w:styleId="23">
    <w:name w:val="公文-正文 Char"/>
    <w:basedOn w:val="14"/>
    <w:link w:val="24"/>
    <w:qFormat/>
    <w:uiPriority w:val="0"/>
    <w:rPr>
      <w:rFonts w:ascii="Times New Roman" w:hAnsi="Times New Roman" w:eastAsia="仿宋_GB2312" w:cs="Times New Roman"/>
      <w:kern w:val="2"/>
      <w:sz w:val="32"/>
      <w:szCs w:val="32"/>
      <w:lang w:val="en-US" w:eastAsia="zh-CN" w:bidi="ar-SA"/>
    </w:rPr>
  </w:style>
  <w:style w:type="paragraph" w:customStyle="1" w:styleId="24">
    <w:name w:val="公文-正文"/>
    <w:link w:val="23"/>
    <w:qFormat/>
    <w:uiPriority w:val="0"/>
    <w:pPr>
      <w:widowControl w:val="0"/>
      <w:snapToGrid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customStyle="1" w:styleId="25">
    <w:name w:val="not(tid)"/>
    <w:basedOn w:val="14"/>
    <w:qFormat/>
    <w:uiPriority w:val="0"/>
  </w:style>
  <w:style w:type="character" w:customStyle="1" w:styleId="26">
    <w:name w:val="not(tid)1"/>
    <w:basedOn w:val="14"/>
    <w:qFormat/>
    <w:uiPriority w:val="0"/>
  </w:style>
  <w:style w:type="character" w:customStyle="1" w:styleId="27">
    <w:name w:val="nth-child(2)"/>
    <w:basedOn w:val="14"/>
    <w:qFormat/>
    <w:uiPriority w:val="0"/>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16058</Words>
  <Characters>16476</Characters>
  <Lines>117</Lines>
  <Paragraphs>33</Paragraphs>
  <TotalTime>63</TotalTime>
  <ScaleCrop>false</ScaleCrop>
  <LinksUpToDate>false</LinksUpToDate>
  <CharactersWithSpaces>16565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2024-12-04T11:29:00Z</dcterms:created>
  <dc:creator>最是光阴化浮沫</dc:creator>
  <cp:lastModifiedBy>左冬生</cp:lastModifiedBy>
  <cp:lastPrinted>2024-12-11T11:17:00Z</cp:lastPrinted>
  <dcterms:modified xsi:type="dcterms:W3CDTF">2025-01-02T00:14:09Z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B82455226BA240CABD413F76AABAACEA_13</vt:lpwstr>
  </property>
  <property fmtid="{D5CDD505-2E9C-101B-9397-08002B2CF9AE}" pid="4" name="KSOTemplateDocerSaveRecord">
    <vt:lpwstr>eyJoZGlkIjoiYTMzNTZkNTQzNGMyNmNhMjA2ZGY0OGExZWNhOTg3ZTQiLCJ1c2VySWQiOiIzNDcyNDY0NDkifQ==</vt:lpwstr>
  </property>
</Properties>
</file>