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AFDA2">
      <w:pPr>
        <w:spacing w:line="600" w:lineRule="exact"/>
        <w:jc w:val="both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垃圾分类工作奖补资金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 w14:paraId="78240F90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5FF82B2E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367BBB4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52923B6B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76B4DDC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3438838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为了开展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开发区已建成的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292座生活垃圾分类投放点及其80个居民小区进行垃圾分类工作，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依据《合肥市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2023年生活垃圾分类工作奖补资金考核暂行办法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文件要求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2023年安排奖补资金总额459.4599万元，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资金类型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为</w:t>
      </w:r>
      <w:r>
        <w:rPr>
          <w:rFonts w:ascii="Times New Roman" w:hAnsi="Times New Roman" w:eastAsia="仿宋_GB2312"/>
          <w:color w:val="000000"/>
          <w:sz w:val="32"/>
          <w:szCs w:val="32"/>
        </w:rPr>
        <w:t>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,属于</w:t>
      </w:r>
      <w:r>
        <w:rPr>
          <w:rFonts w:ascii="Times New Roman" w:hAnsi="Times New Roman" w:eastAsia="仿宋_GB2312"/>
          <w:color w:val="000000"/>
          <w:sz w:val="32"/>
          <w:szCs w:val="32"/>
        </w:rPr>
        <w:t>专项业务经费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项目实施周期一年，由瑶海区城管局划转。</w:t>
      </w:r>
    </w:p>
    <w:p w14:paraId="7055D75E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75E78EF2"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2023年垃圾分类工作奖补资金项目共支出财政资金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459.4599万元，主要用于垃圾分类站点的建设、日常运营、辖区垃圾分类奖补，共459.4599万元，2023年圆满完成各项工作任务。</w:t>
      </w:r>
    </w:p>
    <w:p w14:paraId="785E46C0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4F3FB34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3066E68A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2023年度垃圾分类工作奖补资金项目申请财政资金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459.4599万元，主要用于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考核居民小区生活垃圾分类桶边督导员配备、桶边督导员考勤、投放点运行管理、厨余垃圾分出量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等工作。通过强化监督管理，促进辖区垃圾分类处理工作开展，保障文明创建工作顺利开展。</w:t>
      </w:r>
    </w:p>
    <w:p w14:paraId="2F77C7C2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.总体目标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完成情况</w:t>
      </w:r>
    </w:p>
    <w:p w14:paraId="3BE44D93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2023年度完成垃圾分类工作奖补资金项目工作，着力促进辖区垃圾分类工作，进一步保障文明创建工作顺利开展，通过对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垃圾分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类细化的宣传引导，从而加强居民环保意识，进而共建美好家园。</w:t>
      </w:r>
    </w:p>
    <w:p w14:paraId="339E5B34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57E9D29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73EA94E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龙岗经济开发区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459.4599万元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居民小区生活垃圾分类桶边督导员配备、桶边督导员考勤、投放点运行管理、厨余垃圾分出量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等专项工作，保障辖区内垃圾分类工作的顺利开展，共建美好家园，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5D60F37E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E67433E"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垃圾分类工作奖补资金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7F318E5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113F9212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垃圾分类工作奖补资金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5677CA04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49D0F2A3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垃圾分类工作奖补资金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459.4599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459.4599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FAC4CC9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42FD81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DF1733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垃圾处理物业公司数量（85个）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龙岗开发区垃圾处理物业公司85个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进行日常垃圾处理工作，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9F6016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72F45D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经费及时性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实际配备督导员287名，根据项目开展情况及时拨付人员工资及项目经费，于2023年12月底完成预期目标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1E30690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6BF643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项目经费全部用于垃圾分类工作，极大地改善了居民居住环境，于2023年12月底完成预期目标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7A9DDE18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3585A3FB">
      <w:pPr>
        <w:spacing w:line="600" w:lineRule="exact"/>
        <w:ind w:right="-283"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217.6389万元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459.4599万元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完成值高于指标值较多的主要原因是因项目需要，追加后续资金。</w:t>
      </w:r>
    </w:p>
    <w:p w14:paraId="7B269EA7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2F9AB7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67E8AE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本指标不适用此项目。</w:t>
      </w:r>
    </w:p>
    <w:p w14:paraId="795CDBE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ECBDF09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年度设定的社会效益指标为对辖区城市管理工作的影响程度，实际完成情况为站点周边整洁，撤桶并点彻底，日常巡查到位，居民满意度提升，达到预期目标，该指标自评得分15分。</w:t>
      </w:r>
    </w:p>
    <w:p w14:paraId="2E85913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分）</w:t>
      </w:r>
    </w:p>
    <w:p w14:paraId="43269AA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本指标不适用此项目。</w:t>
      </w:r>
    </w:p>
    <w:p w14:paraId="72D24D6B"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4.可持续影响指标（满分15分，实得15分）</w:t>
      </w:r>
    </w:p>
    <w:p w14:paraId="6625087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可持续影响指标为对辖区城市管理工作的持续影响程度，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实际完成情况为宣传氛围浓厚，居民环境保护意识增强，达到预期目标，该指标自评得分15分。</w:t>
      </w:r>
    </w:p>
    <w:p w14:paraId="451E59D0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498695F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电话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回访方式获取广大民众和服务对象对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履职效果满意度和对电话回访情况进行统计分析,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服务对象满意度≥90%。完成预期目标，该指标自评得分10分。</w:t>
      </w:r>
    </w:p>
    <w:p w14:paraId="7E08EAC7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3D92E0D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通过评价发现，2023年度征迁补偿项目实施虽取得了一定的成效，但还存在一些问题和不足，主要表现在：一是钉钉手机端打卡率未完成100%；二是</w:t>
      </w:r>
      <w:r>
        <w:rPr>
          <w:rFonts w:ascii="Times New Roman" w:hAnsi="Times New Roman" w:eastAsia="仿宋_GB2312"/>
          <w:bCs/>
          <w:sz w:val="32"/>
          <w:lang w:val="en-US"/>
        </w:rPr>
        <w:t>项目绩效指标为定性表述，不符合指标简介、明确、可衡量的规范</w:t>
      </w:r>
      <w:r>
        <w:rPr>
          <w:rFonts w:hint="eastAsia" w:ascii="Times New Roman" w:hAnsi="Times New Roman" w:eastAsia="仿宋_GB2312"/>
          <w:bCs/>
          <w:sz w:val="32"/>
          <w:lang w:val="en-US" w:eastAsia="zh-CN"/>
        </w:rPr>
        <w:t>。</w:t>
      </w:r>
    </w:p>
    <w:p w14:paraId="1C0254B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78F2F341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为进一步提高专项资金使用效益，针对存在的问题，提出如下建议：一是职能部门加强监管，建立微信群督导打卡；二是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广泛收集指标数据，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制定合理的绩效指标，</w:t>
      </w:r>
      <w:r>
        <w:rPr>
          <w:rFonts w:ascii="Times New Roman" w:hAnsi="Times New Roman" w:eastAsia="仿宋_GB2312"/>
          <w:color w:val="000000"/>
          <w:sz w:val="32"/>
          <w:szCs w:val="32"/>
          <w:lang w:val="en-US"/>
        </w:rPr>
        <w:t>提高财政资金使用效率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。</w:t>
      </w:r>
    </w:p>
    <w:p w14:paraId="07BCC6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1F56CE49">
      <w:pPr>
        <w:widowControl/>
        <w:numPr>
          <w:ilvl w:val="0"/>
          <w:numId w:val="0"/>
        </w:numPr>
        <w:spacing w:line="600" w:lineRule="exact"/>
        <w:ind w:firstLineChars="200"/>
        <w:rPr>
          <w:rFonts w:hint="default" w:ascii="Times New Roman" w:hAnsi="Times New Roman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根据《合肥市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2023年生活垃圾分类工作奖补资金考核暂行办法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》以及龙岗开发区预算绩效考核相关文件。</w:t>
      </w:r>
    </w:p>
    <w:p w14:paraId="3EA4885A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B66857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评表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AECDF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257A2E2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1F573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7FF0553C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GUzN2E3MjM4OTFkYTdmYWI0ZmJhZjQ1M2FhNWMifQ=="/>
  </w:docVars>
  <w:rsids>
    <w:rsidRoot w:val="00000000"/>
    <w:rsid w:val="012B3509"/>
    <w:rsid w:val="04E65824"/>
    <w:rsid w:val="060322CD"/>
    <w:rsid w:val="39EE4B33"/>
    <w:rsid w:val="4BAB603B"/>
    <w:rsid w:val="4C813190"/>
    <w:rsid w:val="51597186"/>
    <w:rsid w:val="5686693C"/>
    <w:rsid w:val="6217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宋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1"/>
  </w:style>
  <w:style w:type="table" w:default="1" w:styleId="11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="Calibri" w:hAnsi="Calibri" w:eastAsia="宋体" w:cs="宋体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="宋体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paragraph" w:customStyle="1" w:styleId="27">
    <w:name w:val="UserStyle_0"/>
    <w:basedOn w:val="1"/>
    <w:autoRedefine/>
    <w:qFormat/>
    <w:uiPriority w:val="0"/>
    <w:pPr>
      <w:ind w:firstLine="454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1864</Words>
  <Characters>2039</Characters>
  <Paragraphs>76</Paragraphs>
  <TotalTime>14</TotalTime>
  <ScaleCrop>false</ScaleCrop>
  <LinksUpToDate>false</LinksUpToDate>
  <CharactersWithSpaces>2180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2024-03-08T06:06:00Z</dcterms:created>
  <dc:creator>王焱</dc:creator>
  <cp:lastModifiedBy>Administrator</cp:lastModifiedBy>
  <cp:lastPrinted>2024-03-11T01:10:00Z</cp:lastPrinted>
  <dcterms:modified xsi:type="dcterms:W3CDTF">2024-09-03T00:40:26Z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f7d7d29cf72d47b09b083b9e4ae73886_23</vt:lpwstr>
  </property>
</Properties>
</file>