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45C94">
      <w:pPr>
        <w:spacing w:line="600" w:lineRule="exact"/>
        <w:jc w:val="center"/>
        <w:rPr>
          <w:rFonts w:hint="eastAsia" w:ascii="Times New Roman" w:hAnsi="Times New Roman" w:eastAsia="方正小标宋简体"/>
          <w:bCs/>
          <w:sz w:val="44"/>
          <w:szCs w:val="24"/>
          <w:lang w:val="en-US" w:eastAsia="zh-CN"/>
        </w:rPr>
      </w:pPr>
      <w:r>
        <w:rPr>
          <w:rFonts w:hint="eastAsia" w:ascii="Times New Roman" w:hAnsi="Times New Roman" w:eastAsia="方正小标宋简体"/>
          <w:bCs/>
          <w:sz w:val="44"/>
          <w:szCs w:val="24"/>
          <w:lang w:eastAsia="zh-CN"/>
        </w:rPr>
        <w:t>2023</w:t>
      </w:r>
      <w:r>
        <w:rPr>
          <w:rFonts w:hint="eastAsia" w:ascii="Times New Roman" w:hAnsi="Times New Roman" w:eastAsia="方正小标宋简体"/>
          <w:bCs/>
          <w:sz w:val="44"/>
          <w:szCs w:val="24"/>
        </w:rPr>
        <w:t>年</w:t>
      </w:r>
      <w:r>
        <w:rPr>
          <w:rFonts w:hint="eastAsia" w:ascii="Times New Roman" w:hAnsi="Times New Roman" w:eastAsia="方正小标宋简体"/>
          <w:bCs/>
          <w:sz w:val="44"/>
          <w:szCs w:val="24"/>
          <w:lang w:val="en-US" w:eastAsia="zh-CN"/>
        </w:rPr>
        <w:t>老旧小区物业服务奖补项目部门</w:t>
      </w:r>
    </w:p>
    <w:p w14:paraId="515E4731">
      <w:pPr>
        <w:spacing w:line="600" w:lineRule="exact"/>
        <w:jc w:val="center"/>
        <w:rPr>
          <w:rFonts w:hint="eastAsia" w:ascii="Times New Roman" w:hAnsi="Times New Roman" w:eastAsia="方正小标宋简体"/>
          <w:bCs/>
          <w:sz w:val="44"/>
          <w:szCs w:val="24"/>
          <w:lang w:val="en-US" w:eastAsia="zh-CN"/>
        </w:rPr>
      </w:pPr>
      <w:r>
        <w:rPr>
          <w:rFonts w:hint="eastAsia" w:ascii="Times New Roman" w:hAnsi="Times New Roman" w:eastAsia="方正小标宋简体"/>
          <w:bCs/>
          <w:sz w:val="44"/>
          <w:szCs w:val="24"/>
          <w:lang w:val="en-US" w:eastAsia="zh-CN"/>
        </w:rPr>
        <w:t>评价报告</w:t>
      </w:r>
    </w:p>
    <w:p w14:paraId="352A556A">
      <w:pPr>
        <w:spacing w:line="580" w:lineRule="exact"/>
        <w:jc w:val="center"/>
        <w:rPr>
          <w:rFonts w:ascii="Times New Roman" w:hAnsi="Times New Roman" w:eastAsia="仿宋_GB2312"/>
          <w:bCs/>
          <w:sz w:val="32"/>
          <w:szCs w:val="32"/>
        </w:rPr>
      </w:pPr>
    </w:p>
    <w:p w14:paraId="0F80F391">
      <w:pPr>
        <w:widowControl/>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一、项目基本情况</w:t>
      </w:r>
    </w:p>
    <w:p w14:paraId="38E75A1C">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（一）项目概况</w:t>
      </w:r>
    </w:p>
    <w:p w14:paraId="7206DE51">
      <w:pPr>
        <w:widowControl/>
        <w:spacing w:line="560" w:lineRule="exact"/>
        <w:ind w:firstLine="640" w:firstLineChars="200"/>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1.项目立项情况</w:t>
      </w:r>
    </w:p>
    <w:p w14:paraId="763809EA">
      <w:pPr>
        <w:widowControl/>
        <w:spacing w:line="600" w:lineRule="exact"/>
        <w:ind w:firstLine="640" w:firstLineChars="200"/>
        <w:rPr>
          <w:rFonts w:hint="eastAsia" w:ascii="仿宋_GB2312" w:hAnsi="仿宋_GB2312" w:eastAsia="仿宋_GB2312" w:cs="仿宋_GB2312"/>
          <w:snapToGrid w:val="0"/>
          <w:color w:val="000000"/>
          <w:sz w:val="32"/>
          <w:szCs w:val="32"/>
          <w:lang w:val="en-US" w:eastAsia="zh-CN"/>
        </w:rPr>
      </w:pPr>
      <w:r>
        <w:rPr>
          <w:rFonts w:hint="eastAsia" w:ascii="仿宋_GB2312" w:hAnsi="仿宋_GB2312" w:eastAsia="仿宋_GB2312" w:cs="仿宋_GB2312"/>
          <w:snapToGrid w:val="0"/>
          <w:color w:val="000000"/>
          <w:sz w:val="32"/>
          <w:szCs w:val="32"/>
          <w:lang w:val="en-US" w:eastAsia="zh-CN"/>
        </w:rPr>
        <w:t>为认真贯彻落实龙岗开发区关于老旧小区物业管理等各项工作部署，扎实推进各项工作有序开展，提升群众满意度，根据预算编制要求，2023年龙岗开发区安排预算547.047278万元，属于专项业务经费，项目实施周期三年。</w:t>
      </w:r>
    </w:p>
    <w:p w14:paraId="3070FE35">
      <w:pPr>
        <w:widowControl/>
        <w:spacing w:line="600" w:lineRule="exact"/>
        <w:ind w:firstLine="640" w:firstLineChars="200"/>
        <w:rPr>
          <w:rFonts w:hint="default" w:ascii="仿宋_GB2312" w:hAnsi="仿宋_GB2312" w:eastAsia="仿宋_GB2312" w:cs="仿宋_GB2312"/>
          <w:snapToGrid w:val="0"/>
          <w:color w:val="000000"/>
          <w:sz w:val="32"/>
          <w:szCs w:val="32"/>
          <w:lang w:val="en-US" w:eastAsia="zh-CN"/>
        </w:rPr>
      </w:pPr>
      <w:r>
        <w:rPr>
          <w:rFonts w:hint="eastAsia" w:ascii="仿宋_GB2312" w:hAnsi="仿宋_GB2312" w:eastAsia="仿宋_GB2312" w:cs="仿宋_GB2312"/>
          <w:snapToGrid w:val="0"/>
          <w:color w:val="000000"/>
          <w:sz w:val="32"/>
          <w:szCs w:val="32"/>
          <w:lang w:val="en-US" w:eastAsia="zh-CN"/>
        </w:rPr>
        <w:t>该项目2023年目标任务是完成对孙大郢东西区、二十埠小河湾回迁楼、店岗新村、金光苑小区、费子冲恢复楼、马岗2-9号楼7个老旧小区的物业管理，经考核合格后给与物业服务奖补。</w:t>
      </w:r>
    </w:p>
    <w:p w14:paraId="014B70E2">
      <w:pPr>
        <w:spacing w:line="560" w:lineRule="exact"/>
        <w:ind w:firstLine="646" w:firstLineChars="202"/>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2.项目执行情况</w:t>
      </w:r>
    </w:p>
    <w:p w14:paraId="4836E050">
      <w:pPr>
        <w:widowControl/>
        <w:spacing w:line="560" w:lineRule="exact"/>
        <w:ind w:firstLine="640" w:firstLineChars="200"/>
        <w:rPr>
          <w:rFonts w:hint="eastAsia" w:ascii="仿宋_GB2312" w:hAnsi="仿宋_GB2312" w:eastAsia="仿宋_GB2312" w:cs="仿宋_GB2312"/>
          <w:snapToGrid w:val="0"/>
          <w:color w:val="000000"/>
          <w:sz w:val="32"/>
          <w:szCs w:val="32"/>
          <w:lang w:eastAsia="zh-CN"/>
        </w:rPr>
      </w:pPr>
      <w:r>
        <w:rPr>
          <w:rFonts w:hint="eastAsia" w:ascii="仿宋_GB2312" w:hAnsi="仿宋_GB2312" w:eastAsia="仿宋_GB2312" w:cs="仿宋_GB2312"/>
          <w:snapToGrid w:val="0"/>
          <w:color w:val="000000"/>
          <w:sz w:val="32"/>
          <w:szCs w:val="32"/>
          <w:lang w:val="en-US" w:eastAsia="zh-CN"/>
        </w:rPr>
        <w:t>2023年老旧小区物业服务奖补项目共支出财政资金547.047278万元，主要用于7个老旧小区后期物业管理服务工作，经考核合格后共支付奖补资金547.047278万元，圆满完成各项工作目标任务。</w:t>
      </w:r>
    </w:p>
    <w:p w14:paraId="765BDFD5">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（二）项目绩效目标</w:t>
      </w:r>
    </w:p>
    <w:p w14:paraId="3BFE3331">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1.项目年度总体目标</w:t>
      </w:r>
    </w:p>
    <w:p w14:paraId="01EA4186">
      <w:pPr>
        <w:spacing w:line="600" w:lineRule="exact"/>
        <w:ind w:firstLine="640" w:firstLineChars="200"/>
        <w:rPr>
          <w:rFonts w:ascii="Times New Roman" w:hAnsi="Times New Roman" w:eastAsia="仿宋_GB2312"/>
          <w:color w:val="000000"/>
          <w:sz w:val="32"/>
          <w:szCs w:val="32"/>
        </w:rPr>
      </w:pPr>
      <w:r>
        <w:rPr>
          <w:rFonts w:hint="default" w:ascii="仿宋_GB2312" w:hAnsi="仿宋_GB2312" w:eastAsia="仿宋_GB2312" w:cs="仿宋_GB2312"/>
          <w:color w:val="000000"/>
          <w:sz w:val="32"/>
          <w:szCs w:val="32"/>
          <w:lang w:val="en-US" w:eastAsia="zh-CN"/>
        </w:rPr>
        <w:t>2023</w:t>
      </w:r>
      <w:r>
        <w:rPr>
          <w:rFonts w:hint="eastAsia" w:ascii="仿宋_GB2312" w:hAnsi="仿宋_GB2312" w:eastAsia="仿宋_GB2312" w:cs="仿宋_GB2312"/>
          <w:color w:val="000000"/>
          <w:sz w:val="32"/>
          <w:szCs w:val="32"/>
          <w:lang w:val="en-US" w:eastAsia="zh-CN"/>
        </w:rPr>
        <w:t>年度龙岗经济开发区申请财政资金</w:t>
      </w:r>
      <w:r>
        <w:rPr>
          <w:rFonts w:hint="eastAsia" w:ascii="仿宋_GB2312" w:hAnsi="仿宋_GB2312" w:eastAsia="仿宋_GB2312" w:cs="仿宋_GB2312"/>
          <w:snapToGrid w:val="0"/>
          <w:color w:val="000000"/>
          <w:sz w:val="32"/>
          <w:szCs w:val="32"/>
          <w:lang w:val="en-US" w:eastAsia="zh-CN"/>
        </w:rPr>
        <w:t>547.047278万元，主要用于龙岗经济开发区7个老旧小区后期管理工作。通过对物业服务公司的监督管理和考核，从而提高小区物业管理水平，改善小区人居环境，维护社区稳定，进而不断提升小区居民安全感和满意度。</w:t>
      </w:r>
    </w:p>
    <w:p w14:paraId="6335DCED">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2.总体目标完成情况</w:t>
      </w:r>
    </w:p>
    <w:p w14:paraId="511867E0">
      <w:pPr>
        <w:spacing w:line="560" w:lineRule="exact"/>
        <w:ind w:firstLine="640" w:firstLineChars="200"/>
        <w:rPr>
          <w:rFonts w:hint="default" w:ascii="仿宋_GB2312" w:hAnsi="仿宋_GB2312" w:eastAsia="仿宋_GB2312" w:cs="仿宋_GB2312"/>
          <w:color w:val="000000"/>
          <w:sz w:val="32"/>
          <w:szCs w:val="32"/>
          <w:highlight w:val="none"/>
          <w:lang w:val="en-US" w:eastAsia="zh-CN"/>
        </w:rPr>
      </w:pPr>
      <w:r>
        <w:rPr>
          <w:rFonts w:hint="default" w:ascii="仿宋_GB2312" w:hAnsi="仿宋_GB2312" w:eastAsia="仿宋_GB2312" w:cs="仿宋_GB2312"/>
          <w:color w:val="000000"/>
          <w:sz w:val="32"/>
          <w:szCs w:val="32"/>
          <w:highlight w:val="none"/>
          <w:lang w:val="en-US" w:eastAsia="zh-CN"/>
        </w:rPr>
        <w:t>2023</w:t>
      </w:r>
      <w:r>
        <w:rPr>
          <w:rFonts w:hint="eastAsia" w:ascii="仿宋_GB2312" w:hAnsi="仿宋_GB2312" w:eastAsia="仿宋_GB2312" w:cs="仿宋_GB2312"/>
          <w:color w:val="000000"/>
          <w:sz w:val="32"/>
          <w:szCs w:val="32"/>
          <w:highlight w:val="none"/>
          <w:lang w:val="en-US" w:eastAsia="zh-CN"/>
        </w:rPr>
        <w:t>年度完成龙岗开发区7个老旧小区后期管理工作，通过加强小区物业管理，提升物业服务质量，改善居民居住环境，进而提高住宅小区居民安全感和满意度。</w:t>
      </w:r>
    </w:p>
    <w:p w14:paraId="705C795B">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二、绩效</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结论</w:t>
      </w:r>
    </w:p>
    <w:p w14:paraId="6FB656B3">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（一）总体结论</w:t>
      </w:r>
    </w:p>
    <w:p w14:paraId="624AA806">
      <w:pPr>
        <w:spacing w:line="560" w:lineRule="exact"/>
        <w:ind w:firstLine="640" w:firstLineChars="200"/>
        <w:rPr>
          <w:rFonts w:hint="default" w:ascii="Times New Roman" w:hAnsi="Times New Roman" w:eastAsia="仿宋_GB2312"/>
          <w:color w:val="000000"/>
          <w:sz w:val="32"/>
          <w:szCs w:val="32"/>
          <w:lang w:val="en-US"/>
        </w:rPr>
      </w:pPr>
      <w:r>
        <w:rPr>
          <w:rFonts w:hint="eastAsia" w:ascii="Times New Roman" w:hAnsi="Times New Roman" w:eastAsia="仿宋_GB2312"/>
          <w:sz w:val="32"/>
          <w:szCs w:val="32"/>
          <w:lang w:eastAsia="zh-CN"/>
        </w:rPr>
        <w:t>2023</w:t>
      </w:r>
      <w:r>
        <w:rPr>
          <w:rFonts w:ascii="Times New Roman" w:hAnsi="Times New Roman" w:eastAsia="仿宋_GB2312"/>
          <w:sz w:val="32"/>
          <w:szCs w:val="32"/>
        </w:rPr>
        <w:t>年度，</w:t>
      </w:r>
      <w:r>
        <w:rPr>
          <w:rFonts w:hint="eastAsia" w:ascii="Times New Roman" w:hAnsi="Times New Roman" w:eastAsia="仿宋_GB2312"/>
          <w:sz w:val="32"/>
          <w:szCs w:val="32"/>
          <w:lang w:val="en-US" w:eastAsia="zh-CN"/>
        </w:rPr>
        <w:t>龙岗开发区</w:t>
      </w:r>
      <w:r>
        <w:rPr>
          <w:rFonts w:ascii="Times New Roman" w:hAnsi="Times New Roman" w:eastAsia="仿宋_GB2312"/>
          <w:color w:val="000000"/>
          <w:sz w:val="32"/>
          <w:szCs w:val="32"/>
        </w:rPr>
        <w:t>申请财政资金</w:t>
      </w:r>
      <w:r>
        <w:rPr>
          <w:rFonts w:hint="eastAsia" w:ascii="仿宋_GB2312" w:hAnsi="仿宋_GB2312" w:eastAsia="仿宋_GB2312" w:cs="仿宋_GB2312"/>
          <w:snapToGrid w:val="0"/>
          <w:color w:val="000000"/>
          <w:sz w:val="32"/>
          <w:szCs w:val="32"/>
          <w:lang w:val="en-US" w:eastAsia="zh-CN"/>
        </w:rPr>
        <w:t>547.047278万元</w:t>
      </w:r>
      <w:r>
        <w:rPr>
          <w:rFonts w:hint="eastAsia" w:ascii="仿宋_GB2312" w:hAnsi="仿宋_GB2312" w:eastAsia="仿宋_GB2312" w:cs="仿宋_GB2312"/>
          <w:snapToGrid w:val="0"/>
          <w:color w:val="000000"/>
          <w:sz w:val="32"/>
          <w:szCs w:val="32"/>
        </w:rPr>
        <w:t>，</w:t>
      </w:r>
      <w:r>
        <w:rPr>
          <w:rFonts w:hint="eastAsia" w:ascii="仿宋_GB2312" w:hAnsi="仿宋_GB2312" w:eastAsia="仿宋_GB2312" w:cs="仿宋_GB2312"/>
          <w:snapToGrid w:val="0"/>
          <w:color w:val="000000"/>
          <w:sz w:val="32"/>
          <w:szCs w:val="32"/>
          <w:lang w:val="en-US" w:eastAsia="zh-CN"/>
        </w:rPr>
        <w:t>共完成以下工作：一是完成对住宅小区物业公司进行百分制巡查考核工作；二是多方宣传引导强化居民主人翁意识，着重强化培养物业管理工作，进而提高</w:t>
      </w:r>
      <w:r>
        <w:rPr>
          <w:rFonts w:hint="eastAsia" w:ascii="仿宋_GB2312" w:hAnsi="仿宋_GB2312" w:eastAsia="仿宋_GB2312" w:cs="仿宋_GB2312"/>
          <w:color w:val="000000"/>
          <w:sz w:val="32"/>
          <w:szCs w:val="32"/>
          <w:lang w:val="en-US" w:eastAsia="zh-CN"/>
        </w:rPr>
        <w:t>物业服务水平，共建美好家园，使居民幸福感、安全感、满意度上一台阶。截止2023年底圆满完成对7个老旧小区后期管理工作，及时足额拨付奖补资金。</w:t>
      </w:r>
    </w:p>
    <w:p w14:paraId="690CB77A">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w:t>
      </w:r>
      <w:r>
        <w:rPr>
          <w:rFonts w:hint="eastAsia" w:ascii="Times New Roman" w:hAnsi="Times New Roman" w:eastAsia="楷体_GB2312"/>
          <w:b/>
          <w:color w:val="000000"/>
          <w:sz w:val="32"/>
          <w:szCs w:val="32"/>
        </w:rPr>
        <w:t>评价</w:t>
      </w:r>
      <w:r>
        <w:rPr>
          <w:rFonts w:ascii="Times New Roman" w:hAnsi="Times New Roman" w:eastAsia="楷体_GB2312"/>
          <w:b/>
          <w:color w:val="000000"/>
          <w:sz w:val="32"/>
          <w:szCs w:val="32"/>
        </w:rPr>
        <w:t>结果</w:t>
      </w:r>
    </w:p>
    <w:p w14:paraId="2CFE0B25">
      <w:pPr>
        <w:spacing w:line="560"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经自评，2023年度老旧小区后期管理经费项目自评综合得分为98分，自评结果为“优”。</w:t>
      </w:r>
    </w:p>
    <w:p w14:paraId="7A8D31F7">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三、指标分析</w:t>
      </w:r>
    </w:p>
    <w:p w14:paraId="5A2686E1">
      <w:pPr>
        <w:spacing w:line="600" w:lineRule="exact"/>
        <w:ind w:firstLine="640" w:firstLineChars="200"/>
        <w:rPr>
          <w:rFonts w:ascii="Times New Roman" w:eastAsia="仿宋_GB2312"/>
          <w:color w:val="000000"/>
          <w:sz w:val="32"/>
          <w:szCs w:val="32"/>
        </w:rPr>
      </w:pPr>
      <w:r>
        <w:rPr>
          <w:rFonts w:eastAsia="仿宋_GB2312"/>
          <w:sz w:val="32"/>
          <w:szCs w:val="32"/>
        </w:rPr>
        <w:t>202</w:t>
      </w:r>
      <w:r>
        <w:rPr>
          <w:rFonts w:hint="eastAsia" w:eastAsia="仿宋_GB2312"/>
          <w:sz w:val="32"/>
          <w:szCs w:val="32"/>
          <w:lang w:val="en-US" w:eastAsia="zh-CN"/>
        </w:rPr>
        <w:t>3</w:t>
      </w:r>
      <w:r>
        <w:rPr>
          <w:rFonts w:ascii="Times New Roman" w:eastAsia="仿宋_GB2312"/>
          <w:color w:val="000000"/>
          <w:sz w:val="32"/>
          <w:szCs w:val="32"/>
        </w:rPr>
        <w:t>年度</w:t>
      </w:r>
      <w:r>
        <w:rPr>
          <w:rFonts w:hint="eastAsia" w:ascii="Times New Roman" w:eastAsia="仿宋_GB2312"/>
          <w:color w:val="000000"/>
          <w:sz w:val="32"/>
          <w:szCs w:val="32"/>
          <w:lang w:eastAsia="zh-CN"/>
        </w:rPr>
        <w:t>，</w:t>
      </w:r>
      <w:r>
        <w:rPr>
          <w:rFonts w:hint="eastAsia" w:ascii="Times New Roman" w:eastAsia="仿宋_GB2312"/>
          <w:sz w:val="32"/>
          <w:szCs w:val="32"/>
          <w:lang w:val="en-US" w:eastAsia="zh-CN"/>
        </w:rPr>
        <w:t>老旧小区物业服务</w:t>
      </w:r>
      <w:r>
        <w:rPr>
          <w:rFonts w:ascii="Times New Roman" w:eastAsia="仿宋_GB2312"/>
          <w:color w:val="000000"/>
          <w:sz w:val="32"/>
          <w:szCs w:val="32"/>
        </w:rPr>
        <w:t>项目绩效自评指标体系共设置</w:t>
      </w:r>
      <w:r>
        <w:rPr>
          <w:rFonts w:hint="eastAsia" w:eastAsia="仿宋_GB2312"/>
          <w:sz w:val="32"/>
          <w:szCs w:val="32"/>
          <w:lang w:val="en-US" w:eastAsia="zh-CN"/>
        </w:rPr>
        <w:t>3</w:t>
      </w:r>
      <w:r>
        <w:rPr>
          <w:rFonts w:ascii="Times New Roman" w:eastAsia="仿宋_GB2312"/>
          <w:color w:val="000000"/>
          <w:sz w:val="32"/>
          <w:szCs w:val="32"/>
        </w:rPr>
        <w:t>个一级指标，</w:t>
      </w:r>
      <w:r>
        <w:rPr>
          <w:rFonts w:hint="eastAsia" w:ascii="Times New Roman" w:eastAsia="仿宋_GB2312"/>
          <w:color w:val="000000"/>
          <w:sz w:val="32"/>
          <w:szCs w:val="32"/>
          <w:lang w:val="en-US" w:eastAsia="zh-CN"/>
        </w:rPr>
        <w:t>8</w:t>
      </w:r>
      <w:r>
        <w:rPr>
          <w:rFonts w:ascii="Times New Roman" w:eastAsia="仿宋_GB2312"/>
          <w:color w:val="000000"/>
          <w:sz w:val="32"/>
          <w:szCs w:val="32"/>
        </w:rPr>
        <w:t>个二级指标，</w:t>
      </w:r>
      <w:r>
        <w:rPr>
          <w:rFonts w:hint="eastAsia" w:ascii="Times New Roman" w:eastAsia="仿宋_GB2312"/>
          <w:color w:val="000000"/>
          <w:sz w:val="32"/>
          <w:szCs w:val="32"/>
          <w:lang w:val="en-US" w:eastAsia="zh-CN"/>
        </w:rPr>
        <w:t>9</w:t>
      </w:r>
      <w:r>
        <w:rPr>
          <w:rFonts w:ascii="Times New Roman" w:eastAsia="仿宋_GB2312"/>
          <w:color w:val="000000"/>
          <w:sz w:val="32"/>
          <w:szCs w:val="32"/>
        </w:rPr>
        <w:t>个三级指标，各项指标评分情况分析如下：</w:t>
      </w:r>
    </w:p>
    <w:p w14:paraId="0C0932BF">
      <w:pPr>
        <w:spacing w:line="592" w:lineRule="exact"/>
        <w:ind w:firstLine="643" w:firstLineChars="200"/>
        <w:rPr>
          <w:rFonts w:ascii="Times New Roman" w:hAnsi="Times New Roman" w:eastAsia="楷体_GB2312"/>
          <w:b/>
          <w:bCs/>
          <w:sz w:val="32"/>
        </w:rPr>
      </w:pPr>
      <w:r>
        <w:rPr>
          <w:rFonts w:ascii="Times New Roman" w:hAnsi="Times New Roman" w:eastAsia="楷体_GB2312"/>
          <w:b/>
          <w:bCs/>
          <w:sz w:val="32"/>
        </w:rPr>
        <w:t>（一）预算执行率（满分10分，实得</w:t>
      </w:r>
      <w:r>
        <w:rPr>
          <w:rFonts w:hint="eastAsia" w:ascii="Times New Roman" w:hAnsi="Times New Roman" w:eastAsia="楷体_GB2312"/>
          <w:b/>
          <w:bCs/>
          <w:sz w:val="32"/>
          <w:lang w:val="en-US" w:eastAsia="zh-CN"/>
        </w:rPr>
        <w:t>10</w:t>
      </w:r>
      <w:r>
        <w:rPr>
          <w:rFonts w:ascii="Times New Roman" w:hAnsi="Times New Roman" w:eastAsia="楷体_GB2312"/>
          <w:b/>
          <w:bCs/>
          <w:sz w:val="32"/>
        </w:rPr>
        <w:t>分）</w:t>
      </w:r>
    </w:p>
    <w:p w14:paraId="2D303688">
      <w:pPr>
        <w:spacing w:line="592" w:lineRule="exact"/>
        <w:ind w:right="-283"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2023</w:t>
      </w:r>
      <w:r>
        <w:rPr>
          <w:rFonts w:ascii="Times New Roman" w:hAnsi="Times New Roman" w:eastAsia="仿宋_GB2312"/>
          <w:color w:val="000000"/>
          <w:sz w:val="32"/>
          <w:szCs w:val="32"/>
        </w:rPr>
        <w:t>年</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老旧小区</w:t>
      </w:r>
      <w:r>
        <w:rPr>
          <w:rFonts w:hint="eastAsia" w:ascii="仿宋_GB2312" w:hAnsi="仿宋_GB2312" w:eastAsia="仿宋_GB2312" w:cs="仿宋_GB2312"/>
          <w:color w:val="000000"/>
          <w:sz w:val="32"/>
          <w:szCs w:val="32"/>
          <w:lang w:val="en-US" w:eastAsia="zh-CN"/>
        </w:rPr>
        <w:t>后期管理经费项目</w:t>
      </w:r>
      <w:r>
        <w:rPr>
          <w:rFonts w:ascii="Times New Roman" w:hAnsi="Times New Roman" w:eastAsia="仿宋_GB2312"/>
          <w:color w:val="000000"/>
          <w:sz w:val="32"/>
          <w:szCs w:val="32"/>
        </w:rPr>
        <w:t>全年预算安排</w:t>
      </w:r>
      <w:r>
        <w:rPr>
          <w:rFonts w:hint="eastAsia" w:ascii="仿宋_GB2312" w:hAnsi="仿宋_GB2312" w:eastAsia="仿宋_GB2312" w:cs="仿宋_GB2312"/>
          <w:snapToGrid w:val="0"/>
          <w:color w:val="000000"/>
          <w:sz w:val="32"/>
          <w:szCs w:val="32"/>
          <w:lang w:val="en-US" w:eastAsia="zh-CN"/>
        </w:rPr>
        <w:t>547.047278万元</w:t>
      </w:r>
      <w:r>
        <w:rPr>
          <w:rFonts w:ascii="Times New Roman" w:hAnsi="Times New Roman" w:eastAsia="仿宋_GB2312"/>
          <w:color w:val="000000"/>
          <w:sz w:val="32"/>
          <w:szCs w:val="32"/>
        </w:rPr>
        <w:t>，全年执行</w:t>
      </w:r>
      <w:r>
        <w:rPr>
          <w:rFonts w:hint="eastAsia" w:ascii="仿宋_GB2312" w:hAnsi="仿宋_GB2312" w:eastAsia="仿宋_GB2312" w:cs="仿宋_GB2312"/>
          <w:snapToGrid w:val="0"/>
          <w:color w:val="000000"/>
          <w:sz w:val="32"/>
          <w:szCs w:val="32"/>
          <w:lang w:val="en-US" w:eastAsia="zh-CN"/>
        </w:rPr>
        <w:t>547.047278万元</w:t>
      </w:r>
      <w:r>
        <w:rPr>
          <w:rFonts w:ascii="Times New Roman" w:hAnsi="Times New Roman" w:eastAsia="仿宋_GB2312"/>
          <w:color w:val="000000"/>
          <w:sz w:val="32"/>
          <w:szCs w:val="32"/>
        </w:rPr>
        <w:t>，预算执行率</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098AB052">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二</w:t>
      </w:r>
      <w:r>
        <w:rPr>
          <w:rFonts w:ascii="Times New Roman" w:hAnsi="Times New Roman" w:eastAsia="楷体_GB2312"/>
          <w:b/>
          <w:color w:val="000000"/>
          <w:sz w:val="32"/>
          <w:szCs w:val="32"/>
        </w:rPr>
        <w:t>）产出指标（满分</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48</w:t>
      </w:r>
      <w:r>
        <w:rPr>
          <w:rFonts w:ascii="Times New Roman" w:hAnsi="Times New Roman" w:eastAsia="楷体_GB2312"/>
          <w:b/>
          <w:color w:val="000000"/>
          <w:sz w:val="32"/>
          <w:szCs w:val="32"/>
        </w:rPr>
        <w:t>分）</w:t>
      </w:r>
    </w:p>
    <w:p w14:paraId="66E5753F">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sz w:val="32"/>
          <w:szCs w:val="32"/>
        </w:rPr>
        <w:t>1.数量指标（满分</w:t>
      </w:r>
      <w:r>
        <w:rPr>
          <w:rFonts w:hint="eastAsia" w:ascii="Times New Roman" w:hAnsi="Times New Roman" w:eastAsia="仿宋_GB2312"/>
          <w:sz w:val="32"/>
          <w:szCs w:val="32"/>
          <w:lang w:val="en-US" w:eastAsia="zh-CN"/>
        </w:rPr>
        <w:t>20</w:t>
      </w:r>
      <w:r>
        <w:rPr>
          <w:rFonts w:ascii="Times New Roman" w:hAnsi="Times New Roman" w:eastAsia="仿宋_GB2312"/>
          <w:sz w:val="32"/>
          <w:szCs w:val="32"/>
        </w:rPr>
        <w:t>分，</w:t>
      </w:r>
      <w:r>
        <w:rPr>
          <w:rFonts w:ascii="Times New Roman" w:hAnsi="Times New Roman" w:eastAsia="仿宋_GB2312"/>
          <w:color w:val="000000"/>
          <w:sz w:val="32"/>
          <w:szCs w:val="32"/>
        </w:rPr>
        <w:t>实得</w:t>
      </w:r>
      <w:r>
        <w:rPr>
          <w:rFonts w:hint="eastAsia" w:ascii="Times New Roman" w:hAnsi="Times New Roman" w:eastAsia="仿宋_GB2312"/>
          <w:color w:val="000000"/>
          <w:sz w:val="32"/>
          <w:szCs w:val="32"/>
          <w:lang w:val="en-US" w:eastAsia="zh-CN"/>
        </w:rPr>
        <w:t>19</w:t>
      </w:r>
      <w:r>
        <w:rPr>
          <w:rFonts w:ascii="Times New Roman" w:hAnsi="Times New Roman" w:eastAsia="仿宋_GB2312"/>
          <w:color w:val="000000"/>
          <w:sz w:val="32"/>
          <w:szCs w:val="32"/>
        </w:rPr>
        <w:t>分）</w:t>
      </w:r>
    </w:p>
    <w:p w14:paraId="29AEDCCA">
      <w:pPr>
        <w:spacing w:line="600" w:lineRule="exact"/>
        <w:ind w:firstLine="640" w:firstLineChars="200"/>
        <w:rPr>
          <w:rFonts w:hint="default" w:ascii="Times New Roman" w:hAnsi="Times New Roman" w:eastAsia="仿宋_GB2312"/>
          <w:color w:val="000000"/>
          <w:sz w:val="32"/>
          <w:szCs w:val="32"/>
          <w:lang w:val="en-US"/>
        </w:rPr>
      </w:pPr>
      <w:r>
        <w:rPr>
          <w:rFonts w:ascii="Times New Roman" w:hAnsi="Times New Roman" w:eastAsia="仿宋_GB2312"/>
          <w:color w:val="000000"/>
          <w:sz w:val="32"/>
          <w:szCs w:val="32"/>
        </w:rPr>
        <w:t>年度设定的数量指标为</w:t>
      </w:r>
      <w:r>
        <w:rPr>
          <w:rFonts w:hint="eastAsia" w:ascii="Times New Roman" w:hAnsi="Times New Roman" w:eastAsia="仿宋_GB2312"/>
          <w:color w:val="000000"/>
          <w:sz w:val="32"/>
          <w:szCs w:val="32"/>
          <w:lang w:val="en-US" w:eastAsia="zh-CN"/>
        </w:rPr>
        <w:t>①回迁安置小区数5个②物业公司考核率；实际完成情况为</w:t>
      </w:r>
      <w:r>
        <w:rPr>
          <w:rFonts w:ascii="Times New Roman" w:hAnsi="Times New Roman" w:eastAsia="仿宋_GB2312"/>
          <w:color w:val="000000"/>
          <w:sz w:val="32"/>
          <w:szCs w:val="32"/>
        </w:rPr>
        <w:t>截至</w:t>
      </w:r>
      <w:r>
        <w:rPr>
          <w:rFonts w:hint="eastAsia" w:ascii="Times New Roman" w:hAnsi="Times New Roman" w:eastAsia="仿宋_GB2312"/>
          <w:color w:val="000000"/>
          <w:sz w:val="32"/>
          <w:szCs w:val="32"/>
          <w:lang w:eastAsia="zh-CN"/>
        </w:rPr>
        <w:t>2023</w:t>
      </w:r>
      <w:r>
        <w:rPr>
          <w:rFonts w:hint="eastAsia" w:ascii="Times New Roman" w:hAnsi="Times New Roman" w:eastAsia="仿宋_GB2312"/>
          <w:color w:val="000000"/>
          <w:sz w:val="32"/>
          <w:szCs w:val="32"/>
          <w:lang w:val="en-US" w:eastAsia="zh-CN"/>
        </w:rPr>
        <w:t>年底总共完成7个老旧小区后期管理工作，同时组织属地社区对辖区内老旧小区进行物业服务日常巡查及考核工作，发现问题及时沟通协调，有效的提升辖区物业服务质量，</w:t>
      </w:r>
      <w:r>
        <w:rPr>
          <w:rFonts w:ascii="Times New Roman" w:hAnsi="Times New Roman" w:eastAsia="仿宋_GB2312"/>
          <w:color w:val="000000"/>
          <w:sz w:val="32"/>
          <w:szCs w:val="32"/>
        </w:rPr>
        <w:t>实际完成率为</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19分。</w:t>
      </w:r>
      <w:r>
        <w:rPr>
          <w:rFonts w:hint="eastAsia" w:ascii="仿宋_GB2312" w:hAnsi="仿宋_GB2312" w:eastAsia="仿宋_GB2312" w:cs="仿宋_GB2312"/>
          <w:color w:val="000000"/>
          <w:sz w:val="32"/>
          <w:szCs w:val="32"/>
          <w:lang w:val="en-US" w:eastAsia="zh-CN"/>
        </w:rPr>
        <w:t>完成值高于指标值较多的主要原因是老旧小区增加，总共7个老旧小区（</w:t>
      </w:r>
      <w:r>
        <w:rPr>
          <w:rFonts w:hint="eastAsia" w:ascii="仿宋_GB2312" w:hAnsi="仿宋_GB2312" w:eastAsia="仿宋_GB2312" w:cs="仿宋_GB2312"/>
          <w:snapToGrid w:val="0"/>
          <w:color w:val="000000"/>
          <w:sz w:val="32"/>
          <w:szCs w:val="32"/>
          <w:lang w:val="en-US" w:eastAsia="zh-CN"/>
        </w:rPr>
        <w:t>孙大郢东西区、二十埠小河湾回迁楼、店岗新村、金光苑小区、费子冲恢复楼、马岗2-9号楼</w:t>
      </w:r>
      <w:r>
        <w:rPr>
          <w:rFonts w:hint="eastAsia" w:ascii="仿宋_GB2312" w:hAnsi="仿宋_GB2312" w:eastAsia="仿宋_GB2312" w:cs="仿宋_GB2312"/>
          <w:color w:val="000000"/>
          <w:sz w:val="32"/>
          <w:szCs w:val="32"/>
          <w:lang w:val="en-US" w:eastAsia="zh-CN"/>
        </w:rPr>
        <w:t>）。</w:t>
      </w:r>
    </w:p>
    <w:p w14:paraId="31D2619D">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2.时效指标（满分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4CBC6D0E">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s="Times New Roman"/>
          <w:color w:val="000000"/>
          <w:sz w:val="32"/>
          <w:szCs w:val="32"/>
        </w:rPr>
        <w:t>年度设定的数量指标为</w:t>
      </w:r>
      <w:r>
        <w:rPr>
          <w:rFonts w:hint="eastAsia" w:ascii="Times New Roman" w:hAnsi="Times New Roman" w:eastAsia="仿宋_GB2312" w:cs="Times New Roman"/>
          <w:color w:val="000000"/>
          <w:sz w:val="32"/>
          <w:szCs w:val="32"/>
          <w:lang w:val="en-US" w:eastAsia="zh-CN"/>
        </w:rPr>
        <w:t>完成进度</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val="en-US" w:eastAsia="zh-CN"/>
        </w:rPr>
        <w:t>按照规定时间完成龙岗开发区老旧小区物业管理考核工作，达到预期目标</w:t>
      </w:r>
      <w:r>
        <w:rPr>
          <w:rFonts w:ascii="Times New Roman" w:hAnsi="Times New Roman" w:eastAsia="仿宋_GB2312"/>
          <w:b/>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149283C5">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3.质量指标（满分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75D839B9">
      <w:pPr>
        <w:spacing w:line="600" w:lineRule="exact"/>
        <w:ind w:firstLine="640" w:firstLineChars="200"/>
        <w:rPr>
          <w:rFonts w:ascii="Times New Roman" w:hAnsi="Times New Roman" w:eastAsia="仿宋_GB2312"/>
          <w:color w:val="000000"/>
          <w:sz w:val="32"/>
          <w:szCs w:val="32"/>
        </w:rPr>
      </w:pPr>
      <w:r>
        <w:rPr>
          <w:rFonts w:hint="eastAsia" w:ascii="仿宋_GB2312" w:hAnsi="仿宋_GB2312" w:eastAsia="仿宋_GB2312" w:cs="仿宋_GB2312"/>
          <w:color w:val="000000"/>
          <w:sz w:val="32"/>
          <w:szCs w:val="32"/>
        </w:rPr>
        <w:t>年度设定的质量指标为</w:t>
      </w:r>
      <w:r>
        <w:rPr>
          <w:rFonts w:hint="eastAsia" w:ascii="仿宋_GB2312" w:hAnsi="仿宋_GB2312" w:eastAsia="仿宋_GB2312" w:cs="仿宋_GB2312"/>
          <w:color w:val="000000"/>
          <w:sz w:val="32"/>
          <w:szCs w:val="32"/>
          <w:lang w:val="en-US" w:eastAsia="zh-CN"/>
        </w:rPr>
        <w:t>管护质量</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val="en-US" w:eastAsia="zh-CN"/>
        </w:rPr>
        <w:t>保障辖区居民居住幸福感，缓解群众意见，降低业主投诉数量，达到预期目标</w:t>
      </w:r>
      <w:r>
        <w:rPr>
          <w:rFonts w:ascii="Times New Roman" w:hAnsi="Times New Roman" w:eastAsia="仿宋_GB2312"/>
          <w:b/>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39447E31">
      <w:pPr>
        <w:spacing w:line="600" w:lineRule="exact"/>
        <w:ind w:firstLine="640" w:firstLineChars="200"/>
        <w:rPr>
          <w:rFonts w:ascii="Times New Roman" w:hAnsi="Times New Roman" w:eastAsia="仿宋_GB2312"/>
          <w:sz w:val="32"/>
          <w:szCs w:val="32"/>
        </w:rPr>
      </w:pPr>
      <w:r>
        <w:rPr>
          <w:rFonts w:ascii="Times New Roman" w:hAnsi="Times New Roman" w:eastAsia="仿宋_GB2312"/>
          <w:color w:val="000000"/>
          <w:sz w:val="32"/>
          <w:szCs w:val="32"/>
        </w:rPr>
        <w:t>4.成本指标（满分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9</w:t>
      </w:r>
      <w:r>
        <w:rPr>
          <w:rFonts w:ascii="Times New Roman" w:hAnsi="Times New Roman" w:eastAsia="仿宋_GB2312"/>
          <w:color w:val="000000"/>
          <w:sz w:val="32"/>
          <w:szCs w:val="32"/>
        </w:rPr>
        <w:t>分）</w:t>
      </w:r>
      <w:r>
        <w:rPr>
          <w:rFonts w:ascii="Times New Roman" w:hAnsi="Times New Roman" w:eastAsia="仿宋_GB2312"/>
          <w:sz w:val="32"/>
          <w:szCs w:val="32"/>
        </w:rPr>
        <w:tab/>
      </w:r>
    </w:p>
    <w:p w14:paraId="7908CE32">
      <w:pPr>
        <w:widowControl/>
        <w:spacing w:line="600" w:lineRule="exact"/>
        <w:ind w:right="-283" w:firstLine="640" w:firstLineChars="200"/>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年度设定的成本指标为项目总成本</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≤指标值）</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指标值168.9480万元，</w:t>
      </w:r>
      <w:r>
        <w:rPr>
          <w:rFonts w:hint="eastAsia" w:ascii="仿宋_GB2312" w:hAnsi="仿宋_GB2312" w:eastAsia="仿宋_GB2312" w:cs="仿宋_GB2312"/>
          <w:color w:val="000000"/>
          <w:sz w:val="32"/>
          <w:szCs w:val="32"/>
        </w:rPr>
        <w:t>实际完成情况为</w:t>
      </w:r>
      <w:r>
        <w:rPr>
          <w:rFonts w:hint="eastAsia" w:ascii="仿宋_GB2312" w:hAnsi="仿宋_GB2312" w:eastAsia="仿宋_GB2312" w:cs="仿宋_GB2312"/>
          <w:snapToGrid w:val="0"/>
          <w:color w:val="000000"/>
          <w:sz w:val="32"/>
          <w:szCs w:val="32"/>
          <w:lang w:val="en-US" w:eastAsia="zh-CN"/>
        </w:rPr>
        <w:t>547.047278万元</w:t>
      </w:r>
      <w:r>
        <w:rPr>
          <w:rFonts w:hint="eastAsia" w:ascii="仿宋_GB2312" w:hAnsi="仿宋_GB2312" w:eastAsia="仿宋_GB2312" w:cs="仿宋_GB2312"/>
          <w:color w:val="000000"/>
          <w:sz w:val="32"/>
          <w:szCs w:val="32"/>
        </w:rPr>
        <w:t>，得分</w:t>
      </w:r>
      <w:r>
        <w:rPr>
          <w:rFonts w:hint="eastAsia" w:ascii="仿宋_GB2312" w:hAnsi="仿宋_GB2312" w:eastAsia="仿宋_GB2312" w:cs="仿宋_GB2312"/>
          <w:color w:val="000000"/>
          <w:sz w:val="32"/>
          <w:szCs w:val="32"/>
          <w:lang w:val="en-US" w:eastAsia="zh-CN"/>
        </w:rPr>
        <w:t>9</w:t>
      </w:r>
      <w:r>
        <w:rPr>
          <w:rFonts w:hint="eastAsia" w:ascii="仿宋_GB2312" w:hAnsi="仿宋_GB2312" w:eastAsia="仿宋_GB2312" w:cs="仿宋_GB2312"/>
          <w:color w:val="000000"/>
          <w:sz w:val="32"/>
          <w:szCs w:val="32"/>
        </w:rPr>
        <w:t>分。</w:t>
      </w:r>
      <w:r>
        <w:rPr>
          <w:rFonts w:hint="eastAsia" w:ascii="仿宋_GB2312" w:hAnsi="仿宋_GB2312" w:eastAsia="仿宋_GB2312" w:cs="仿宋_GB2312"/>
          <w:color w:val="000000"/>
          <w:sz w:val="32"/>
          <w:szCs w:val="32"/>
          <w:lang w:val="en-US" w:eastAsia="zh-CN"/>
        </w:rPr>
        <w:t>完成值高于指标值较多的主要原因是老旧小区增加，后期追加财政资金。</w:t>
      </w:r>
    </w:p>
    <w:p w14:paraId="61FD0461">
      <w:pPr>
        <w:widowControl/>
        <w:spacing w:line="600" w:lineRule="exact"/>
        <w:ind w:right="-283"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三</w:t>
      </w:r>
      <w:r>
        <w:rPr>
          <w:rFonts w:ascii="Times New Roman" w:hAnsi="Times New Roman" w:eastAsia="楷体_GB2312"/>
          <w:b/>
          <w:color w:val="000000"/>
          <w:sz w:val="32"/>
          <w:szCs w:val="32"/>
        </w:rPr>
        <w:t>）效益指标（满分30分，实得</w:t>
      </w:r>
      <w:r>
        <w:rPr>
          <w:rFonts w:hint="eastAsia" w:ascii="Times New Roman" w:hAnsi="Times New Roman" w:eastAsia="楷体_GB2312"/>
          <w:b/>
          <w:color w:val="000000"/>
          <w:sz w:val="32"/>
          <w:szCs w:val="32"/>
          <w:lang w:val="en-US" w:eastAsia="zh-CN"/>
        </w:rPr>
        <w:t>30</w:t>
      </w:r>
      <w:r>
        <w:rPr>
          <w:rFonts w:ascii="Times New Roman" w:hAnsi="Times New Roman" w:eastAsia="楷体_GB2312"/>
          <w:b/>
          <w:color w:val="000000"/>
          <w:sz w:val="32"/>
          <w:szCs w:val="32"/>
        </w:rPr>
        <w:t>分）</w:t>
      </w:r>
    </w:p>
    <w:p w14:paraId="7B3E38B7">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1.经济效益指标（满分</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w:t>
      </w:r>
    </w:p>
    <w:p w14:paraId="79ED4859">
      <w:pPr>
        <w:spacing w:line="600" w:lineRule="exact"/>
        <w:ind w:firstLine="640" w:firstLineChars="200"/>
        <w:rPr>
          <w:rFonts w:ascii="Times New Roman" w:hAnsi="Times New Roman" w:eastAsia="仿宋_GB2312"/>
          <w:color w:val="000000"/>
          <w:sz w:val="32"/>
          <w:szCs w:val="32"/>
        </w:rPr>
      </w:pPr>
      <w:r>
        <w:rPr>
          <w:rFonts w:hint="eastAsia" w:ascii="Times New Roman" w:eastAsia="仿宋_GB2312"/>
          <w:color w:val="000000"/>
          <w:sz w:val="32"/>
          <w:szCs w:val="32"/>
          <w:lang w:eastAsia="zh-CN"/>
        </w:rPr>
        <w:t>本指标不适用此项目。</w:t>
      </w:r>
    </w:p>
    <w:p w14:paraId="3D867117">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2.社会效益指标（满分</w:t>
      </w:r>
      <w:r>
        <w:rPr>
          <w:rFonts w:hint="eastAsia" w:ascii="Times New Roman" w:hAnsi="Times New Roman" w:eastAsia="仿宋_GB2312"/>
          <w:color w:val="000000"/>
          <w:sz w:val="32"/>
          <w:szCs w:val="32"/>
          <w:lang w:val="en-US" w:eastAsia="zh-CN"/>
        </w:rPr>
        <w:t>1</w:t>
      </w:r>
      <w:r>
        <w:rPr>
          <w:rFonts w:hint="default"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w:t>
      </w:r>
      <w:r>
        <w:rPr>
          <w:rFonts w:hint="default"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w:t>
      </w:r>
    </w:p>
    <w:p w14:paraId="1B3F7983">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年度设定的社会效益指标为提高物业服务热情度，实际完成情况为物业管理水平得到显著提高，及时处理居民问题，达到预期目标，该指标自评得分1</w:t>
      </w:r>
      <w:r>
        <w:rPr>
          <w:rFonts w:hint="default" w:ascii="Times New Roman" w:hAnsi="Times New Roman" w:eastAsia="仿宋_GB2312"/>
          <w:color w:val="000000"/>
          <w:sz w:val="32"/>
          <w:szCs w:val="32"/>
          <w:lang w:val="en-US" w:eastAsia="zh-CN"/>
        </w:rPr>
        <w:t>0</w:t>
      </w:r>
      <w:r>
        <w:rPr>
          <w:rFonts w:hint="eastAsia" w:ascii="Times New Roman" w:hAnsi="Times New Roman" w:eastAsia="仿宋_GB2312"/>
          <w:color w:val="000000"/>
          <w:sz w:val="32"/>
          <w:szCs w:val="32"/>
          <w:lang w:val="en-US" w:eastAsia="zh-CN"/>
        </w:rPr>
        <w:t>分。</w:t>
      </w:r>
    </w:p>
    <w:p w14:paraId="2E107DED">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3.生态效益指标（满分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0C35C745">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年度设定的生态效益指标为小区居住环境治理得到有效保障，居民幸福感得到提高，实际完成情况为居民居住环境得到明显改善，满意度明显提升，达到预期目标，该指标自评得分10分。</w:t>
      </w:r>
    </w:p>
    <w:p w14:paraId="4B360D67">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4.可持续影响指标（满分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7EC31587">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年度设定的可持续影响指标为对小区环境可持续影响程度，实际完成情况为通过多方积极宣传引导，居民主人翁意识逐渐增强，共同参与环境治理工作，达到预期目标，该指标自评得分10分。</w:t>
      </w:r>
    </w:p>
    <w:p w14:paraId="00FE51FA">
      <w:pPr>
        <w:spacing w:line="600" w:lineRule="exact"/>
        <w:ind w:right="-283" w:firstLine="643" w:firstLineChars="200"/>
        <w:rPr>
          <w:rFonts w:ascii="Times New Roman" w:hAnsi="Times New Roman" w:eastAsia="仿宋_GB2312"/>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四</w:t>
      </w: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满意度</w:t>
      </w:r>
      <w:r>
        <w:rPr>
          <w:rFonts w:ascii="Times New Roman" w:hAnsi="Times New Roman" w:eastAsia="楷体_GB2312"/>
          <w:b/>
          <w:color w:val="000000"/>
          <w:sz w:val="32"/>
          <w:szCs w:val="32"/>
        </w:rPr>
        <w:t>指标（满分</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w:t>
      </w:r>
    </w:p>
    <w:p w14:paraId="1312284A">
      <w:pPr>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通过</w:t>
      </w:r>
      <w:r>
        <w:rPr>
          <w:rFonts w:hint="eastAsia" w:ascii="Times New Roman" w:hAnsi="Times New Roman" w:eastAsia="仿宋_GB2312"/>
          <w:color w:val="000000"/>
          <w:sz w:val="32"/>
          <w:szCs w:val="32"/>
          <w:lang w:val="en-US" w:eastAsia="zh-CN"/>
        </w:rPr>
        <w:t>电话</w:t>
      </w:r>
      <w:r>
        <w:rPr>
          <w:rFonts w:hint="eastAsia" w:ascii="Times New Roman" w:hAnsi="Times New Roman" w:eastAsia="仿宋_GB2312"/>
          <w:color w:val="000000"/>
          <w:sz w:val="32"/>
          <w:szCs w:val="32"/>
        </w:rPr>
        <w:t>回访方式获取广大民众和服务对象对</w:t>
      </w:r>
      <w:r>
        <w:rPr>
          <w:rFonts w:hint="eastAsia" w:ascii="Times New Roman" w:hAnsi="Times New Roman" w:eastAsia="仿宋_GB2312"/>
          <w:color w:val="000000"/>
          <w:sz w:val="32"/>
          <w:szCs w:val="32"/>
          <w:lang w:eastAsia="zh-CN"/>
        </w:rPr>
        <w:t>职能部门</w:t>
      </w:r>
      <w:r>
        <w:rPr>
          <w:rFonts w:hint="eastAsia" w:ascii="Times New Roman" w:hAnsi="Times New Roman" w:eastAsia="仿宋_GB2312"/>
          <w:color w:val="000000"/>
          <w:sz w:val="32"/>
          <w:szCs w:val="32"/>
        </w:rPr>
        <w:t>履职效果满意度和对电话回访情况进行统计分析,</w:t>
      </w:r>
      <w:r>
        <w:rPr>
          <w:rFonts w:hint="eastAsia" w:ascii="Times New Roman" w:hAnsi="Times New Roman" w:eastAsia="仿宋_GB2312"/>
          <w:color w:val="000000"/>
          <w:sz w:val="32"/>
          <w:szCs w:val="32"/>
          <w:lang w:eastAsia="zh-CN"/>
        </w:rPr>
        <w:t>职能部门</w:t>
      </w:r>
      <w:r>
        <w:rPr>
          <w:rFonts w:hint="eastAsia" w:ascii="Times New Roman" w:hAnsi="Times New Roman" w:eastAsia="仿宋_GB2312"/>
          <w:color w:val="000000"/>
          <w:sz w:val="32"/>
          <w:szCs w:val="32"/>
        </w:rPr>
        <w:t>服务对象满意度≥90%。完成预期目标，该指标自评得分10分。</w:t>
      </w:r>
    </w:p>
    <w:p w14:paraId="50568577">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四、存在问题</w:t>
      </w:r>
    </w:p>
    <w:p w14:paraId="049DDC10">
      <w:pPr>
        <w:widowControl/>
        <w:spacing w:line="600" w:lineRule="exact"/>
        <w:ind w:firstLine="640" w:firstLineChars="200"/>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通过评价发现，2023年度征迁补偿项目实施虽取得了一定的成效，但还存在一些问题和不足，主要表现在：一是</w:t>
      </w:r>
      <w:r>
        <w:rPr>
          <w:rFonts w:ascii="Times New Roman" w:hAnsi="Times New Roman" w:eastAsia="仿宋_GB2312"/>
          <w:bCs/>
          <w:sz w:val="32"/>
          <w:lang w:val="en-US"/>
        </w:rPr>
        <w:t>绩效评价与预算编制、执行相协调的工作机制尚待完善；</w:t>
      </w:r>
      <w:r>
        <w:rPr>
          <w:rFonts w:hint="eastAsia" w:ascii="Times New Roman" w:hAnsi="Times New Roman" w:eastAsia="仿宋_GB2312"/>
          <w:bCs/>
          <w:sz w:val="32"/>
          <w:lang w:val="en-US" w:eastAsia="zh-CN"/>
        </w:rPr>
        <w:t>二是</w:t>
      </w:r>
      <w:r>
        <w:rPr>
          <w:rFonts w:ascii="Times New Roman" w:hAnsi="Times New Roman" w:eastAsia="仿宋_GB2312"/>
          <w:bCs/>
          <w:sz w:val="32"/>
          <w:lang w:val="en-US"/>
        </w:rPr>
        <w:t>项目绩效指标框架不规范，绩效评价指标体系待完善，未按照绩效指标框架设置指标</w:t>
      </w:r>
      <w:r>
        <w:rPr>
          <w:rFonts w:hint="eastAsia" w:ascii="Times New Roman" w:hAnsi="Times New Roman" w:eastAsia="仿宋_GB2312"/>
          <w:bCs/>
          <w:sz w:val="32"/>
          <w:lang w:val="en-US" w:eastAsia="zh-CN"/>
        </w:rPr>
        <w:t>；</w:t>
      </w:r>
      <w:r>
        <w:rPr>
          <w:rFonts w:hint="eastAsia" w:ascii="Times New Roman" w:hAnsi="Times New Roman" w:eastAsia="仿宋_GB2312"/>
          <w:color w:val="000000"/>
          <w:sz w:val="32"/>
          <w:szCs w:val="32"/>
          <w:lang w:val="en-US" w:eastAsia="zh-CN"/>
        </w:rPr>
        <w:t>三是项目绩效指标为定性表述，不符合指标简介、明确、可衡量的规范。</w:t>
      </w:r>
    </w:p>
    <w:p w14:paraId="6DCD55FB">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五、意见和建议</w:t>
      </w:r>
    </w:p>
    <w:p w14:paraId="62AC44B4">
      <w:pPr>
        <w:widowControl/>
        <w:spacing w:line="600" w:lineRule="exact"/>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color w:val="000000"/>
          <w:sz w:val="32"/>
          <w:szCs w:val="32"/>
          <w:lang w:val="en-US" w:eastAsia="zh-CN"/>
        </w:rPr>
        <w:t>为进一步提高专项资金使用效益，针对存在的问题，提出如下建议：一要</w:t>
      </w:r>
      <w:r>
        <w:rPr>
          <w:rFonts w:ascii="Times New Roman" w:hAnsi="Times New Roman" w:eastAsia="仿宋_GB2312"/>
          <w:color w:val="000000"/>
          <w:sz w:val="32"/>
          <w:szCs w:val="32"/>
          <w:lang w:val="en-US"/>
        </w:rPr>
        <w:t>广泛收集指标数据，并建立数据模型，从而提高预算编制精准度；</w:t>
      </w:r>
      <w:r>
        <w:rPr>
          <w:rFonts w:hint="eastAsia" w:ascii="Times New Roman" w:hAnsi="Times New Roman" w:eastAsia="仿宋_GB2312"/>
          <w:color w:val="000000"/>
          <w:sz w:val="32"/>
          <w:szCs w:val="32"/>
          <w:lang w:val="en-US" w:eastAsia="zh-CN"/>
        </w:rPr>
        <w:t>二要</w:t>
      </w:r>
      <w:r>
        <w:rPr>
          <w:rFonts w:ascii="Times New Roman" w:hAnsi="Times New Roman" w:eastAsia="仿宋_GB2312"/>
          <w:color w:val="000000"/>
          <w:sz w:val="32"/>
          <w:szCs w:val="32"/>
          <w:lang w:val="en-US"/>
        </w:rPr>
        <w:t>加强预算编制管理，编细编实预算，提高财政资金使用效率</w:t>
      </w:r>
      <w:r>
        <w:rPr>
          <w:rFonts w:hint="eastAsia" w:ascii="Times New Roman" w:hAnsi="Times New Roman" w:eastAsia="仿宋_GB2312"/>
          <w:color w:val="000000"/>
          <w:sz w:val="32"/>
          <w:szCs w:val="32"/>
          <w:lang w:val="en-US" w:eastAsia="zh-CN"/>
        </w:rPr>
        <w:t>；三是完善绩效评价体系，制定合理的绩效指标。</w:t>
      </w:r>
    </w:p>
    <w:p w14:paraId="18C0D082">
      <w:pPr>
        <w:widowControl/>
        <w:numPr>
          <w:ilvl w:val="0"/>
          <w:numId w:val="1"/>
        </w:numPr>
        <w:spacing w:line="600" w:lineRule="exact"/>
        <w:ind w:firstLine="640" w:firstLineChars="200"/>
        <w:rPr>
          <w:rFonts w:ascii="Times New Roman" w:hAnsi="Times New Roman" w:eastAsia="黑体"/>
          <w:color w:val="000000"/>
          <w:sz w:val="32"/>
          <w:szCs w:val="32"/>
        </w:rPr>
      </w:pPr>
      <w:r>
        <w:rPr>
          <w:rFonts w:hint="eastAsia" w:ascii="Times New Roman" w:hAnsi="Times New Roman" w:eastAsia="黑体"/>
          <w:color w:val="000000"/>
          <w:sz w:val="32"/>
          <w:szCs w:val="32"/>
        </w:rPr>
        <w:t>评价</w:t>
      </w:r>
      <w:r>
        <w:rPr>
          <w:rFonts w:ascii="Times New Roman" w:hAnsi="Times New Roman" w:eastAsia="黑体"/>
          <w:color w:val="000000"/>
          <w:sz w:val="32"/>
          <w:szCs w:val="32"/>
        </w:rPr>
        <w:t>依据</w:t>
      </w:r>
    </w:p>
    <w:p w14:paraId="69C1FBD9">
      <w:pPr>
        <w:widowControl/>
        <w:numPr>
          <w:ilvl w:val="0"/>
          <w:numId w:val="0"/>
        </w:numPr>
        <w:spacing w:line="600" w:lineRule="exact"/>
        <w:ind w:firstLine="640" w:firstLineChars="200"/>
        <w:rPr>
          <w:rFonts w:hint="eastAsia" w:ascii="Times New Roman" w:hAnsi="Calibri" w:eastAsia="仿宋_GB2312" w:cs="宋体"/>
          <w:color w:val="000000"/>
          <w:sz w:val="32"/>
          <w:szCs w:val="32"/>
        </w:rPr>
      </w:pPr>
      <w:r>
        <w:rPr>
          <w:rFonts w:hint="eastAsia" w:ascii="Times New Roman" w:hAnsi="Calibri" w:eastAsia="仿宋_GB2312" w:cs="宋体"/>
          <w:color w:val="000000"/>
          <w:sz w:val="32"/>
          <w:szCs w:val="32"/>
        </w:rPr>
        <w:t>按照市、区有关文件精神，规范审批程序，确保手续完备</w:t>
      </w:r>
      <w:r>
        <w:rPr>
          <w:rFonts w:hint="eastAsia" w:ascii="Times New Roman" w:hAnsi="Calibri" w:eastAsia="仿宋_GB2312" w:cs="宋体"/>
          <w:color w:val="000000"/>
          <w:sz w:val="32"/>
          <w:szCs w:val="32"/>
          <w:lang w:eastAsia="zh-CN"/>
        </w:rPr>
        <w:t>、</w:t>
      </w:r>
      <w:r>
        <w:rPr>
          <w:rFonts w:hint="eastAsia" w:ascii="Times New Roman" w:hAnsi="Calibri" w:eastAsia="仿宋_GB2312" w:cs="宋体"/>
          <w:color w:val="000000"/>
          <w:sz w:val="32"/>
          <w:szCs w:val="32"/>
        </w:rPr>
        <w:t>管理规范</w:t>
      </w:r>
      <w:r>
        <w:rPr>
          <w:rFonts w:hint="eastAsia" w:ascii="Times New Roman" w:hAnsi="Calibri" w:eastAsia="仿宋_GB2312" w:cs="宋体"/>
          <w:color w:val="000000"/>
          <w:sz w:val="32"/>
          <w:szCs w:val="32"/>
          <w:lang w:eastAsia="zh-CN"/>
        </w:rPr>
        <w:t>，</w:t>
      </w:r>
      <w:r>
        <w:rPr>
          <w:rFonts w:hint="eastAsia" w:ascii="Times New Roman" w:hAnsi="Calibri" w:eastAsia="仿宋_GB2312" w:cs="宋体"/>
          <w:color w:val="000000"/>
          <w:sz w:val="32"/>
          <w:szCs w:val="32"/>
        </w:rPr>
        <w:t>在项目资金审批中，严格按照财务制度，专项管理、拨付规范、及时发放。</w:t>
      </w:r>
    </w:p>
    <w:p w14:paraId="15370E5C">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七、附件</w:t>
      </w:r>
    </w:p>
    <w:p w14:paraId="523A813B">
      <w:pPr>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项目支出绩</w:t>
      </w:r>
      <w:bookmarkStart w:id="0" w:name="_GoBack"/>
      <w:bookmarkEnd w:id="0"/>
      <w:r>
        <w:rPr>
          <w:rFonts w:ascii="Times New Roman" w:hAnsi="Times New Roman" w:eastAsia="仿宋_GB2312"/>
          <w:color w:val="000000"/>
          <w:sz w:val="32"/>
          <w:szCs w:val="32"/>
        </w:rPr>
        <w:t>效自评表</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楷体_GB2312">
    <w:altName w:val="楷体"/>
    <w:panose1 w:val="02010609030000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A516D">
    <w:pPr>
      <w:pStyle w:val="7"/>
      <w:ind w:right="28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p>
  <w:p w14:paraId="36CD396C">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91BBD">
    <w:pPr>
      <w:pStyle w:val="7"/>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p w14:paraId="72C8AA65">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mOGUzN2E3MjM4OTFkYTdmYWI0ZmJhZjQ1M2FhNWMifQ=="/>
  </w:docVars>
  <w:rsids>
    <w:rsidRoot w:val="00000000"/>
    <w:rsid w:val="0862794F"/>
    <w:rsid w:val="0C100FF4"/>
    <w:rsid w:val="2FB252D8"/>
    <w:rsid w:val="436D05C6"/>
    <w:rsid w:val="4652543E"/>
    <w:rsid w:val="48BF71D5"/>
    <w:rsid w:val="59BB6D85"/>
    <w:rsid w:val="5B392E17"/>
    <w:rsid w:val="6DEA4A0B"/>
    <w:rsid w:val="78FA7747"/>
    <w:rsid w:val="7A5F195F"/>
    <w:rsid w:val="7D173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eastAsia="MS Gothic"/>
      <w:b/>
      <w:bCs/>
      <w:kern w:val="44"/>
      <w:sz w:val="44"/>
      <w:szCs w:val="44"/>
      <w:lang w:val="zh-CN" w:eastAsia="zh-CN"/>
    </w:rPr>
  </w:style>
  <w:style w:type="paragraph" w:styleId="3">
    <w:name w:val="heading 2"/>
    <w:basedOn w:val="1"/>
    <w:next w:val="1"/>
    <w:autoRedefine/>
    <w:qFormat/>
    <w:uiPriority w:val="9"/>
    <w:pPr>
      <w:keepNext/>
      <w:keepLines/>
      <w:spacing w:before="260" w:after="260" w:line="416" w:lineRule="auto"/>
      <w:outlineLvl w:val="1"/>
    </w:pPr>
    <w:rPr>
      <w:rFonts w:ascii="Cambria" w:hAnsi="Cambria" w:eastAsia="宋体" w:cs="宋体"/>
      <w:b/>
      <w:bCs/>
      <w:sz w:val="32"/>
      <w:szCs w:val="32"/>
    </w:rPr>
  </w:style>
  <w:style w:type="character" w:default="1" w:styleId="13">
    <w:name w:val="Default Paragraph Font"/>
    <w:qFormat/>
    <w:uiPriority w:val="1"/>
  </w:style>
  <w:style w:type="table" w:default="1" w:styleId="11">
    <w:name w:val="Normal Table"/>
    <w:autoRedefine/>
    <w:qFormat/>
    <w:uiPriority w:val="99"/>
    <w:tblPr>
      <w:tblCellMar>
        <w:top w:w="0" w:type="dxa"/>
        <w:left w:w="108" w:type="dxa"/>
        <w:bottom w:w="0" w:type="dxa"/>
        <w:right w:w="108" w:type="dxa"/>
      </w:tblCellMar>
    </w:tblPr>
  </w:style>
  <w:style w:type="paragraph" w:styleId="4">
    <w:name w:val="Normal Indent"/>
    <w:basedOn w:val="1"/>
    <w:link w:val="20"/>
    <w:autoRedefine/>
    <w:qFormat/>
    <w:uiPriority w:val="0"/>
    <w:pPr>
      <w:spacing w:line="560" w:lineRule="atLeast"/>
      <w:ind w:firstLine="567"/>
    </w:pPr>
    <w:rPr>
      <w:rFonts w:ascii="Calibri" w:hAnsi="Calibri" w:eastAsia="宋体" w:cs="宋体"/>
      <w:sz w:val="28"/>
    </w:rPr>
  </w:style>
  <w:style w:type="paragraph" w:styleId="5">
    <w:name w:val="Date"/>
    <w:basedOn w:val="1"/>
    <w:next w:val="1"/>
    <w:link w:val="25"/>
    <w:autoRedefine/>
    <w:qFormat/>
    <w:uiPriority w:val="0"/>
    <w:pPr>
      <w:ind w:left="100" w:leftChars="2500"/>
    </w:pPr>
    <w:rPr>
      <w:rFonts w:ascii="Times New Roman" w:hAnsi="Times New Roman"/>
      <w:szCs w:val="24"/>
    </w:rPr>
  </w:style>
  <w:style w:type="paragraph" w:styleId="6">
    <w:name w:val="Balloon Text"/>
    <w:basedOn w:val="1"/>
    <w:link w:val="24"/>
    <w:autoRedefine/>
    <w:qFormat/>
    <w:uiPriority w:val="99"/>
    <w:rPr>
      <w:rFonts w:ascii="Times New Roman" w:hAnsi="Times New Roman"/>
      <w:sz w:val="18"/>
      <w:szCs w:val="18"/>
      <w:lang w:val="zh-CN" w:eastAsia="zh-CN"/>
    </w:rPr>
  </w:style>
  <w:style w:type="paragraph" w:styleId="7">
    <w:name w:val="footer"/>
    <w:basedOn w:val="1"/>
    <w:link w:val="17"/>
    <w:autoRedefine/>
    <w:qFormat/>
    <w:uiPriority w:val="99"/>
    <w:pPr>
      <w:tabs>
        <w:tab w:val="center" w:pos="4153"/>
        <w:tab w:val="right" w:pos="8306"/>
      </w:tabs>
      <w:snapToGrid w:val="0"/>
      <w:jc w:val="left"/>
    </w:pPr>
    <w:rPr>
      <w:rFonts w:ascii="Times New Roman" w:hAnsi="Times New Roman"/>
      <w:sz w:val="18"/>
      <w:szCs w:val="18"/>
    </w:rPr>
  </w:style>
  <w:style w:type="paragraph" w:styleId="8">
    <w:name w:val="header"/>
    <w:basedOn w:val="1"/>
    <w:link w:val="18"/>
    <w:autoRedefine/>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9">
    <w:name w:val="toc 1"/>
    <w:basedOn w:val="1"/>
    <w:next w:val="1"/>
    <w:autoRedefine/>
    <w:qFormat/>
    <w:uiPriority w:val="0"/>
    <w:pPr>
      <w:tabs>
        <w:tab w:val="right" w:leader="dot" w:pos="9135"/>
      </w:tabs>
      <w:spacing w:line="480" w:lineRule="auto"/>
      <w:ind w:left="105" w:leftChars="50"/>
      <w:jc w:val="center"/>
    </w:pPr>
    <w:rPr>
      <w:rFonts w:ascii="黑体" w:hAnsi="宋体" w:eastAsia="黑体" w:cs="宋体"/>
      <w:color w:val="000000"/>
      <w:kern w:val="0"/>
      <w:sz w:val="32"/>
      <w:szCs w:val="32"/>
    </w:rPr>
  </w:style>
  <w:style w:type="paragraph" w:styleId="10">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table" w:styleId="12">
    <w:name w:val="Table Grid"/>
    <w:basedOn w:val="11"/>
    <w:autoRedefine/>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autoRedefine/>
    <w:qFormat/>
    <w:uiPriority w:val="0"/>
  </w:style>
  <w:style w:type="character" w:styleId="15">
    <w:name w:val="Hyperlink"/>
    <w:autoRedefine/>
    <w:qFormat/>
    <w:uiPriority w:val="0"/>
    <w:rPr>
      <w:color w:val="0000FF"/>
      <w:u w:val="single"/>
    </w:rPr>
  </w:style>
  <w:style w:type="character" w:customStyle="1" w:styleId="16">
    <w:name w:val="标题 1 Char"/>
    <w:basedOn w:val="13"/>
    <w:link w:val="2"/>
    <w:autoRedefine/>
    <w:qFormat/>
    <w:uiPriority w:val="0"/>
    <w:rPr>
      <w:rFonts w:ascii="Times New Roman" w:hAnsi="Times New Roman" w:eastAsia="MS Gothic" w:cs="Times New Roman"/>
      <w:b/>
      <w:bCs/>
      <w:kern w:val="44"/>
      <w:sz w:val="44"/>
      <w:szCs w:val="44"/>
      <w:lang w:val="zh-CN" w:eastAsia="zh-CN"/>
    </w:rPr>
  </w:style>
  <w:style w:type="character" w:customStyle="1" w:styleId="17">
    <w:name w:val="页脚 Char"/>
    <w:basedOn w:val="13"/>
    <w:link w:val="7"/>
    <w:autoRedefine/>
    <w:qFormat/>
    <w:uiPriority w:val="99"/>
    <w:rPr>
      <w:rFonts w:ascii="Times New Roman" w:hAnsi="Times New Roman" w:eastAsia="宋体" w:cs="Times New Roman"/>
      <w:sz w:val="18"/>
      <w:szCs w:val="18"/>
    </w:rPr>
  </w:style>
  <w:style w:type="character" w:customStyle="1" w:styleId="18">
    <w:name w:val="页眉 Char"/>
    <w:basedOn w:val="13"/>
    <w:link w:val="8"/>
    <w:autoRedefine/>
    <w:qFormat/>
    <w:uiPriority w:val="0"/>
    <w:rPr>
      <w:rFonts w:ascii="Times New Roman" w:hAnsi="Times New Roman" w:eastAsia="宋体" w:cs="Times New Roman"/>
      <w:sz w:val="18"/>
      <w:szCs w:val="18"/>
    </w:rPr>
  </w:style>
  <w:style w:type="character" w:customStyle="1" w:styleId="19">
    <w:name w:val="页脚 Char Char"/>
    <w:autoRedefine/>
    <w:qFormat/>
    <w:uiPriority w:val="0"/>
    <w:rPr>
      <w:rFonts w:ascii="Times New Roman" w:hAnsi="Times New Roman" w:eastAsia="宋体" w:cs="Times New Roman"/>
      <w:sz w:val="18"/>
      <w:szCs w:val="18"/>
    </w:rPr>
  </w:style>
  <w:style w:type="character" w:customStyle="1" w:styleId="20">
    <w:name w:val="正文缩进 Char"/>
    <w:link w:val="4"/>
    <w:autoRedefine/>
    <w:qFormat/>
    <w:uiPriority w:val="0"/>
    <w:rPr>
      <w:sz w:val="28"/>
    </w:rPr>
  </w:style>
  <w:style w:type="character" w:customStyle="1" w:styleId="21">
    <w:name w:val="正文啊 Char Char"/>
    <w:link w:val="22"/>
    <w:autoRedefine/>
    <w:qFormat/>
    <w:uiPriority w:val="0"/>
    <w:rPr>
      <w:rFonts w:ascii="仿宋_GB2312" w:hAnsi="宋体" w:eastAsia="仿宋_GB2312"/>
      <w:bCs/>
      <w:sz w:val="30"/>
      <w:szCs w:val="30"/>
    </w:rPr>
  </w:style>
  <w:style w:type="paragraph" w:customStyle="1" w:styleId="22">
    <w:name w:val="正文啊"/>
    <w:basedOn w:val="1"/>
    <w:link w:val="21"/>
    <w:autoRedefine/>
    <w:qFormat/>
    <w:uiPriority w:val="0"/>
    <w:pPr>
      <w:spacing w:line="560" w:lineRule="exact"/>
      <w:ind w:firstLine="600" w:firstLineChars="200"/>
    </w:pPr>
    <w:rPr>
      <w:rFonts w:ascii="仿宋_GB2312" w:hAnsi="宋体" w:eastAsia="仿宋_GB2312" w:cs="宋体"/>
      <w:bCs/>
      <w:sz w:val="30"/>
      <w:szCs w:val="30"/>
    </w:rPr>
  </w:style>
  <w:style w:type="paragraph" w:customStyle="1" w:styleId="23">
    <w:name w:val="Char"/>
    <w:basedOn w:val="1"/>
    <w:next w:val="1"/>
    <w:autoRedefine/>
    <w:qFormat/>
    <w:uiPriority w:val="0"/>
    <w:pPr>
      <w:widowControl/>
      <w:spacing w:line="360" w:lineRule="auto"/>
      <w:jc w:val="left"/>
    </w:pPr>
    <w:rPr>
      <w:rFonts w:ascii="Times New Roman" w:hAnsi="Times New Roman"/>
      <w:kern w:val="0"/>
      <w:szCs w:val="20"/>
      <w:lang w:eastAsia="en-US"/>
    </w:rPr>
  </w:style>
  <w:style w:type="character" w:customStyle="1" w:styleId="24">
    <w:name w:val="批注框文本 Char"/>
    <w:basedOn w:val="13"/>
    <w:link w:val="6"/>
    <w:autoRedefine/>
    <w:qFormat/>
    <w:uiPriority w:val="99"/>
    <w:rPr>
      <w:rFonts w:ascii="Times New Roman" w:hAnsi="Times New Roman" w:eastAsia="宋体" w:cs="Times New Roman"/>
      <w:sz w:val="18"/>
      <w:szCs w:val="18"/>
      <w:lang w:val="zh-CN" w:eastAsia="zh-CN"/>
    </w:rPr>
  </w:style>
  <w:style w:type="character" w:customStyle="1" w:styleId="25">
    <w:name w:val="日期 Char"/>
    <w:basedOn w:val="13"/>
    <w:link w:val="5"/>
    <w:autoRedefine/>
    <w:qFormat/>
    <w:uiPriority w:val="0"/>
    <w:rPr>
      <w:rFonts w:ascii="Times New Roman" w:hAnsi="Times New Roman" w:eastAsia="宋体" w:cs="Times New Roman"/>
      <w:szCs w:val="24"/>
    </w:rPr>
  </w:style>
  <w:style w:type="paragraph" w:customStyle="1" w:styleId="26">
    <w:name w:val="Default Paragraph Char Char Char Char"/>
    <w:basedOn w:val="1"/>
    <w:next w:val="1"/>
    <w:autoRedefine/>
    <w:qFormat/>
    <w:uiPriority w:val="0"/>
    <w:pPr>
      <w:widowControl/>
      <w:spacing w:line="360" w:lineRule="auto"/>
      <w:jc w:val="center"/>
    </w:pPr>
    <w:rPr>
      <w:rFonts w:ascii="Times New Roman" w:hAnsi="Times New Roman" w:eastAsia="方正小标宋简体"/>
      <w:kern w:val="0"/>
      <w:sz w:val="44"/>
      <w:szCs w:val="20"/>
      <w:lang w:eastAsia="en-US"/>
    </w:rPr>
  </w:style>
  <w:style w:type="paragraph" w:customStyle="1" w:styleId="27">
    <w:name w:val="UserStyle_0"/>
    <w:basedOn w:val="1"/>
    <w:autoRedefine/>
    <w:qFormat/>
    <w:uiPriority w:val="0"/>
    <w:pPr>
      <w:ind w:firstLine="454"/>
      <w:jc w:val="both"/>
      <w:textAlignment w:val="baseline"/>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2229</Words>
  <Characters>2406</Characters>
  <Paragraphs>75</Paragraphs>
  <TotalTime>2</TotalTime>
  <ScaleCrop>false</ScaleCrop>
  <LinksUpToDate>false</LinksUpToDate>
  <CharactersWithSpaces>2519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2024-03-08T06:14:00Z</dcterms:created>
  <dc:creator>王焱</dc:creator>
  <cp:lastModifiedBy>Administrator</cp:lastModifiedBy>
  <cp:lastPrinted>2022-12-06T16:18:00Z</cp:lastPrinted>
  <dcterms:modified xsi:type="dcterms:W3CDTF">2024-09-03T00:40:45Z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a3dedff0198e404da2454e14f10d6f11_23</vt:lpwstr>
  </property>
</Properties>
</file>