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30BA1">
      <w:pPr>
        <w:spacing w:line="600" w:lineRule="exact"/>
        <w:jc w:val="center"/>
        <w:rPr>
          <w:rFonts w:hint="eastAsia" w:ascii="Times New Roman" w:hAnsi="Times New Roman" w:eastAsia="方正小标宋简体"/>
          <w:bCs/>
          <w:sz w:val="44"/>
          <w:szCs w:val="24"/>
          <w:lang w:val="en-US" w:eastAsia="zh-CN"/>
        </w:rPr>
      </w:pPr>
      <w:r>
        <w:rPr>
          <w:rFonts w:hint="eastAsia" w:ascii="Times New Roman" w:hAnsi="Times New Roman" w:eastAsia="方正小标宋简体"/>
          <w:bCs/>
          <w:sz w:val="44"/>
          <w:szCs w:val="24"/>
          <w:lang w:eastAsia="zh-CN"/>
        </w:rPr>
        <w:t>2023</w:t>
      </w:r>
      <w:r>
        <w:rPr>
          <w:rFonts w:hint="eastAsia" w:ascii="Times New Roman" w:hAnsi="Times New Roman" w:eastAsia="方正小标宋简体"/>
          <w:bCs/>
          <w:sz w:val="44"/>
          <w:szCs w:val="24"/>
        </w:rPr>
        <w:t>年</w:t>
      </w:r>
      <w:r>
        <w:rPr>
          <w:rFonts w:hint="eastAsia" w:ascii="Times New Roman" w:hAnsi="Times New Roman" w:eastAsia="方正小标宋简体"/>
          <w:bCs/>
          <w:sz w:val="44"/>
          <w:szCs w:val="24"/>
          <w:lang w:val="en-US" w:eastAsia="zh-CN"/>
        </w:rPr>
        <w:t>瑶海区绿色循环综合体项目部门</w:t>
      </w:r>
    </w:p>
    <w:p w14:paraId="3D0A008C">
      <w:pPr>
        <w:spacing w:line="600" w:lineRule="exact"/>
        <w:jc w:val="center"/>
        <w:rPr>
          <w:rFonts w:hint="eastAsia" w:ascii="Times New Roman" w:hAnsi="Times New Roman" w:eastAsia="方正小标宋简体"/>
          <w:bCs/>
          <w:sz w:val="44"/>
          <w:szCs w:val="24"/>
          <w:lang w:val="en-US" w:eastAsia="zh-CN"/>
        </w:rPr>
      </w:pPr>
      <w:r>
        <w:rPr>
          <w:rFonts w:hint="eastAsia" w:ascii="Times New Roman" w:hAnsi="Times New Roman" w:eastAsia="方正小标宋简体"/>
          <w:bCs/>
          <w:sz w:val="44"/>
          <w:szCs w:val="24"/>
          <w:lang w:val="en-US" w:eastAsia="zh-CN"/>
        </w:rPr>
        <w:t>评价报告</w:t>
      </w:r>
    </w:p>
    <w:p w14:paraId="752FB6E4">
      <w:pPr>
        <w:spacing w:line="580" w:lineRule="exact"/>
        <w:jc w:val="center"/>
        <w:rPr>
          <w:rFonts w:ascii="Times New Roman" w:hAnsi="Times New Roman" w:eastAsia="仿宋_GB2312"/>
          <w:bCs/>
          <w:sz w:val="32"/>
          <w:szCs w:val="32"/>
        </w:rPr>
      </w:pPr>
    </w:p>
    <w:p w14:paraId="65165E02">
      <w:pPr>
        <w:widowControl/>
        <w:spacing w:line="560" w:lineRule="exact"/>
        <w:ind w:firstLine="640" w:firstLineChars="200"/>
        <w:rPr>
          <w:rFonts w:ascii="Times New Roman" w:hAnsi="Times New Roman" w:eastAsia="黑体"/>
          <w:sz w:val="32"/>
          <w:szCs w:val="32"/>
        </w:rPr>
      </w:pPr>
      <w:r>
        <w:rPr>
          <w:rFonts w:ascii="Times New Roman" w:hAnsi="Times New Roman" w:eastAsia="黑体"/>
          <w:sz w:val="32"/>
          <w:szCs w:val="32"/>
        </w:rPr>
        <w:t>一、项目基本情况</w:t>
      </w:r>
    </w:p>
    <w:p w14:paraId="603D9721">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（一）项目概况</w:t>
      </w:r>
    </w:p>
    <w:p w14:paraId="6F1D5A2F">
      <w:pPr>
        <w:widowControl/>
        <w:spacing w:line="560" w:lineRule="exact"/>
        <w:ind w:firstLine="640" w:firstLineChars="200"/>
        <w:rPr>
          <w:rFonts w:ascii="Times New Roman" w:hAnsi="Times New Roman" w:eastAsia="仿宋_GB2312"/>
          <w:snapToGrid w:val="0"/>
          <w:color w:val="000000"/>
          <w:sz w:val="32"/>
          <w:szCs w:val="32"/>
        </w:rPr>
      </w:pPr>
      <w:r>
        <w:rPr>
          <w:rFonts w:ascii="Times New Roman" w:hAnsi="Times New Roman" w:eastAsia="仿宋_GB2312"/>
          <w:snapToGrid w:val="0"/>
          <w:color w:val="000000"/>
          <w:sz w:val="32"/>
          <w:szCs w:val="32"/>
        </w:rPr>
        <w:t>1.项目立项情况</w:t>
      </w:r>
    </w:p>
    <w:p w14:paraId="78A5490D">
      <w:pPr>
        <w:widowControl/>
        <w:spacing w:line="600" w:lineRule="exact"/>
        <w:ind w:firstLine="640" w:firstLineChars="200"/>
        <w:rPr>
          <w:rFonts w:hint="default" w:ascii="仿宋_GB2312" w:hAnsi="仿宋_GB2312" w:eastAsia="仿宋_GB2312" w:cs="仿宋_GB2312"/>
          <w:snapToGrid w:val="0"/>
          <w:color w:val="000000"/>
          <w:sz w:val="32"/>
          <w:szCs w:val="32"/>
          <w:lang w:val="en-US" w:eastAsia="zh-CN"/>
        </w:rPr>
      </w:pPr>
      <w:r>
        <w:rPr>
          <w:rFonts w:hint="eastAsia" w:ascii="仿宋_GB2312" w:hAnsi="仿宋_GB2312" w:eastAsia="仿宋_GB2312" w:cs="仿宋_GB2312"/>
          <w:snapToGrid w:val="0"/>
          <w:color w:val="000000"/>
          <w:sz w:val="32"/>
          <w:szCs w:val="32"/>
          <w:lang w:val="en-US" w:eastAsia="zh-CN"/>
        </w:rPr>
        <w:t>瑶海区绿色循环综合体项目建设位于瑶海区新安江路路北,合芜铁路沿线东侧,龙城路(规划建设)西侧，隶属大店社区，涉及五个居民组75.12亩土地征收。根据预算编制及《关于合肥市瑶海区绿色循环综合体项目立项的请示》(瑶发改[2021]16号)文件要求，为保障绿色循环综合体项目顺利开工建设，2023年安排预算资金102.9144万元，主要用于土地征收，属于专项业务经费，项目实施周期一年。</w:t>
      </w:r>
    </w:p>
    <w:p w14:paraId="12F34ACB">
      <w:pPr>
        <w:spacing w:line="560" w:lineRule="exact"/>
        <w:ind w:firstLine="646" w:firstLineChars="202"/>
        <w:rPr>
          <w:rFonts w:ascii="Times New Roman" w:hAnsi="Times New Roman" w:eastAsia="仿宋_GB2312"/>
          <w:snapToGrid w:val="0"/>
          <w:color w:val="000000"/>
          <w:sz w:val="32"/>
          <w:szCs w:val="32"/>
        </w:rPr>
      </w:pPr>
      <w:r>
        <w:rPr>
          <w:rFonts w:ascii="Times New Roman" w:hAnsi="Times New Roman" w:eastAsia="仿宋_GB2312"/>
          <w:snapToGrid w:val="0"/>
          <w:color w:val="000000"/>
          <w:sz w:val="32"/>
          <w:szCs w:val="32"/>
        </w:rPr>
        <w:t>2.项目执行情况</w:t>
      </w:r>
    </w:p>
    <w:p w14:paraId="35A27490">
      <w:pPr>
        <w:widowControl/>
        <w:spacing w:line="560" w:lineRule="exact"/>
        <w:ind w:firstLine="640" w:firstLineChars="200"/>
        <w:rPr>
          <w:rFonts w:hint="eastAsia" w:ascii="仿宋_GB2312" w:hAnsi="仿宋_GB2312" w:eastAsia="仿宋_GB2312" w:cs="仿宋_GB2312"/>
          <w:snapToGrid w:val="0"/>
          <w:color w:val="000000"/>
          <w:sz w:val="32"/>
          <w:szCs w:val="32"/>
          <w:lang w:eastAsia="zh-CN"/>
        </w:rPr>
      </w:pPr>
      <w:r>
        <w:rPr>
          <w:rFonts w:hint="eastAsia" w:ascii="仿宋_GB2312" w:hAnsi="仿宋_GB2312" w:eastAsia="仿宋_GB2312" w:cs="仿宋_GB2312"/>
          <w:snapToGrid w:val="0"/>
          <w:color w:val="000000"/>
          <w:sz w:val="32"/>
          <w:szCs w:val="32"/>
          <w:lang w:val="en-US" w:eastAsia="zh-CN"/>
        </w:rPr>
        <w:t>2023年瑶海区绿色循环综合体项目共支出财政资金102.9144万元。大店社区完成项目土地征收工作，对涉及项目土地补偿费用102.9144万元及时足额发放，为保障绿色循环综合体项目顺利开工建设奠定了坚实基础。</w:t>
      </w:r>
    </w:p>
    <w:p w14:paraId="2D330696">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（二）项目绩效目标</w:t>
      </w:r>
    </w:p>
    <w:p w14:paraId="7155238F">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1.项目年度总体目标</w:t>
      </w:r>
    </w:p>
    <w:p w14:paraId="15394FCC">
      <w:pPr>
        <w:spacing w:line="600" w:lineRule="exact"/>
        <w:ind w:firstLine="640" w:firstLineChars="200"/>
        <w:rPr>
          <w:rFonts w:ascii="Times New Roman" w:hAnsi="Times New Roman" w:eastAsia="仿宋_GB2312"/>
          <w:color w:val="000000"/>
          <w:sz w:val="32"/>
          <w:szCs w:val="32"/>
        </w:rPr>
      </w:pPr>
      <w:r>
        <w:rPr>
          <w:rFonts w:hint="eastAsia" w:ascii="仿宋_GB2312" w:hAnsi="仿宋_GB2312" w:eastAsia="仿宋_GB2312" w:cs="仿宋_GB2312"/>
          <w:color w:val="000000"/>
          <w:sz w:val="32"/>
          <w:szCs w:val="32"/>
          <w:lang w:val="en-US" w:eastAsia="zh-CN"/>
        </w:rPr>
        <w:t>瑶海区绿色循环综合体项目申请财政资金</w:t>
      </w:r>
      <w:r>
        <w:rPr>
          <w:rFonts w:hint="eastAsia" w:ascii="仿宋_GB2312" w:hAnsi="仿宋_GB2312" w:eastAsia="仿宋_GB2312" w:cs="仿宋_GB2312"/>
          <w:snapToGrid w:val="0"/>
          <w:color w:val="000000"/>
          <w:sz w:val="32"/>
          <w:szCs w:val="32"/>
          <w:lang w:val="en-US" w:eastAsia="zh-CN"/>
        </w:rPr>
        <w:t>102.9144万元，主要用于瑶海区绿色循环体综合体项目群众土地补偿款和青苗补偿款。通过对土地认真的丈量，耐心细致的跟群众核对、解释，得到群众对绿色循环体综合体项目建设的支持，圆满完成项目土地征收和项目土地补偿费用发放各项工作任务。</w:t>
      </w:r>
    </w:p>
    <w:p w14:paraId="6AD51BE2">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2.总体目标完成情况</w:t>
      </w:r>
    </w:p>
    <w:p w14:paraId="4367D89A">
      <w:pPr>
        <w:spacing w:line="560" w:lineRule="exact"/>
        <w:ind w:firstLine="640" w:firstLineChars="200"/>
        <w:rPr>
          <w:rFonts w:hint="default" w:ascii="仿宋_GB2312" w:hAnsi="仿宋_GB2312" w:eastAsia="仿宋_GB2312" w:cs="仿宋_GB2312"/>
          <w:color w:val="000000"/>
          <w:sz w:val="32"/>
          <w:szCs w:val="32"/>
          <w:highlight w:val="none"/>
          <w:lang w:val="en-US" w:eastAsia="zh-CN"/>
        </w:rPr>
      </w:pPr>
      <w:r>
        <w:rPr>
          <w:rFonts w:hint="default" w:ascii="仿宋_GB2312" w:hAnsi="仿宋_GB2312" w:eastAsia="仿宋_GB2312" w:cs="仿宋_GB2312"/>
          <w:color w:val="000000"/>
          <w:sz w:val="32"/>
          <w:szCs w:val="32"/>
          <w:highlight w:val="none"/>
          <w:lang w:val="en-US" w:eastAsia="zh-CN"/>
        </w:rPr>
        <w:t>2023</w:t>
      </w:r>
      <w:r>
        <w:rPr>
          <w:rFonts w:hint="eastAsia" w:ascii="仿宋_GB2312" w:hAnsi="仿宋_GB2312" w:eastAsia="仿宋_GB2312" w:cs="仿宋_GB2312"/>
          <w:color w:val="000000"/>
          <w:sz w:val="32"/>
          <w:szCs w:val="32"/>
          <w:highlight w:val="none"/>
          <w:lang w:val="en-US" w:eastAsia="zh-CN"/>
        </w:rPr>
        <w:t>年完成瑶海区绿色循环综合体项目规划范围内75.12亩土地征收工作，通过合理安排资金，及时发放土地补偿费和青苗费总计1029144元（补偿标准：土地费12000元/亩，青苗费1700元/亩），高质量高标准完成专项资金的使用，在提高资金使用效率的同时，保障了项目顺利开工建设。</w:t>
      </w:r>
    </w:p>
    <w:p w14:paraId="51A60188">
      <w:pPr>
        <w:spacing w:line="56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二、绩效</w:t>
      </w:r>
      <w:r>
        <w:rPr>
          <w:rFonts w:hint="eastAsia" w:ascii="Times New Roman" w:hAnsi="Times New Roman" w:eastAsia="黑体"/>
          <w:color w:val="000000"/>
          <w:sz w:val="32"/>
          <w:szCs w:val="32"/>
        </w:rPr>
        <w:t>评价</w:t>
      </w:r>
      <w:r>
        <w:rPr>
          <w:rFonts w:ascii="Times New Roman" w:hAnsi="Times New Roman" w:eastAsia="黑体"/>
          <w:color w:val="000000"/>
          <w:sz w:val="32"/>
          <w:szCs w:val="32"/>
        </w:rPr>
        <w:t>结论</w:t>
      </w:r>
    </w:p>
    <w:p w14:paraId="7A9A72E1">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（一）总体结论</w:t>
      </w:r>
    </w:p>
    <w:p w14:paraId="4868BD1C">
      <w:pPr>
        <w:spacing w:line="560" w:lineRule="exact"/>
        <w:ind w:firstLine="640" w:firstLineChars="200"/>
        <w:rPr>
          <w:rFonts w:hint="default" w:ascii="Times New Roman" w:hAnsi="Times New Roman" w:eastAsia="仿宋_GB2312"/>
          <w:color w:val="000000"/>
          <w:sz w:val="32"/>
          <w:szCs w:val="32"/>
          <w:lang w:val="en-US"/>
        </w:rPr>
      </w:pPr>
      <w:r>
        <w:rPr>
          <w:rFonts w:hint="eastAsia" w:ascii="Times New Roman" w:hAnsi="Times New Roman" w:eastAsia="仿宋_GB2312"/>
          <w:sz w:val="32"/>
          <w:szCs w:val="32"/>
          <w:lang w:eastAsia="zh-CN"/>
        </w:rPr>
        <w:t>2023</w:t>
      </w:r>
      <w:r>
        <w:rPr>
          <w:rFonts w:ascii="Times New Roman" w:hAnsi="Times New Roman" w:eastAsia="仿宋_GB2312"/>
          <w:sz w:val="32"/>
          <w:szCs w:val="32"/>
        </w:rPr>
        <w:t>年度，</w:t>
      </w:r>
      <w:r>
        <w:rPr>
          <w:rFonts w:hint="eastAsia" w:ascii="Times New Roman" w:hAnsi="Times New Roman" w:eastAsia="仿宋_GB2312"/>
          <w:sz w:val="32"/>
          <w:szCs w:val="32"/>
          <w:lang w:val="en-US" w:eastAsia="zh-CN"/>
        </w:rPr>
        <w:t>龙岗经济开发区</w:t>
      </w:r>
      <w:r>
        <w:rPr>
          <w:rFonts w:ascii="Times New Roman" w:hAnsi="Times New Roman" w:eastAsia="仿宋_GB2312"/>
          <w:color w:val="000000"/>
          <w:sz w:val="32"/>
          <w:szCs w:val="32"/>
        </w:rPr>
        <w:t>申请财政资金</w:t>
      </w:r>
      <w:r>
        <w:rPr>
          <w:rFonts w:hint="eastAsia" w:ascii="仿宋_GB2312" w:hAnsi="仿宋_GB2312" w:eastAsia="仿宋_GB2312" w:cs="仿宋_GB2312"/>
          <w:snapToGrid w:val="0"/>
          <w:color w:val="000000"/>
          <w:sz w:val="32"/>
          <w:szCs w:val="32"/>
          <w:lang w:val="en-US" w:eastAsia="zh-CN"/>
        </w:rPr>
        <w:t>102.9144万元</w:t>
      </w:r>
      <w:r>
        <w:rPr>
          <w:rFonts w:hint="eastAsia" w:ascii="仿宋_GB2312" w:hAnsi="仿宋_GB2312" w:eastAsia="仿宋_GB2312" w:cs="仿宋_GB2312"/>
          <w:snapToGrid w:val="0"/>
          <w:color w:val="000000"/>
          <w:sz w:val="32"/>
          <w:szCs w:val="32"/>
        </w:rPr>
        <w:t>，</w:t>
      </w:r>
      <w:r>
        <w:rPr>
          <w:rFonts w:hint="eastAsia" w:ascii="仿宋_GB2312" w:hAnsi="仿宋_GB2312" w:eastAsia="仿宋_GB2312" w:cs="仿宋_GB2312"/>
          <w:color w:val="000000"/>
          <w:sz w:val="32"/>
          <w:szCs w:val="32"/>
          <w:lang w:val="en-US" w:eastAsia="zh-CN"/>
        </w:rPr>
        <w:t>完成对该项目规划范围内土地征收补偿费和青苗费发放工作，保障了项目建设用地，已完成年度设定的绩效目标，达到了项目预期效果。</w:t>
      </w:r>
    </w:p>
    <w:p w14:paraId="71405112">
      <w:pPr>
        <w:widowControl/>
        <w:spacing w:line="60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（二）</w:t>
      </w:r>
      <w:r>
        <w:rPr>
          <w:rFonts w:hint="eastAsia" w:ascii="Times New Roman" w:hAnsi="Times New Roman" w:eastAsia="楷体_GB2312"/>
          <w:b/>
          <w:color w:val="000000"/>
          <w:sz w:val="32"/>
          <w:szCs w:val="32"/>
        </w:rPr>
        <w:t>评价</w:t>
      </w:r>
      <w:r>
        <w:rPr>
          <w:rFonts w:ascii="Times New Roman" w:hAnsi="Times New Roman" w:eastAsia="楷体_GB2312"/>
          <w:b/>
          <w:color w:val="000000"/>
          <w:sz w:val="32"/>
          <w:szCs w:val="32"/>
        </w:rPr>
        <w:t>结果</w:t>
      </w:r>
    </w:p>
    <w:p w14:paraId="3837FF6D">
      <w:pPr>
        <w:spacing w:line="560" w:lineRule="exact"/>
        <w:ind w:firstLine="640" w:firstLineChars="20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经自评，2023年度瑶海区绿色循环综合体项目自评综合得分为100分，自评结果为“优”。</w:t>
      </w:r>
    </w:p>
    <w:p w14:paraId="011E1CAF">
      <w:pPr>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三、指标分析</w:t>
      </w:r>
    </w:p>
    <w:p w14:paraId="1F5E7A76">
      <w:pPr>
        <w:spacing w:line="600" w:lineRule="exact"/>
        <w:ind w:firstLine="640" w:firstLineChars="200"/>
        <w:rPr>
          <w:rFonts w:ascii="Times New Roman" w:eastAsia="仿宋_GB2312"/>
          <w:color w:val="000000"/>
          <w:sz w:val="32"/>
          <w:szCs w:val="32"/>
        </w:rPr>
      </w:pPr>
      <w:r>
        <w:rPr>
          <w:rFonts w:eastAsia="仿宋_GB2312"/>
          <w:sz w:val="32"/>
          <w:szCs w:val="32"/>
        </w:rPr>
        <w:t>202</w:t>
      </w:r>
      <w:r>
        <w:rPr>
          <w:rFonts w:hint="eastAsia" w:eastAsia="仿宋_GB2312"/>
          <w:sz w:val="32"/>
          <w:szCs w:val="32"/>
          <w:lang w:val="en-US" w:eastAsia="zh-CN"/>
        </w:rPr>
        <w:t>3</w:t>
      </w:r>
      <w:r>
        <w:rPr>
          <w:rFonts w:ascii="Times New Roman" w:eastAsia="仿宋_GB2312"/>
          <w:color w:val="000000"/>
          <w:sz w:val="32"/>
          <w:szCs w:val="32"/>
        </w:rPr>
        <w:t>年度</w:t>
      </w:r>
      <w:r>
        <w:rPr>
          <w:rFonts w:hint="eastAsia" w:ascii="Times New Roman" w:eastAsia="仿宋_GB2312"/>
          <w:color w:val="000000"/>
          <w:sz w:val="32"/>
          <w:szCs w:val="32"/>
          <w:lang w:eastAsia="zh-CN"/>
        </w:rPr>
        <w:t>，</w:t>
      </w:r>
      <w:r>
        <w:rPr>
          <w:rFonts w:hint="eastAsia" w:ascii="仿宋_GB2312" w:hAnsi="仿宋_GB2312" w:eastAsia="仿宋_GB2312" w:cs="仿宋_GB2312"/>
          <w:color w:val="000000"/>
          <w:sz w:val="32"/>
          <w:szCs w:val="32"/>
          <w:lang w:val="en-US" w:eastAsia="zh-CN"/>
        </w:rPr>
        <w:t>瑶海区绿色循环综合体项目</w:t>
      </w:r>
      <w:r>
        <w:rPr>
          <w:rFonts w:ascii="Times New Roman" w:eastAsia="仿宋_GB2312"/>
          <w:color w:val="000000"/>
          <w:sz w:val="32"/>
          <w:szCs w:val="32"/>
        </w:rPr>
        <w:t>绩效自评指标体系共设置</w:t>
      </w:r>
      <w:r>
        <w:rPr>
          <w:rFonts w:hint="eastAsia" w:eastAsia="仿宋_GB2312"/>
          <w:sz w:val="32"/>
          <w:szCs w:val="32"/>
          <w:lang w:val="en-US" w:eastAsia="zh-CN"/>
        </w:rPr>
        <w:t>3</w:t>
      </w:r>
      <w:r>
        <w:rPr>
          <w:rFonts w:ascii="Times New Roman" w:eastAsia="仿宋_GB2312"/>
          <w:color w:val="000000"/>
          <w:sz w:val="32"/>
          <w:szCs w:val="32"/>
        </w:rPr>
        <w:t>个一级指标，</w:t>
      </w:r>
      <w:r>
        <w:rPr>
          <w:rFonts w:hint="eastAsia" w:ascii="Times New Roman" w:eastAsia="仿宋_GB2312"/>
          <w:color w:val="000000"/>
          <w:sz w:val="32"/>
          <w:szCs w:val="32"/>
          <w:lang w:val="en-US" w:eastAsia="zh-CN"/>
        </w:rPr>
        <w:t>8</w:t>
      </w:r>
      <w:r>
        <w:rPr>
          <w:rFonts w:ascii="Times New Roman" w:eastAsia="仿宋_GB2312"/>
          <w:color w:val="000000"/>
          <w:sz w:val="32"/>
          <w:szCs w:val="32"/>
        </w:rPr>
        <w:t>个二级指标，</w:t>
      </w:r>
      <w:r>
        <w:rPr>
          <w:rFonts w:hint="eastAsia" w:ascii="Times New Roman" w:eastAsia="仿宋_GB2312"/>
          <w:color w:val="000000"/>
          <w:sz w:val="32"/>
          <w:szCs w:val="32"/>
          <w:lang w:val="en-US" w:eastAsia="zh-CN"/>
        </w:rPr>
        <w:t>8</w:t>
      </w:r>
      <w:r>
        <w:rPr>
          <w:rFonts w:ascii="Times New Roman" w:eastAsia="仿宋_GB2312"/>
          <w:color w:val="000000"/>
          <w:sz w:val="32"/>
          <w:szCs w:val="32"/>
        </w:rPr>
        <w:t>个三级指标，各项指标评分情况分析如下：</w:t>
      </w:r>
    </w:p>
    <w:p w14:paraId="50EB00D5">
      <w:pPr>
        <w:spacing w:line="592" w:lineRule="exact"/>
        <w:ind w:firstLine="643" w:firstLineChars="200"/>
        <w:rPr>
          <w:rFonts w:ascii="Times New Roman" w:hAnsi="Times New Roman" w:eastAsia="楷体_GB2312"/>
          <w:b/>
          <w:bCs/>
          <w:sz w:val="32"/>
        </w:rPr>
      </w:pPr>
      <w:r>
        <w:rPr>
          <w:rFonts w:ascii="Times New Roman" w:hAnsi="Times New Roman" w:eastAsia="楷体_GB2312"/>
          <w:b/>
          <w:bCs/>
          <w:sz w:val="32"/>
        </w:rPr>
        <w:t>（一）预算执行率（满分10分，实得</w:t>
      </w:r>
      <w:r>
        <w:rPr>
          <w:rFonts w:hint="eastAsia" w:ascii="Times New Roman" w:hAnsi="Times New Roman" w:eastAsia="楷体_GB2312"/>
          <w:b/>
          <w:bCs/>
          <w:sz w:val="32"/>
          <w:lang w:val="en-US" w:eastAsia="zh-CN"/>
        </w:rPr>
        <w:t>10</w:t>
      </w:r>
      <w:r>
        <w:rPr>
          <w:rFonts w:ascii="Times New Roman" w:hAnsi="Times New Roman" w:eastAsia="楷体_GB2312"/>
          <w:b/>
          <w:bCs/>
          <w:sz w:val="32"/>
        </w:rPr>
        <w:t>分）</w:t>
      </w:r>
    </w:p>
    <w:p w14:paraId="7BF358A9">
      <w:pPr>
        <w:spacing w:line="592" w:lineRule="exact"/>
        <w:ind w:right="-283"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eastAsia="zh-CN"/>
        </w:rPr>
        <w:t>2023</w:t>
      </w:r>
      <w:r>
        <w:rPr>
          <w:rFonts w:ascii="Times New Roman" w:hAnsi="Times New Roman" w:eastAsia="仿宋_GB2312"/>
          <w:color w:val="000000"/>
          <w:sz w:val="32"/>
          <w:szCs w:val="32"/>
        </w:rPr>
        <w:t>年</w:t>
      </w:r>
      <w:r>
        <w:rPr>
          <w:rFonts w:hint="eastAsia" w:ascii="Times New Roman" w:hAnsi="Times New Roman" w:eastAsia="仿宋_GB2312"/>
          <w:color w:val="000000"/>
          <w:sz w:val="32"/>
          <w:szCs w:val="32"/>
          <w:lang w:eastAsia="zh-CN"/>
        </w:rPr>
        <w:t>，</w:t>
      </w:r>
      <w:r>
        <w:rPr>
          <w:rFonts w:hint="eastAsia" w:ascii="仿宋_GB2312" w:hAnsi="仿宋_GB2312" w:eastAsia="仿宋_GB2312" w:cs="仿宋_GB2312"/>
          <w:color w:val="000000"/>
          <w:sz w:val="32"/>
          <w:szCs w:val="32"/>
          <w:lang w:val="en-US" w:eastAsia="zh-CN"/>
        </w:rPr>
        <w:t>瑶海区绿色循环综合体项目</w:t>
      </w:r>
      <w:r>
        <w:rPr>
          <w:rFonts w:ascii="Times New Roman" w:hAnsi="Times New Roman" w:eastAsia="仿宋_GB2312"/>
          <w:color w:val="000000"/>
          <w:sz w:val="32"/>
          <w:szCs w:val="32"/>
        </w:rPr>
        <w:t>全年预算安排</w:t>
      </w:r>
      <w:r>
        <w:rPr>
          <w:rFonts w:hint="eastAsia" w:ascii="仿宋_GB2312" w:hAnsi="仿宋_GB2312" w:eastAsia="仿宋_GB2312" w:cs="仿宋_GB2312"/>
          <w:snapToGrid w:val="0"/>
          <w:color w:val="000000"/>
          <w:sz w:val="32"/>
          <w:szCs w:val="32"/>
          <w:lang w:val="en-US" w:eastAsia="zh-CN"/>
        </w:rPr>
        <w:t>102.9144万元</w:t>
      </w:r>
      <w:r>
        <w:rPr>
          <w:rFonts w:ascii="Times New Roman" w:hAnsi="Times New Roman" w:eastAsia="仿宋_GB2312"/>
          <w:color w:val="000000"/>
          <w:sz w:val="32"/>
          <w:szCs w:val="32"/>
        </w:rPr>
        <w:t>，全年执行</w:t>
      </w:r>
      <w:r>
        <w:rPr>
          <w:rFonts w:hint="eastAsia" w:ascii="仿宋_GB2312" w:hAnsi="仿宋_GB2312" w:eastAsia="仿宋_GB2312" w:cs="仿宋_GB2312"/>
          <w:snapToGrid w:val="0"/>
          <w:color w:val="000000"/>
          <w:sz w:val="32"/>
          <w:szCs w:val="32"/>
          <w:lang w:val="en-US" w:eastAsia="zh-CN"/>
        </w:rPr>
        <w:t>102.9144万元</w:t>
      </w:r>
      <w:r>
        <w:rPr>
          <w:rFonts w:ascii="Times New Roman" w:hAnsi="Times New Roman" w:eastAsia="仿宋_GB2312"/>
          <w:color w:val="000000"/>
          <w:sz w:val="32"/>
          <w:szCs w:val="32"/>
        </w:rPr>
        <w:t>，预算执行率</w:t>
      </w:r>
      <w:r>
        <w:rPr>
          <w:rFonts w:hint="eastAsia" w:ascii="Times New Roman" w:hAnsi="Times New Roman" w:eastAsia="仿宋_GB2312"/>
          <w:color w:val="000000"/>
          <w:sz w:val="32"/>
          <w:szCs w:val="32"/>
          <w:lang w:val="en-US" w:eastAsia="zh-CN"/>
        </w:rPr>
        <w:t>100</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14:paraId="56D8A050">
      <w:pPr>
        <w:widowControl/>
        <w:spacing w:line="60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二</w:t>
      </w:r>
      <w:r>
        <w:rPr>
          <w:rFonts w:ascii="Times New Roman" w:hAnsi="Times New Roman" w:eastAsia="楷体_GB2312"/>
          <w:b/>
          <w:color w:val="000000"/>
          <w:sz w:val="32"/>
          <w:szCs w:val="32"/>
        </w:rPr>
        <w:t>）产出指标（满分</w:t>
      </w:r>
      <w:r>
        <w:rPr>
          <w:rFonts w:hint="eastAsia" w:ascii="Times New Roman" w:hAnsi="Times New Roman" w:eastAsia="楷体_GB2312"/>
          <w:b/>
          <w:color w:val="000000"/>
          <w:sz w:val="32"/>
          <w:szCs w:val="32"/>
          <w:lang w:val="en-US" w:eastAsia="zh-CN"/>
        </w:rPr>
        <w:t>50</w:t>
      </w:r>
      <w:r>
        <w:rPr>
          <w:rFonts w:ascii="Times New Roman" w:hAnsi="Times New Roman" w:eastAsia="楷体_GB2312"/>
          <w:b/>
          <w:color w:val="000000"/>
          <w:sz w:val="32"/>
          <w:szCs w:val="32"/>
        </w:rPr>
        <w:t>分，实得</w:t>
      </w:r>
      <w:r>
        <w:rPr>
          <w:rFonts w:hint="eastAsia" w:ascii="Times New Roman" w:hAnsi="Times New Roman" w:eastAsia="楷体_GB2312"/>
          <w:b/>
          <w:color w:val="000000"/>
          <w:sz w:val="32"/>
          <w:szCs w:val="32"/>
          <w:lang w:val="en-US" w:eastAsia="zh-CN"/>
        </w:rPr>
        <w:t>50</w:t>
      </w:r>
      <w:r>
        <w:rPr>
          <w:rFonts w:ascii="Times New Roman" w:hAnsi="Times New Roman" w:eastAsia="楷体_GB2312"/>
          <w:b/>
          <w:color w:val="000000"/>
          <w:sz w:val="32"/>
          <w:szCs w:val="32"/>
        </w:rPr>
        <w:t>分）</w:t>
      </w:r>
    </w:p>
    <w:p w14:paraId="462AA5AF">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sz w:val="32"/>
          <w:szCs w:val="32"/>
        </w:rPr>
        <w:t>1.数量指标（满分</w:t>
      </w:r>
      <w:r>
        <w:rPr>
          <w:rFonts w:hint="eastAsia" w:ascii="Times New Roman" w:hAnsi="Times New Roman" w:eastAsia="仿宋_GB2312"/>
          <w:sz w:val="32"/>
          <w:szCs w:val="32"/>
          <w:lang w:val="en-US" w:eastAsia="zh-CN"/>
        </w:rPr>
        <w:t>15</w:t>
      </w:r>
      <w:r>
        <w:rPr>
          <w:rFonts w:ascii="Times New Roman" w:hAnsi="Times New Roman" w:eastAsia="仿宋_GB2312"/>
          <w:sz w:val="32"/>
          <w:szCs w:val="32"/>
        </w:rPr>
        <w:t>分，</w:t>
      </w:r>
      <w:r>
        <w:rPr>
          <w:rFonts w:ascii="Times New Roman" w:hAnsi="Times New Roman" w:eastAsia="仿宋_GB2312"/>
          <w:color w:val="000000"/>
          <w:sz w:val="32"/>
          <w:szCs w:val="32"/>
        </w:rPr>
        <w:t>实得</w:t>
      </w:r>
      <w:r>
        <w:rPr>
          <w:rFonts w:hint="eastAsia" w:ascii="Times New Roman" w:hAnsi="Times New Roman" w:eastAsia="仿宋_GB2312"/>
          <w:color w:val="000000"/>
          <w:sz w:val="32"/>
          <w:szCs w:val="32"/>
          <w:lang w:val="en-US" w:eastAsia="zh-CN"/>
        </w:rPr>
        <w:t>15</w:t>
      </w:r>
      <w:r>
        <w:rPr>
          <w:rFonts w:ascii="Times New Roman" w:hAnsi="Times New Roman" w:eastAsia="仿宋_GB2312"/>
          <w:color w:val="000000"/>
          <w:sz w:val="32"/>
          <w:szCs w:val="32"/>
        </w:rPr>
        <w:t>分）</w:t>
      </w:r>
    </w:p>
    <w:p w14:paraId="1217CF22">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年度设定的数量指标为</w:t>
      </w:r>
      <w:r>
        <w:rPr>
          <w:rFonts w:hint="eastAsia" w:ascii="Times New Roman" w:hAnsi="Times New Roman" w:eastAsia="仿宋_GB2312"/>
          <w:color w:val="000000"/>
          <w:sz w:val="32"/>
          <w:szCs w:val="32"/>
          <w:lang w:val="en-US" w:eastAsia="zh-CN"/>
        </w:rPr>
        <w:t>土地青苗面积；</w:t>
      </w:r>
      <w:r>
        <w:rPr>
          <w:rFonts w:ascii="Times New Roman" w:hAnsi="Times New Roman" w:eastAsia="仿宋_GB2312"/>
          <w:color w:val="000000"/>
          <w:sz w:val="32"/>
          <w:szCs w:val="32"/>
        </w:rPr>
        <w:t>截至</w:t>
      </w:r>
      <w:r>
        <w:rPr>
          <w:rFonts w:hint="eastAsia" w:ascii="Times New Roman" w:hAnsi="Times New Roman" w:eastAsia="仿宋_GB2312"/>
          <w:color w:val="000000"/>
          <w:sz w:val="32"/>
          <w:szCs w:val="32"/>
          <w:lang w:eastAsia="zh-CN"/>
        </w:rPr>
        <w:t>2023</w:t>
      </w:r>
      <w:r>
        <w:rPr>
          <w:rFonts w:ascii="Times New Roman" w:hAnsi="Times New Roman" w:eastAsia="仿宋_GB2312"/>
          <w:color w:val="000000"/>
          <w:sz w:val="32"/>
          <w:szCs w:val="32"/>
        </w:rPr>
        <w:t>年底</w:t>
      </w:r>
      <w:r>
        <w:rPr>
          <w:rFonts w:hint="eastAsia" w:ascii="Times New Roman" w:hAnsi="Times New Roman" w:eastAsia="仿宋_GB2312"/>
          <w:color w:val="000000"/>
          <w:sz w:val="32"/>
          <w:szCs w:val="32"/>
          <w:lang w:val="en-US" w:eastAsia="zh-CN"/>
        </w:rPr>
        <w:t>已完成75.12亩土地的征收工作，达到预期指标，</w:t>
      </w:r>
      <w:r>
        <w:rPr>
          <w:rFonts w:ascii="Times New Roman" w:hAnsi="Times New Roman" w:eastAsia="仿宋_GB2312"/>
          <w:color w:val="000000"/>
          <w:sz w:val="32"/>
          <w:szCs w:val="32"/>
        </w:rPr>
        <w:t>实际完成率为</w:t>
      </w:r>
      <w:r>
        <w:rPr>
          <w:rFonts w:hint="eastAsia" w:ascii="Times New Roman" w:hAnsi="Times New Roman" w:eastAsia="仿宋_GB2312"/>
          <w:color w:val="000000"/>
          <w:sz w:val="32"/>
          <w:szCs w:val="32"/>
          <w:lang w:val="en-US" w:eastAsia="zh-CN"/>
        </w:rPr>
        <w:t>100</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15分。</w:t>
      </w:r>
    </w:p>
    <w:p w14:paraId="446B5A0F">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2.时效指标（满分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14:paraId="1D295CEA">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s="Times New Roman"/>
          <w:color w:val="000000"/>
          <w:sz w:val="32"/>
          <w:szCs w:val="32"/>
        </w:rPr>
        <w:t>年度设定的数量指标为</w:t>
      </w:r>
      <w:r>
        <w:rPr>
          <w:rFonts w:hint="eastAsia" w:ascii="Times New Roman" w:hAnsi="Times New Roman" w:eastAsia="仿宋_GB2312" w:cs="Times New Roman"/>
          <w:color w:val="000000"/>
          <w:sz w:val="32"/>
          <w:szCs w:val="32"/>
          <w:lang w:val="en-US" w:eastAsia="zh-CN"/>
        </w:rPr>
        <w:t>经费及时性</w:t>
      </w:r>
      <w:r>
        <w:rPr>
          <w:rFonts w:ascii="Times New Roman" w:hAnsi="Times New Roman" w:eastAsia="仿宋_GB2312"/>
          <w:color w:val="000000"/>
          <w:sz w:val="32"/>
          <w:szCs w:val="32"/>
        </w:rPr>
        <w:t>；实际完成情况为</w:t>
      </w:r>
      <w:r>
        <w:rPr>
          <w:rFonts w:hint="eastAsia" w:ascii="Times New Roman" w:hAnsi="Times New Roman" w:eastAsia="仿宋_GB2312"/>
          <w:color w:val="000000"/>
          <w:sz w:val="32"/>
          <w:szCs w:val="32"/>
          <w:lang w:val="en-US" w:eastAsia="zh-CN"/>
        </w:rPr>
        <w:t>根据项目要求及时发放土地征收补偿和青苗补偿，达到预期指标</w:t>
      </w:r>
      <w:r>
        <w:rPr>
          <w:rFonts w:ascii="Times New Roman" w:hAnsi="Times New Roman" w:eastAsia="仿宋_GB2312"/>
          <w:b/>
          <w:color w:val="000000"/>
          <w:sz w:val="32"/>
          <w:szCs w:val="32"/>
        </w:rPr>
        <w:t>，</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14:paraId="42759E1C">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3.质量指标（满分</w:t>
      </w:r>
      <w:r>
        <w:rPr>
          <w:rFonts w:hint="eastAsia" w:ascii="Times New Roman" w:hAnsi="Times New Roman" w:eastAsia="仿宋_GB2312"/>
          <w:color w:val="000000"/>
          <w:sz w:val="32"/>
          <w:szCs w:val="32"/>
          <w:lang w:val="en-US" w:eastAsia="zh-CN"/>
        </w:rPr>
        <w:t>15</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15</w:t>
      </w:r>
      <w:r>
        <w:rPr>
          <w:rFonts w:ascii="Times New Roman" w:hAnsi="Times New Roman" w:eastAsia="仿宋_GB2312"/>
          <w:color w:val="000000"/>
          <w:sz w:val="32"/>
          <w:szCs w:val="32"/>
        </w:rPr>
        <w:t>分）</w:t>
      </w:r>
    </w:p>
    <w:p w14:paraId="2B6C708F">
      <w:pPr>
        <w:spacing w:line="600" w:lineRule="exact"/>
        <w:ind w:firstLine="640" w:firstLineChars="200"/>
        <w:rPr>
          <w:rFonts w:ascii="Times New Roman" w:hAnsi="Times New Roman" w:eastAsia="仿宋_GB2312"/>
          <w:color w:val="000000"/>
          <w:sz w:val="32"/>
          <w:szCs w:val="32"/>
        </w:rPr>
      </w:pPr>
      <w:r>
        <w:rPr>
          <w:rFonts w:hint="eastAsia" w:ascii="仿宋_GB2312" w:hAnsi="仿宋_GB2312" w:eastAsia="仿宋_GB2312" w:cs="仿宋_GB2312"/>
          <w:color w:val="000000"/>
          <w:sz w:val="32"/>
          <w:szCs w:val="32"/>
        </w:rPr>
        <w:t>年度设定的质量指标为</w:t>
      </w:r>
      <w:r>
        <w:rPr>
          <w:rFonts w:hint="eastAsia" w:ascii="仿宋_GB2312" w:hAnsi="仿宋_GB2312" w:eastAsia="仿宋_GB2312" w:cs="仿宋_GB2312"/>
          <w:color w:val="000000"/>
          <w:sz w:val="32"/>
          <w:szCs w:val="32"/>
          <w:lang w:val="en-US" w:eastAsia="zh-CN"/>
        </w:rPr>
        <w:t>经费合规性</w:t>
      </w:r>
      <w:r>
        <w:rPr>
          <w:rFonts w:ascii="Times New Roman" w:hAnsi="Times New Roman" w:eastAsia="仿宋_GB2312"/>
          <w:color w:val="000000"/>
          <w:sz w:val="32"/>
          <w:szCs w:val="32"/>
        </w:rPr>
        <w:t>；实际完成情况为</w:t>
      </w:r>
      <w:r>
        <w:rPr>
          <w:rFonts w:hint="eastAsia" w:ascii="Times New Roman" w:hAnsi="Times New Roman" w:eastAsia="仿宋_GB2312"/>
          <w:color w:val="000000"/>
          <w:sz w:val="32"/>
          <w:szCs w:val="32"/>
          <w:lang w:val="en-US" w:eastAsia="zh-CN"/>
        </w:rPr>
        <w:t>根据补偿标准：土地费12000元/亩，青苗费1700元/亩，资金均用于瑶海区绿色循环体项目，达到预期指标</w:t>
      </w:r>
      <w:r>
        <w:rPr>
          <w:rFonts w:ascii="Times New Roman" w:hAnsi="Times New Roman" w:eastAsia="仿宋_GB2312"/>
          <w:b/>
          <w:color w:val="000000"/>
          <w:sz w:val="32"/>
          <w:szCs w:val="32"/>
        </w:rPr>
        <w:t>，</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15</w:t>
      </w:r>
      <w:r>
        <w:rPr>
          <w:rFonts w:ascii="Times New Roman" w:hAnsi="Times New Roman" w:eastAsia="仿宋_GB2312"/>
          <w:color w:val="000000"/>
          <w:sz w:val="32"/>
          <w:szCs w:val="32"/>
        </w:rPr>
        <w:t>分。</w:t>
      </w:r>
    </w:p>
    <w:p w14:paraId="4D3F7B8A">
      <w:pPr>
        <w:spacing w:line="600" w:lineRule="exact"/>
        <w:ind w:firstLine="640" w:firstLineChars="200"/>
        <w:rPr>
          <w:rFonts w:ascii="Times New Roman" w:hAnsi="Times New Roman" w:eastAsia="仿宋_GB2312"/>
          <w:sz w:val="32"/>
          <w:szCs w:val="32"/>
        </w:rPr>
      </w:pPr>
      <w:r>
        <w:rPr>
          <w:rFonts w:ascii="Times New Roman" w:hAnsi="Times New Roman" w:eastAsia="仿宋_GB2312"/>
          <w:color w:val="000000"/>
          <w:sz w:val="32"/>
          <w:szCs w:val="32"/>
        </w:rPr>
        <w:t>4.成本指标（满分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r>
        <w:rPr>
          <w:rFonts w:ascii="Times New Roman" w:hAnsi="Times New Roman" w:eastAsia="仿宋_GB2312"/>
          <w:sz w:val="32"/>
          <w:szCs w:val="32"/>
        </w:rPr>
        <w:tab/>
      </w:r>
    </w:p>
    <w:p w14:paraId="4D058D39">
      <w:pPr>
        <w:widowControl/>
        <w:spacing w:line="600" w:lineRule="exact"/>
        <w:ind w:right="-283" w:firstLine="640" w:firstLineChars="200"/>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年度设定的成本指标为项目总成本</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≤指标值）</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指标值</w:t>
      </w:r>
      <w:r>
        <w:rPr>
          <w:rFonts w:hint="eastAsia" w:ascii="仿宋_GB2312" w:hAnsi="仿宋_GB2312" w:eastAsia="仿宋_GB2312" w:cs="仿宋_GB2312"/>
          <w:snapToGrid w:val="0"/>
          <w:color w:val="000000"/>
          <w:sz w:val="32"/>
          <w:szCs w:val="32"/>
          <w:lang w:val="en-US" w:eastAsia="zh-CN"/>
        </w:rPr>
        <w:t>102.9144万元</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color w:val="000000"/>
          <w:sz w:val="32"/>
          <w:szCs w:val="32"/>
        </w:rPr>
        <w:t>实际完成情况为</w:t>
      </w:r>
      <w:r>
        <w:rPr>
          <w:rFonts w:hint="eastAsia" w:ascii="仿宋_GB2312" w:hAnsi="仿宋_GB2312" w:eastAsia="仿宋_GB2312" w:cs="仿宋_GB2312"/>
          <w:snapToGrid w:val="0"/>
          <w:color w:val="000000"/>
          <w:sz w:val="32"/>
          <w:szCs w:val="32"/>
          <w:lang w:val="en-US" w:eastAsia="zh-CN"/>
        </w:rPr>
        <w:t>102.9144万元</w:t>
      </w:r>
      <w:r>
        <w:rPr>
          <w:rFonts w:hint="eastAsia" w:ascii="仿宋_GB2312" w:hAnsi="仿宋_GB2312" w:eastAsia="仿宋_GB2312" w:cs="仿宋_GB2312"/>
          <w:color w:val="000000"/>
          <w:sz w:val="32"/>
          <w:szCs w:val="32"/>
        </w:rPr>
        <w:t>，得分</w:t>
      </w:r>
      <w:r>
        <w:rPr>
          <w:rFonts w:hint="eastAsia" w:ascii="仿宋_GB2312" w:hAnsi="仿宋_GB2312" w:eastAsia="仿宋_GB2312" w:cs="仿宋_GB2312"/>
          <w:color w:val="000000"/>
          <w:sz w:val="32"/>
          <w:szCs w:val="32"/>
          <w:lang w:val="en-US" w:eastAsia="zh-CN"/>
        </w:rPr>
        <w:t>10</w:t>
      </w:r>
      <w:r>
        <w:rPr>
          <w:rFonts w:hint="eastAsia" w:ascii="仿宋_GB2312" w:hAnsi="仿宋_GB2312" w:eastAsia="仿宋_GB2312" w:cs="仿宋_GB2312"/>
          <w:color w:val="000000"/>
          <w:sz w:val="32"/>
          <w:szCs w:val="32"/>
        </w:rPr>
        <w:t>分。</w:t>
      </w:r>
    </w:p>
    <w:p w14:paraId="6B7C32CA">
      <w:pPr>
        <w:widowControl/>
        <w:spacing w:line="600" w:lineRule="exact"/>
        <w:ind w:right="-283"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三</w:t>
      </w:r>
      <w:r>
        <w:rPr>
          <w:rFonts w:ascii="Times New Roman" w:hAnsi="Times New Roman" w:eastAsia="楷体_GB2312"/>
          <w:b/>
          <w:color w:val="000000"/>
          <w:sz w:val="32"/>
          <w:szCs w:val="32"/>
        </w:rPr>
        <w:t>）效益指标（满分30分，实得</w:t>
      </w:r>
      <w:r>
        <w:rPr>
          <w:rFonts w:hint="eastAsia" w:ascii="Times New Roman" w:hAnsi="Times New Roman" w:eastAsia="楷体_GB2312"/>
          <w:b/>
          <w:color w:val="000000"/>
          <w:sz w:val="32"/>
          <w:szCs w:val="32"/>
          <w:lang w:val="en-US" w:eastAsia="zh-CN"/>
        </w:rPr>
        <w:t>30</w:t>
      </w:r>
      <w:r>
        <w:rPr>
          <w:rFonts w:ascii="Times New Roman" w:hAnsi="Times New Roman" w:eastAsia="楷体_GB2312"/>
          <w:b/>
          <w:color w:val="000000"/>
          <w:sz w:val="32"/>
          <w:szCs w:val="32"/>
        </w:rPr>
        <w:t>分）</w:t>
      </w:r>
    </w:p>
    <w:p w14:paraId="1F6F32C9">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1.经济效益指标（满分</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分）</w:t>
      </w:r>
    </w:p>
    <w:p w14:paraId="40147E1C">
      <w:pPr>
        <w:spacing w:line="600" w:lineRule="exact"/>
        <w:ind w:firstLine="640" w:firstLineChars="200"/>
        <w:rPr>
          <w:rFonts w:ascii="Times New Roman" w:hAnsi="Times New Roman" w:eastAsia="仿宋_GB2312"/>
          <w:color w:val="000000"/>
          <w:sz w:val="32"/>
          <w:szCs w:val="32"/>
        </w:rPr>
      </w:pPr>
      <w:r>
        <w:rPr>
          <w:rFonts w:hint="eastAsia" w:ascii="Times New Roman" w:eastAsia="仿宋_GB2312"/>
          <w:color w:val="000000"/>
          <w:sz w:val="32"/>
          <w:szCs w:val="32"/>
          <w:lang w:eastAsia="zh-CN"/>
        </w:rPr>
        <w:t>本指标不适用此项目。</w:t>
      </w:r>
    </w:p>
    <w:p w14:paraId="4412D290">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2.社会效益指标（满分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14:paraId="260729C2">
      <w:pPr>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年度设定的社会效益指标为对辖区环境保护工作的影响程度，实际完成情况为改善居民生活环境，提高居民生活质量，促进社会和谐，达成到预期指标，该指标自评得分10分。</w:t>
      </w:r>
    </w:p>
    <w:p w14:paraId="505CB273">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3.生态效益指标（满分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14:paraId="1D9C5DF7">
      <w:pPr>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年度设定的生态效益指标为对推动我区环境保护工作的影响程度，实际完成情况为缓解气候变化，改善空气质量，提高居民健康水平，从而有利于保护我区生态环境和自然资源，达到预期指标，该指标自评得分10分。</w:t>
      </w:r>
    </w:p>
    <w:p w14:paraId="62C44797">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4.可持续影响指标（满分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14:paraId="6C002A43">
      <w:pPr>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年度设定的可持续影响指标为对辖区环境保护工作的持续影响程度，实际完成情况为节约自然资源的使用，减少对环境的污染，保障我区居民的健康，符合可持续发展战略的要求，达到预期指标，该指标自评得分10分。</w:t>
      </w:r>
    </w:p>
    <w:p w14:paraId="6CCFFC91">
      <w:pPr>
        <w:spacing w:line="600" w:lineRule="exact"/>
        <w:ind w:right="-283" w:firstLine="643" w:firstLineChars="200"/>
        <w:rPr>
          <w:rFonts w:ascii="Times New Roman" w:hAnsi="Times New Roman" w:eastAsia="仿宋_GB2312"/>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四</w:t>
      </w: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满意度</w:t>
      </w:r>
      <w:r>
        <w:rPr>
          <w:rFonts w:ascii="Times New Roman" w:hAnsi="Times New Roman" w:eastAsia="楷体_GB2312"/>
          <w:b/>
          <w:color w:val="000000"/>
          <w:sz w:val="32"/>
          <w:szCs w:val="32"/>
        </w:rPr>
        <w:t>指标（满分</w:t>
      </w:r>
      <w:r>
        <w:rPr>
          <w:rFonts w:hint="eastAsia" w:ascii="Times New Roman" w:hAnsi="Times New Roman" w:eastAsia="楷体_GB2312"/>
          <w:b/>
          <w:color w:val="000000"/>
          <w:sz w:val="32"/>
          <w:szCs w:val="32"/>
          <w:lang w:val="en-US" w:eastAsia="zh-CN"/>
        </w:rPr>
        <w:t>10</w:t>
      </w:r>
      <w:r>
        <w:rPr>
          <w:rFonts w:ascii="Times New Roman" w:hAnsi="Times New Roman" w:eastAsia="楷体_GB2312"/>
          <w:b/>
          <w:color w:val="000000"/>
          <w:sz w:val="32"/>
          <w:szCs w:val="32"/>
        </w:rPr>
        <w:t>分，实得</w:t>
      </w:r>
      <w:r>
        <w:rPr>
          <w:rFonts w:hint="eastAsia" w:ascii="Times New Roman" w:hAnsi="Times New Roman" w:eastAsia="楷体_GB2312"/>
          <w:b/>
          <w:color w:val="000000"/>
          <w:sz w:val="32"/>
          <w:szCs w:val="32"/>
          <w:lang w:val="en-US" w:eastAsia="zh-CN"/>
        </w:rPr>
        <w:t>10</w:t>
      </w:r>
      <w:r>
        <w:rPr>
          <w:rFonts w:ascii="Times New Roman" w:hAnsi="Times New Roman" w:eastAsia="楷体_GB2312"/>
          <w:b/>
          <w:color w:val="000000"/>
          <w:sz w:val="32"/>
          <w:szCs w:val="32"/>
        </w:rPr>
        <w:t>分）</w:t>
      </w:r>
    </w:p>
    <w:p w14:paraId="621ED8CA">
      <w:pPr>
        <w:spacing w:line="600" w:lineRule="exact"/>
        <w:ind w:firstLine="640" w:firstLineChars="200"/>
        <w:rPr>
          <w:rFonts w:hint="eastAsia" w:ascii="Times New Roman" w:hAnsi="Times New Roman" w:eastAsia="仿宋_GB2312"/>
          <w:color w:val="000000"/>
          <w:sz w:val="32"/>
          <w:szCs w:val="32"/>
        </w:rPr>
      </w:pPr>
      <w:r>
        <w:rPr>
          <w:rFonts w:hint="eastAsia" w:ascii="Times New Roman" w:hAnsi="Times New Roman" w:eastAsia="仿宋_GB2312"/>
          <w:color w:val="000000"/>
          <w:sz w:val="32"/>
          <w:szCs w:val="32"/>
        </w:rPr>
        <w:t>通过</w:t>
      </w:r>
      <w:r>
        <w:rPr>
          <w:rFonts w:hint="eastAsia" w:ascii="Times New Roman" w:hAnsi="Times New Roman" w:eastAsia="仿宋_GB2312"/>
          <w:color w:val="000000"/>
          <w:sz w:val="32"/>
          <w:szCs w:val="32"/>
          <w:lang w:val="en-US" w:eastAsia="zh-CN"/>
        </w:rPr>
        <w:t>电话</w:t>
      </w:r>
      <w:r>
        <w:rPr>
          <w:rFonts w:hint="eastAsia" w:ascii="Times New Roman" w:hAnsi="Times New Roman" w:eastAsia="仿宋_GB2312"/>
          <w:color w:val="000000"/>
          <w:sz w:val="32"/>
          <w:szCs w:val="32"/>
        </w:rPr>
        <w:t>回访方式获取广大民众和服务对象对</w:t>
      </w:r>
      <w:r>
        <w:rPr>
          <w:rFonts w:hint="eastAsia" w:ascii="Times New Roman" w:hAnsi="Times New Roman" w:eastAsia="仿宋_GB2312"/>
          <w:color w:val="000000"/>
          <w:sz w:val="32"/>
          <w:szCs w:val="32"/>
          <w:lang w:eastAsia="zh-CN"/>
        </w:rPr>
        <w:t>职能部门</w:t>
      </w:r>
      <w:r>
        <w:rPr>
          <w:rFonts w:hint="eastAsia" w:ascii="Times New Roman" w:hAnsi="Times New Roman" w:eastAsia="仿宋_GB2312"/>
          <w:color w:val="000000"/>
          <w:sz w:val="32"/>
          <w:szCs w:val="32"/>
        </w:rPr>
        <w:t>履职效果满意度和对电话回访情况进行统计分析,</w:t>
      </w:r>
      <w:r>
        <w:rPr>
          <w:rFonts w:hint="eastAsia" w:ascii="Times New Roman" w:hAnsi="Times New Roman" w:eastAsia="仿宋_GB2312"/>
          <w:color w:val="000000"/>
          <w:sz w:val="32"/>
          <w:szCs w:val="32"/>
          <w:lang w:eastAsia="zh-CN"/>
        </w:rPr>
        <w:t>职能部门</w:t>
      </w:r>
      <w:r>
        <w:rPr>
          <w:rFonts w:hint="eastAsia" w:ascii="Times New Roman" w:hAnsi="Times New Roman" w:eastAsia="仿宋_GB2312"/>
          <w:color w:val="000000"/>
          <w:sz w:val="32"/>
          <w:szCs w:val="32"/>
        </w:rPr>
        <w:t>服务对象满意度≥90%。完成预期目标，该指标自评得分10分。</w:t>
      </w:r>
    </w:p>
    <w:p w14:paraId="20E0BF17">
      <w:pPr>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四、存在问题</w:t>
      </w:r>
    </w:p>
    <w:p w14:paraId="79C1DC98">
      <w:pPr>
        <w:widowControl/>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无。</w:t>
      </w:r>
    </w:p>
    <w:p w14:paraId="7760DE45">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五、意见和建议</w:t>
      </w:r>
    </w:p>
    <w:p w14:paraId="29D7AB8E">
      <w:pPr>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无。</w:t>
      </w:r>
    </w:p>
    <w:p w14:paraId="64DCA636">
      <w:pPr>
        <w:widowControl/>
        <w:numPr>
          <w:ilvl w:val="0"/>
          <w:numId w:val="1"/>
        </w:numPr>
        <w:spacing w:line="600" w:lineRule="exact"/>
        <w:ind w:firstLine="640" w:firstLineChars="200"/>
        <w:rPr>
          <w:rFonts w:ascii="Times New Roman" w:hAnsi="Times New Roman" w:eastAsia="黑体"/>
          <w:color w:val="000000"/>
          <w:sz w:val="32"/>
          <w:szCs w:val="32"/>
        </w:rPr>
      </w:pPr>
      <w:r>
        <w:rPr>
          <w:rFonts w:hint="eastAsia" w:ascii="Times New Roman" w:hAnsi="Times New Roman" w:eastAsia="黑体"/>
          <w:color w:val="000000"/>
          <w:sz w:val="32"/>
          <w:szCs w:val="32"/>
        </w:rPr>
        <w:t>评价</w:t>
      </w:r>
      <w:r>
        <w:rPr>
          <w:rFonts w:ascii="Times New Roman" w:hAnsi="Times New Roman" w:eastAsia="黑体"/>
          <w:color w:val="000000"/>
          <w:sz w:val="32"/>
          <w:szCs w:val="32"/>
        </w:rPr>
        <w:t>依据</w:t>
      </w:r>
    </w:p>
    <w:p w14:paraId="6FC19668">
      <w:pPr>
        <w:widowControl/>
        <w:spacing w:line="600" w:lineRule="exact"/>
        <w:ind w:firstLine="640" w:firstLineChars="200"/>
        <w:rPr>
          <w:rFonts w:hint="eastAsia" w:ascii="仿宋_GB2312" w:hAnsi="仿宋_GB2312" w:eastAsia="仿宋_GB2312" w:cs="仿宋_GB2312"/>
          <w:snapToGrid w:val="0"/>
          <w:color w:val="000000"/>
          <w:sz w:val="32"/>
          <w:szCs w:val="32"/>
          <w:lang w:val="en-US" w:eastAsia="zh-CN"/>
        </w:rPr>
      </w:pPr>
      <w:r>
        <w:rPr>
          <w:rFonts w:hint="eastAsia" w:ascii="仿宋_GB2312" w:hAnsi="仿宋_GB2312" w:eastAsia="仿宋_GB2312" w:cs="仿宋_GB2312"/>
          <w:snapToGrid w:val="0"/>
          <w:color w:val="000000"/>
          <w:sz w:val="32"/>
          <w:szCs w:val="32"/>
          <w:lang w:val="en-US" w:eastAsia="zh-CN"/>
        </w:rPr>
        <w:t>根据《关于合肥市瑶海区绿色循环综合体项目立项的请示》(瑶发改[2021]16号)</w:t>
      </w:r>
      <w:r>
        <w:rPr>
          <w:rFonts w:hint="eastAsia" w:ascii="Times New Roman" w:hAnsi="Calibri" w:eastAsia="仿宋_GB2312" w:cs="宋体"/>
          <w:color w:val="000000"/>
          <w:sz w:val="32"/>
          <w:szCs w:val="32"/>
          <w:lang w:val="en-US" w:eastAsia="zh-CN"/>
        </w:rPr>
        <w:t>以及龙岗开发区预算绩效考核相关文件。</w:t>
      </w:r>
    </w:p>
    <w:p w14:paraId="51EB9E63">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七、附件</w:t>
      </w:r>
    </w:p>
    <w:p w14:paraId="774249EF">
      <w:pPr>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项目支出绩效自</w:t>
      </w:r>
      <w:bookmarkStart w:id="0" w:name="_GoBack"/>
      <w:bookmarkEnd w:id="0"/>
      <w:r>
        <w:rPr>
          <w:rFonts w:ascii="Times New Roman" w:hAnsi="Times New Roman" w:eastAsia="仿宋_GB2312"/>
          <w:color w:val="000000"/>
          <w:sz w:val="32"/>
          <w:szCs w:val="32"/>
        </w:rPr>
        <w:t>评表</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auto"/>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楷体_GB2312">
    <w:altName w:val="楷体"/>
    <w:panose1 w:val="02010609030000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FEC5AA">
    <w:pPr>
      <w:pStyle w:val="7"/>
      <w:ind w:right="280"/>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p>
  <w:p w14:paraId="44DF3819">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904846">
    <w:pPr>
      <w:pStyle w:val="7"/>
      <w:rPr>
        <w:rFonts w:ascii="宋体" w:hAnsi="宋体"/>
        <w:sz w:val="28"/>
        <w:szCs w:val="28"/>
      </w:rPr>
    </w:pPr>
    <w:r>
      <w:rPr>
        <w:rFonts w:hint="eastAsia"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4 -</w:t>
    </w:r>
    <w:r>
      <w:rPr>
        <w:rFonts w:ascii="宋体" w:hAnsi="宋体"/>
        <w:sz w:val="28"/>
        <w:szCs w:val="28"/>
      </w:rPr>
      <w:fldChar w:fldCharType="end"/>
    </w:r>
  </w:p>
  <w:p w14:paraId="7D59DFF5">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mOGUzN2E3MjM4OTFkYTdmYWI0ZmJhZjQ1M2FhNWMifQ=="/>
  </w:docVars>
  <w:rsids>
    <w:rsidRoot w:val="00000000"/>
    <w:rsid w:val="0AE0030A"/>
    <w:rsid w:val="27E30299"/>
    <w:rsid w:val="28B9608E"/>
    <w:rsid w:val="3B605EC0"/>
    <w:rsid w:val="54AD545D"/>
    <w:rsid w:val="667618E8"/>
    <w:rsid w:val="74510D17"/>
    <w:rsid w:val="7E546B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0"/>
    <w:pPr>
      <w:keepNext/>
      <w:keepLines/>
      <w:spacing w:before="340" w:after="330" w:line="578" w:lineRule="auto"/>
      <w:outlineLvl w:val="0"/>
    </w:pPr>
    <w:rPr>
      <w:rFonts w:ascii="Times New Roman" w:hAnsi="Times New Roman" w:eastAsia="MS Gothic"/>
      <w:b/>
      <w:bCs/>
      <w:kern w:val="44"/>
      <w:sz w:val="44"/>
      <w:szCs w:val="44"/>
      <w:lang w:val="zh-CN" w:eastAsia="zh-CN"/>
    </w:rPr>
  </w:style>
  <w:style w:type="paragraph" w:styleId="3">
    <w:name w:val="heading 2"/>
    <w:basedOn w:val="1"/>
    <w:next w:val="1"/>
    <w:qFormat/>
    <w:uiPriority w:val="9"/>
    <w:pPr>
      <w:keepNext/>
      <w:keepLines/>
      <w:spacing w:before="260" w:after="260" w:line="416" w:lineRule="auto"/>
      <w:outlineLvl w:val="1"/>
    </w:pPr>
    <w:rPr>
      <w:rFonts w:ascii="Cambria" w:hAnsi="Cambria" w:eastAsia="宋体" w:cs="宋体"/>
      <w:b/>
      <w:bCs/>
      <w:sz w:val="32"/>
      <w:szCs w:val="32"/>
    </w:rPr>
  </w:style>
  <w:style w:type="character" w:default="1" w:styleId="13">
    <w:name w:val="Default Paragraph Font"/>
    <w:qFormat/>
    <w:uiPriority w:val="1"/>
  </w:style>
  <w:style w:type="table" w:default="1" w:styleId="11">
    <w:name w:val="Normal Table"/>
    <w:autoRedefine/>
    <w:qFormat/>
    <w:uiPriority w:val="99"/>
    <w:tblPr>
      <w:tblCellMar>
        <w:top w:w="0" w:type="dxa"/>
        <w:left w:w="108" w:type="dxa"/>
        <w:bottom w:w="0" w:type="dxa"/>
        <w:right w:w="108" w:type="dxa"/>
      </w:tblCellMar>
    </w:tblPr>
  </w:style>
  <w:style w:type="paragraph" w:styleId="4">
    <w:name w:val="Normal Indent"/>
    <w:basedOn w:val="1"/>
    <w:link w:val="20"/>
    <w:autoRedefine/>
    <w:qFormat/>
    <w:uiPriority w:val="0"/>
    <w:pPr>
      <w:spacing w:line="560" w:lineRule="atLeast"/>
      <w:ind w:firstLine="567"/>
    </w:pPr>
    <w:rPr>
      <w:rFonts w:ascii="Calibri" w:hAnsi="Calibri" w:eastAsia="宋体" w:cs="宋体"/>
      <w:sz w:val="28"/>
    </w:rPr>
  </w:style>
  <w:style w:type="paragraph" w:styleId="5">
    <w:name w:val="Date"/>
    <w:basedOn w:val="1"/>
    <w:next w:val="1"/>
    <w:link w:val="25"/>
    <w:autoRedefine/>
    <w:qFormat/>
    <w:uiPriority w:val="0"/>
    <w:pPr>
      <w:ind w:left="100" w:leftChars="2500"/>
    </w:pPr>
    <w:rPr>
      <w:rFonts w:ascii="Times New Roman" w:hAnsi="Times New Roman"/>
      <w:szCs w:val="24"/>
    </w:rPr>
  </w:style>
  <w:style w:type="paragraph" w:styleId="6">
    <w:name w:val="Balloon Text"/>
    <w:basedOn w:val="1"/>
    <w:link w:val="24"/>
    <w:autoRedefine/>
    <w:qFormat/>
    <w:uiPriority w:val="99"/>
    <w:rPr>
      <w:rFonts w:ascii="Times New Roman" w:hAnsi="Times New Roman"/>
      <w:sz w:val="18"/>
      <w:szCs w:val="18"/>
      <w:lang w:val="zh-CN" w:eastAsia="zh-CN"/>
    </w:rPr>
  </w:style>
  <w:style w:type="paragraph" w:styleId="7">
    <w:name w:val="footer"/>
    <w:basedOn w:val="1"/>
    <w:link w:val="17"/>
    <w:autoRedefine/>
    <w:qFormat/>
    <w:uiPriority w:val="99"/>
    <w:pPr>
      <w:tabs>
        <w:tab w:val="center" w:pos="4153"/>
        <w:tab w:val="right" w:pos="8306"/>
      </w:tabs>
      <w:snapToGrid w:val="0"/>
      <w:jc w:val="left"/>
    </w:pPr>
    <w:rPr>
      <w:rFonts w:ascii="Times New Roman" w:hAnsi="Times New Roman"/>
      <w:sz w:val="18"/>
      <w:szCs w:val="18"/>
    </w:rPr>
  </w:style>
  <w:style w:type="paragraph" w:styleId="8">
    <w:name w:val="header"/>
    <w:basedOn w:val="1"/>
    <w:link w:val="18"/>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9">
    <w:name w:val="toc 1"/>
    <w:basedOn w:val="1"/>
    <w:next w:val="1"/>
    <w:qFormat/>
    <w:uiPriority w:val="0"/>
    <w:pPr>
      <w:tabs>
        <w:tab w:val="right" w:leader="dot" w:pos="9135"/>
      </w:tabs>
      <w:spacing w:line="480" w:lineRule="auto"/>
      <w:ind w:left="105" w:leftChars="50"/>
      <w:jc w:val="center"/>
    </w:pPr>
    <w:rPr>
      <w:rFonts w:ascii="黑体" w:hAnsi="宋体" w:eastAsia="黑体" w:cs="宋体"/>
      <w:color w:val="000000"/>
      <w:kern w:val="0"/>
      <w:sz w:val="32"/>
      <w:szCs w:val="32"/>
    </w:rPr>
  </w:style>
  <w:style w:type="paragraph" w:styleId="10">
    <w:name w:val="Normal (Web)"/>
    <w:basedOn w:val="1"/>
    <w:autoRedefine/>
    <w:qFormat/>
    <w:uiPriority w:val="99"/>
    <w:pPr>
      <w:widowControl/>
      <w:spacing w:before="100" w:beforeAutospacing="1" w:after="100" w:afterAutospacing="1"/>
      <w:jc w:val="left"/>
    </w:pPr>
    <w:rPr>
      <w:rFonts w:ascii="宋体" w:hAnsi="宋体" w:cs="宋体"/>
      <w:kern w:val="0"/>
      <w:sz w:val="24"/>
      <w:szCs w:val="24"/>
    </w:rPr>
  </w:style>
  <w:style w:type="table" w:styleId="12">
    <w:name w:val="Table Grid"/>
    <w:basedOn w:val="11"/>
    <w:autoRedefine/>
    <w:qFormat/>
    <w:uiPriority w:val="5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page number"/>
    <w:basedOn w:val="13"/>
    <w:autoRedefine/>
    <w:qFormat/>
    <w:uiPriority w:val="0"/>
  </w:style>
  <w:style w:type="character" w:styleId="15">
    <w:name w:val="Hyperlink"/>
    <w:autoRedefine/>
    <w:qFormat/>
    <w:uiPriority w:val="0"/>
    <w:rPr>
      <w:color w:val="0000FF"/>
      <w:u w:val="single"/>
    </w:rPr>
  </w:style>
  <w:style w:type="character" w:customStyle="1" w:styleId="16">
    <w:name w:val="标题 1 Char"/>
    <w:basedOn w:val="13"/>
    <w:link w:val="2"/>
    <w:autoRedefine/>
    <w:qFormat/>
    <w:uiPriority w:val="0"/>
    <w:rPr>
      <w:rFonts w:ascii="Times New Roman" w:hAnsi="Times New Roman" w:eastAsia="MS Gothic" w:cs="Times New Roman"/>
      <w:b/>
      <w:bCs/>
      <w:kern w:val="44"/>
      <w:sz w:val="44"/>
      <w:szCs w:val="44"/>
      <w:lang w:val="zh-CN" w:eastAsia="zh-CN"/>
    </w:rPr>
  </w:style>
  <w:style w:type="character" w:customStyle="1" w:styleId="17">
    <w:name w:val="页脚 Char"/>
    <w:basedOn w:val="13"/>
    <w:link w:val="7"/>
    <w:autoRedefine/>
    <w:qFormat/>
    <w:uiPriority w:val="99"/>
    <w:rPr>
      <w:rFonts w:ascii="Times New Roman" w:hAnsi="Times New Roman" w:eastAsia="宋体" w:cs="Times New Roman"/>
      <w:sz w:val="18"/>
      <w:szCs w:val="18"/>
    </w:rPr>
  </w:style>
  <w:style w:type="character" w:customStyle="1" w:styleId="18">
    <w:name w:val="页眉 Char"/>
    <w:basedOn w:val="13"/>
    <w:link w:val="8"/>
    <w:autoRedefine/>
    <w:qFormat/>
    <w:uiPriority w:val="0"/>
    <w:rPr>
      <w:rFonts w:ascii="Times New Roman" w:hAnsi="Times New Roman" w:eastAsia="宋体" w:cs="Times New Roman"/>
      <w:sz w:val="18"/>
      <w:szCs w:val="18"/>
    </w:rPr>
  </w:style>
  <w:style w:type="character" w:customStyle="1" w:styleId="19">
    <w:name w:val="页脚 Char Char"/>
    <w:autoRedefine/>
    <w:qFormat/>
    <w:uiPriority w:val="0"/>
    <w:rPr>
      <w:rFonts w:ascii="Times New Roman" w:hAnsi="Times New Roman" w:eastAsia="宋体" w:cs="Times New Roman"/>
      <w:sz w:val="18"/>
      <w:szCs w:val="18"/>
    </w:rPr>
  </w:style>
  <w:style w:type="character" w:customStyle="1" w:styleId="20">
    <w:name w:val="正文缩进 Char"/>
    <w:link w:val="4"/>
    <w:autoRedefine/>
    <w:qFormat/>
    <w:uiPriority w:val="0"/>
    <w:rPr>
      <w:sz w:val="28"/>
    </w:rPr>
  </w:style>
  <w:style w:type="character" w:customStyle="1" w:styleId="21">
    <w:name w:val="正文啊 Char Char"/>
    <w:link w:val="22"/>
    <w:autoRedefine/>
    <w:qFormat/>
    <w:uiPriority w:val="0"/>
    <w:rPr>
      <w:rFonts w:ascii="仿宋_GB2312" w:hAnsi="宋体" w:eastAsia="仿宋_GB2312"/>
      <w:bCs/>
      <w:sz w:val="30"/>
      <w:szCs w:val="30"/>
    </w:rPr>
  </w:style>
  <w:style w:type="paragraph" w:customStyle="1" w:styleId="22">
    <w:name w:val="正文啊"/>
    <w:basedOn w:val="1"/>
    <w:link w:val="21"/>
    <w:autoRedefine/>
    <w:qFormat/>
    <w:uiPriority w:val="0"/>
    <w:pPr>
      <w:spacing w:line="560" w:lineRule="exact"/>
      <w:ind w:firstLine="600" w:firstLineChars="200"/>
    </w:pPr>
    <w:rPr>
      <w:rFonts w:ascii="仿宋_GB2312" w:hAnsi="宋体" w:eastAsia="仿宋_GB2312" w:cs="宋体"/>
      <w:bCs/>
      <w:sz w:val="30"/>
      <w:szCs w:val="30"/>
    </w:rPr>
  </w:style>
  <w:style w:type="paragraph" w:customStyle="1" w:styleId="23">
    <w:name w:val="Char"/>
    <w:basedOn w:val="1"/>
    <w:next w:val="1"/>
    <w:autoRedefine/>
    <w:qFormat/>
    <w:uiPriority w:val="0"/>
    <w:pPr>
      <w:widowControl/>
      <w:spacing w:line="360" w:lineRule="auto"/>
      <w:jc w:val="left"/>
    </w:pPr>
    <w:rPr>
      <w:rFonts w:ascii="Times New Roman" w:hAnsi="Times New Roman"/>
      <w:kern w:val="0"/>
      <w:szCs w:val="20"/>
      <w:lang w:eastAsia="en-US"/>
    </w:rPr>
  </w:style>
  <w:style w:type="character" w:customStyle="1" w:styleId="24">
    <w:name w:val="批注框文本 Char"/>
    <w:basedOn w:val="13"/>
    <w:link w:val="6"/>
    <w:autoRedefine/>
    <w:qFormat/>
    <w:uiPriority w:val="99"/>
    <w:rPr>
      <w:rFonts w:ascii="Times New Roman" w:hAnsi="Times New Roman" w:eastAsia="宋体" w:cs="Times New Roman"/>
      <w:sz w:val="18"/>
      <w:szCs w:val="18"/>
      <w:lang w:val="zh-CN" w:eastAsia="zh-CN"/>
    </w:rPr>
  </w:style>
  <w:style w:type="character" w:customStyle="1" w:styleId="25">
    <w:name w:val="日期 Char"/>
    <w:basedOn w:val="13"/>
    <w:link w:val="5"/>
    <w:autoRedefine/>
    <w:qFormat/>
    <w:uiPriority w:val="0"/>
    <w:rPr>
      <w:rFonts w:ascii="Times New Roman" w:hAnsi="Times New Roman" w:eastAsia="宋体" w:cs="Times New Roman"/>
      <w:szCs w:val="24"/>
    </w:rPr>
  </w:style>
  <w:style w:type="paragraph" w:customStyle="1" w:styleId="26">
    <w:name w:val="Default Paragraph Char Char Char Char"/>
    <w:basedOn w:val="1"/>
    <w:next w:val="1"/>
    <w:autoRedefine/>
    <w:qFormat/>
    <w:uiPriority w:val="0"/>
    <w:pPr>
      <w:widowControl/>
      <w:spacing w:line="360" w:lineRule="auto"/>
      <w:jc w:val="center"/>
    </w:pPr>
    <w:rPr>
      <w:rFonts w:ascii="Times New Roman" w:hAnsi="Times New Roman" w:eastAsia="方正小标宋简体"/>
      <w:kern w:val="0"/>
      <w:sz w:val="44"/>
      <w:szCs w:val="20"/>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1832</Words>
  <Characters>2026</Characters>
  <Paragraphs>73</Paragraphs>
  <TotalTime>33</TotalTime>
  <ScaleCrop>false</ScaleCrop>
  <LinksUpToDate>false</LinksUpToDate>
  <CharactersWithSpaces>2139</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2024-03-08T06:08:00Z</dcterms:created>
  <dc:creator>王焱</dc:creator>
  <cp:lastModifiedBy>Administrator</cp:lastModifiedBy>
  <cp:lastPrinted>2024-03-08T03:27:00Z</cp:lastPrinted>
  <dcterms:modified xsi:type="dcterms:W3CDTF">2024-09-03T00:41:04Z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d1807a13a966454ab39553a1d64371eb_23</vt:lpwstr>
  </property>
</Properties>
</file>