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B967F">
      <w:pPr>
        <w:spacing w:line="600" w:lineRule="exact"/>
        <w:jc w:val="center"/>
        <w:rPr>
          <w:rFonts w:ascii="Times New Roman" w:hAnsi="Times New Roman" w:eastAsia="方正小标宋简体"/>
          <w:bCs/>
          <w:sz w:val="44"/>
          <w:szCs w:val="24"/>
        </w:rPr>
      </w:pPr>
      <w:r>
        <w:rPr>
          <w:rFonts w:hint="eastAsia" w:ascii="Times New Roman" w:hAnsi="Times New Roman" w:eastAsia="方正小标宋简体"/>
          <w:bCs/>
          <w:sz w:val="44"/>
          <w:szCs w:val="24"/>
          <w:lang w:eastAsia="zh-CN"/>
        </w:rPr>
        <w:t>2023</w:t>
      </w:r>
      <w:r>
        <w:rPr>
          <w:rFonts w:ascii="Times New Roman" w:hAnsi="Times New Roman" w:eastAsia="方正小标宋简体"/>
          <w:bCs/>
          <w:sz w:val="44"/>
          <w:szCs w:val="24"/>
        </w:rPr>
        <w:t>年</w:t>
      </w:r>
      <w:r>
        <w:rPr>
          <w:rFonts w:hint="eastAsia" w:ascii="Times New Roman" w:hAnsi="Times New Roman" w:eastAsia="方正小标宋简体"/>
          <w:bCs/>
          <w:sz w:val="44"/>
          <w:szCs w:val="24"/>
          <w:lang w:val="en-US" w:eastAsia="zh-CN"/>
        </w:rPr>
        <w:t>征迁补偿</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74907278">
      <w:pPr>
        <w:spacing w:line="580" w:lineRule="exact"/>
        <w:jc w:val="center"/>
        <w:rPr>
          <w:rFonts w:ascii="Times New Roman" w:hAnsi="Times New Roman" w:eastAsia="仿宋_GB2312"/>
          <w:bCs/>
          <w:sz w:val="32"/>
          <w:szCs w:val="32"/>
        </w:rPr>
      </w:pPr>
    </w:p>
    <w:p w14:paraId="0704EA2B">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65784A1A">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31ADF2D3">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18CABCD3">
      <w:pPr>
        <w:pStyle w:val="2"/>
        <w:widowControl/>
        <w:numPr>
          <w:ilvl w:val="0"/>
          <w:numId w:val="0"/>
        </w:numPr>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lang w:val="en-US"/>
        </w:rPr>
        <w:t>为规范龙岗开发区征迁补偿安置工作，保障被征收人的合法权益，2023年</w:t>
      </w:r>
      <w:r>
        <w:rPr>
          <w:rFonts w:hint="eastAsia" w:ascii="Times New Roman" w:hAnsi="Times New Roman" w:eastAsia="仿宋_GB2312"/>
          <w:snapToGrid w:val="0"/>
          <w:color w:val="000000"/>
          <w:sz w:val="32"/>
          <w:szCs w:val="32"/>
          <w:lang w:val="en-US" w:eastAsia="zh-CN"/>
        </w:rPr>
        <w:t>龙岗开发区安排预算</w:t>
      </w:r>
      <w:r>
        <w:rPr>
          <w:rFonts w:ascii="Times New Roman" w:hAnsi="Times New Roman" w:eastAsia="仿宋_GB2312"/>
          <w:snapToGrid w:val="0"/>
          <w:color w:val="000000"/>
          <w:sz w:val="32"/>
          <w:szCs w:val="32"/>
          <w:lang w:val="en-US"/>
        </w:rPr>
        <w:t>资金3429.727351万元，用于支付龙岗开发区征迁项目安置过渡费及零星项目征迁补偿款发放工作，保障各项工作稳步推进。</w:t>
      </w:r>
      <w:r>
        <w:rPr>
          <w:rFonts w:hint="eastAsia" w:ascii="Times New Roman" w:hAnsi="Times New Roman" w:eastAsia="仿宋_GB2312"/>
          <w:snapToGrid w:val="0"/>
          <w:color w:val="000000"/>
          <w:sz w:val="32"/>
          <w:szCs w:val="32"/>
          <w:lang w:val="en-US" w:eastAsia="zh-CN"/>
        </w:rPr>
        <w:t>属于其他发展建设类项目</w:t>
      </w:r>
      <w:r>
        <w:rPr>
          <w:rFonts w:ascii="Times New Roman" w:hAnsi="Times New Roman" w:eastAsia="仿宋_GB2312"/>
          <w:snapToGrid w:val="0"/>
          <w:color w:val="000000"/>
          <w:sz w:val="32"/>
          <w:szCs w:val="32"/>
          <w:lang w:val="en-US"/>
        </w:rPr>
        <w:t>，实施周期</w:t>
      </w:r>
      <w:r>
        <w:rPr>
          <w:rFonts w:hint="eastAsia" w:ascii="Times New Roman" w:hAnsi="Times New Roman" w:eastAsia="仿宋_GB2312"/>
          <w:snapToGrid w:val="0"/>
          <w:color w:val="000000"/>
          <w:sz w:val="32"/>
          <w:szCs w:val="32"/>
          <w:lang w:val="en-US" w:eastAsia="zh-CN"/>
        </w:rPr>
        <w:t>三</w:t>
      </w:r>
      <w:r>
        <w:rPr>
          <w:rFonts w:ascii="Times New Roman" w:hAnsi="Times New Roman" w:eastAsia="仿宋_GB2312"/>
          <w:snapToGrid w:val="0"/>
          <w:color w:val="000000"/>
          <w:sz w:val="32"/>
          <w:szCs w:val="32"/>
          <w:lang w:val="en-US"/>
        </w:rPr>
        <w:t>年。</w:t>
      </w:r>
    </w:p>
    <w:p w14:paraId="1F868703">
      <w:pPr>
        <w:numPr>
          <w:ilvl w:val="0"/>
          <w:numId w:val="0"/>
        </w:numPr>
        <w:spacing w:line="560" w:lineRule="exact"/>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lang w:val="en-US"/>
        </w:rPr>
        <w:t xml:space="preserve">     2.</w:t>
      </w:r>
      <w:r>
        <w:rPr>
          <w:rFonts w:ascii="Times New Roman" w:hAnsi="Times New Roman" w:eastAsia="仿宋_GB2312"/>
          <w:snapToGrid w:val="0"/>
          <w:color w:val="000000"/>
          <w:sz w:val="32"/>
          <w:szCs w:val="32"/>
        </w:rPr>
        <w:t>项目执行情况</w:t>
      </w:r>
    </w:p>
    <w:p w14:paraId="3FACBFB9">
      <w:pPr>
        <w:numPr>
          <w:ilvl w:val="0"/>
          <w:numId w:val="0"/>
        </w:numPr>
        <w:spacing w:line="560" w:lineRule="exact"/>
        <w:rPr>
          <w:rFonts w:ascii="Times New Roman" w:hAnsi="Times New Roman" w:eastAsia="仿宋_GB2312"/>
          <w:sz w:val="32"/>
          <w:szCs w:val="32"/>
        </w:rPr>
      </w:pPr>
      <w:r>
        <w:rPr>
          <w:rFonts w:hint="eastAsia" w:ascii="Times New Roman" w:hAnsi="Times New Roman" w:eastAsia="仿宋_GB2312"/>
          <w:snapToGrid w:val="0"/>
          <w:color w:val="000000"/>
          <w:sz w:val="32"/>
          <w:szCs w:val="32"/>
          <w:lang w:val="en-US" w:eastAsia="zh-CN"/>
        </w:rPr>
        <w:t xml:space="preserve">     </w:t>
      </w:r>
      <w:r>
        <w:rPr>
          <w:rFonts w:ascii="Times New Roman" w:hAnsi="Times New Roman" w:eastAsia="仿宋_GB2312"/>
          <w:snapToGrid w:val="0"/>
          <w:color w:val="000000"/>
          <w:sz w:val="32"/>
          <w:szCs w:val="32"/>
          <w:lang w:val="en-US"/>
        </w:rPr>
        <w:t>2023</w:t>
      </w:r>
      <w:r>
        <w:rPr>
          <w:rFonts w:hint="eastAsia" w:ascii="Times New Roman" w:hAnsi="Times New Roman" w:eastAsia="仿宋_GB2312"/>
          <w:snapToGrid w:val="0"/>
          <w:color w:val="000000"/>
          <w:sz w:val="32"/>
          <w:szCs w:val="32"/>
          <w:lang w:val="en-US" w:eastAsia="zh-CN"/>
        </w:rPr>
        <w:t>年征迁补偿项目共支出财政资金3429.727351万元，用于支付龙岗开发区征迁项目安置过渡费及零星项目征迁补偿款发放工作，根据相关工作部署安排，圆满完成各项工作任务。</w:t>
      </w:r>
    </w:p>
    <w:p w14:paraId="28625A68">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27B89B56">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2F743315">
      <w:pPr>
        <w:pStyle w:val="2"/>
        <w:numPr>
          <w:ilvl w:val="0"/>
          <w:numId w:val="0"/>
        </w:num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lang w:val="en-US"/>
        </w:rPr>
        <w:t>2023</w:t>
      </w:r>
      <w:r>
        <w:rPr>
          <w:rFonts w:hint="eastAsia" w:ascii="Times New Roman" w:hAnsi="Times New Roman" w:eastAsia="仿宋_GB2312"/>
          <w:color w:val="000000"/>
          <w:sz w:val="32"/>
          <w:szCs w:val="32"/>
          <w:lang w:val="en-US" w:eastAsia="zh-CN"/>
        </w:rPr>
        <w:t>年龙岗经济开发区申请财政资金3429.727351万元，主要用于临时安置过渡费发放工作，支付门一路、皇甫路等零星项目征迁补偿费发放等相关工作，切实保障辖区居民生活需要，稳定社会平稳运营，营造良好的社会氛围。</w:t>
      </w:r>
    </w:p>
    <w:p w14:paraId="7E33FC36">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512BC66C">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lang w:val="en-US"/>
        </w:rPr>
        <w:t>2023</w:t>
      </w:r>
      <w:r>
        <w:rPr>
          <w:rFonts w:hint="eastAsia" w:ascii="Times New Roman" w:hAnsi="Times New Roman" w:eastAsia="仿宋_GB2312"/>
          <w:color w:val="000000"/>
          <w:sz w:val="32"/>
          <w:szCs w:val="32"/>
          <w:lang w:val="en-US" w:eastAsia="zh-CN"/>
        </w:rPr>
        <w:t>年度完成龙岗开发区</w:t>
      </w:r>
      <w:r>
        <w:rPr>
          <w:rFonts w:hint="default" w:ascii="Times New Roman" w:hAnsi="Times New Roman" w:eastAsia="仿宋_GB2312"/>
          <w:color w:val="000000"/>
          <w:sz w:val="32"/>
          <w:szCs w:val="32"/>
          <w:lang w:val="en-US" w:eastAsia="zh-CN"/>
        </w:rPr>
        <w:t>20</w:t>
      </w:r>
      <w:r>
        <w:rPr>
          <w:rFonts w:hint="eastAsia" w:ascii="Times New Roman" w:hAnsi="Times New Roman" w:eastAsia="仿宋_GB2312"/>
          <w:color w:val="000000"/>
          <w:sz w:val="32"/>
          <w:szCs w:val="32"/>
          <w:lang w:val="en-US" w:eastAsia="zh-CN"/>
        </w:rPr>
        <w:t>余个征迁项目临时安渡费发放工作，以及门一路</w:t>
      </w:r>
      <w:r>
        <w:rPr>
          <w:rFonts w:hint="default" w:ascii="Times New Roman" w:hAnsi="Times New Roman" w:eastAsia="仿宋_GB2312"/>
          <w:color w:val="000000"/>
          <w:sz w:val="32"/>
          <w:szCs w:val="32"/>
          <w:lang w:val="en-US" w:eastAsia="zh-CN"/>
        </w:rPr>
        <w:t>(146.0702</w:t>
      </w:r>
      <w:r>
        <w:rPr>
          <w:rFonts w:hint="eastAsia" w:ascii="Times New Roman" w:hAnsi="Times New Roman" w:eastAsia="仿宋_GB2312"/>
          <w:color w:val="000000"/>
          <w:sz w:val="32"/>
          <w:szCs w:val="32"/>
          <w:lang w:val="en-US" w:eastAsia="zh-CN"/>
        </w:rPr>
        <w:t>万元</w:t>
      </w:r>
      <w:r>
        <w:rPr>
          <w:rFonts w:hint="default" w:ascii="Times New Roman" w:hAnsi="Times New Roman" w:eastAsia="仿宋_GB2312"/>
          <w:color w:val="000000"/>
          <w:sz w:val="32"/>
          <w:szCs w:val="32"/>
          <w:lang w:val="en-US" w:eastAsia="zh-CN"/>
        </w:rPr>
        <w:t>)</w:t>
      </w:r>
      <w:r>
        <w:rPr>
          <w:rFonts w:hint="eastAsia" w:ascii="Times New Roman" w:hAnsi="Times New Roman" w:eastAsia="仿宋_GB2312"/>
          <w:color w:val="000000"/>
          <w:sz w:val="32"/>
          <w:szCs w:val="32"/>
          <w:lang w:val="en-US" w:eastAsia="zh-CN"/>
        </w:rPr>
        <w:t>、皇甫路</w:t>
      </w:r>
      <w:r>
        <w:rPr>
          <w:rFonts w:hint="default" w:ascii="Times New Roman" w:hAnsi="Times New Roman" w:eastAsia="仿宋_GB2312"/>
          <w:color w:val="000000"/>
          <w:sz w:val="32"/>
          <w:szCs w:val="32"/>
          <w:lang w:val="en-US" w:eastAsia="zh-CN"/>
        </w:rPr>
        <w:t>(55.7308</w:t>
      </w:r>
      <w:r>
        <w:rPr>
          <w:rFonts w:hint="eastAsia" w:ascii="Times New Roman" w:hAnsi="Times New Roman" w:eastAsia="仿宋_GB2312"/>
          <w:color w:val="000000"/>
          <w:sz w:val="32"/>
          <w:szCs w:val="32"/>
          <w:lang w:val="en-US" w:eastAsia="zh-CN"/>
        </w:rPr>
        <w:t>万元</w:t>
      </w:r>
      <w:r>
        <w:rPr>
          <w:rFonts w:hint="default" w:ascii="Times New Roman" w:hAnsi="Times New Roman" w:eastAsia="仿宋_GB2312"/>
          <w:color w:val="000000"/>
          <w:sz w:val="32"/>
          <w:szCs w:val="32"/>
          <w:lang w:val="en-US" w:eastAsia="zh-CN"/>
        </w:rPr>
        <w:t>)</w:t>
      </w:r>
      <w:r>
        <w:rPr>
          <w:rFonts w:hint="eastAsia" w:ascii="Times New Roman" w:hAnsi="Times New Roman" w:eastAsia="仿宋_GB2312"/>
          <w:color w:val="000000"/>
          <w:sz w:val="32"/>
          <w:szCs w:val="32"/>
          <w:lang w:val="en-US" w:eastAsia="zh-CN"/>
        </w:rPr>
        <w:t>等零星项目征迁补偿安置费发放工作。</w:t>
      </w:r>
    </w:p>
    <w:p w14:paraId="45A9560F">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5EFC3E85">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0DC35412">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2023</w:t>
      </w:r>
      <w:r>
        <w:rPr>
          <w:rFonts w:ascii="Times New Roman" w:hAnsi="Times New Roman" w:eastAsia="仿宋_GB2312"/>
          <w:sz w:val="32"/>
          <w:szCs w:val="32"/>
        </w:rPr>
        <w:t>年度，</w:t>
      </w:r>
      <w:r>
        <w:rPr>
          <w:rFonts w:hint="eastAsia" w:ascii="Times New Roman" w:hAnsi="Times New Roman" w:eastAsia="仿宋_GB2312"/>
          <w:sz w:val="32"/>
          <w:szCs w:val="32"/>
          <w:lang w:val="en-US" w:eastAsia="zh-CN"/>
        </w:rPr>
        <w:t>征迁补偿</w:t>
      </w:r>
      <w:r>
        <w:rPr>
          <w:rFonts w:ascii="Times New Roman" w:hAnsi="Times New Roman" w:eastAsia="仿宋_GB2312"/>
          <w:color w:val="000000"/>
          <w:sz w:val="32"/>
          <w:szCs w:val="32"/>
        </w:rPr>
        <w:t>项目通过申请财政资金</w:t>
      </w:r>
      <w:r>
        <w:rPr>
          <w:rFonts w:hint="eastAsia" w:ascii="Times New Roman" w:hAnsi="Times New Roman" w:eastAsia="仿宋_GB2312"/>
          <w:color w:val="000000"/>
          <w:sz w:val="32"/>
          <w:szCs w:val="32"/>
          <w:lang w:eastAsia="zh-CN"/>
        </w:rPr>
        <w:t>3429.727351</w:t>
      </w:r>
      <w:r>
        <w:rPr>
          <w:rFonts w:ascii="Times New Roman" w:hAnsi="Times New Roman" w:eastAsia="仿宋_GB2312"/>
          <w:color w:val="000000"/>
          <w:sz w:val="32"/>
          <w:szCs w:val="32"/>
        </w:rPr>
        <w:t>万元，共完成</w:t>
      </w:r>
      <w:r>
        <w:rPr>
          <w:rFonts w:hint="eastAsia" w:ascii="Times New Roman" w:hAnsi="Times New Roman" w:eastAsia="仿宋_GB2312"/>
          <w:color w:val="000000"/>
          <w:sz w:val="32"/>
          <w:szCs w:val="32"/>
          <w:lang w:eastAsia="zh-CN"/>
        </w:rPr>
        <w:t>以下工作：一是完成龙岗开发区2023年度征迁安置项目临时安置</w:t>
      </w:r>
      <w:r>
        <w:rPr>
          <w:rFonts w:hint="eastAsia" w:ascii="Times New Roman" w:hAnsi="Times New Roman" w:eastAsia="仿宋_GB2312"/>
          <w:color w:val="000000"/>
          <w:sz w:val="32"/>
          <w:szCs w:val="32"/>
          <w:lang w:val="en-US" w:eastAsia="zh-CN"/>
        </w:rPr>
        <w:t>过渡</w:t>
      </w:r>
      <w:r>
        <w:rPr>
          <w:rFonts w:hint="eastAsia" w:ascii="Times New Roman" w:hAnsi="Times New Roman" w:eastAsia="仿宋_GB2312"/>
          <w:color w:val="000000"/>
          <w:sz w:val="32"/>
          <w:szCs w:val="32"/>
          <w:lang w:eastAsia="zh-CN"/>
        </w:rPr>
        <w:t>费发放工作；二是完成零星征迁安置补偿费用发放工作。以上工作均已完成年度设定的绩效目标，达到预期效果。具体包括：一是</w:t>
      </w:r>
      <w:r>
        <w:rPr>
          <w:rFonts w:hint="eastAsia" w:ascii="Times New Roman" w:hAnsi="Times New Roman" w:eastAsia="仿宋_GB2312"/>
          <w:color w:val="000000"/>
          <w:sz w:val="32"/>
          <w:szCs w:val="32"/>
          <w:lang w:val="en-US" w:eastAsia="zh-CN"/>
        </w:rPr>
        <w:t>完成</w:t>
      </w:r>
      <w:r>
        <w:rPr>
          <w:rFonts w:hint="eastAsia" w:ascii="Times New Roman" w:hAnsi="Times New Roman" w:eastAsia="仿宋_GB2312"/>
          <w:color w:val="000000"/>
          <w:sz w:val="32"/>
          <w:szCs w:val="32"/>
          <w:lang w:eastAsia="zh-CN"/>
        </w:rPr>
        <w:t>老龙岗政策项目临时安置</w:t>
      </w:r>
      <w:r>
        <w:rPr>
          <w:rFonts w:hint="eastAsia" w:ascii="Times New Roman" w:hAnsi="Times New Roman" w:eastAsia="仿宋_GB2312"/>
          <w:color w:val="000000"/>
          <w:sz w:val="32"/>
          <w:szCs w:val="32"/>
          <w:lang w:val="en-US" w:eastAsia="zh-CN"/>
        </w:rPr>
        <w:t>过渡</w:t>
      </w:r>
      <w:r>
        <w:rPr>
          <w:rFonts w:hint="eastAsia" w:ascii="Times New Roman" w:hAnsi="Times New Roman" w:eastAsia="仿宋_GB2312"/>
          <w:color w:val="000000"/>
          <w:sz w:val="32"/>
          <w:szCs w:val="32"/>
          <w:lang w:eastAsia="zh-CN"/>
        </w:rPr>
        <w:t>费制表、报批、发放工作；二是</w:t>
      </w:r>
      <w:r>
        <w:rPr>
          <w:rFonts w:hint="eastAsia" w:ascii="Times New Roman" w:hAnsi="Times New Roman" w:eastAsia="仿宋_GB2312"/>
          <w:color w:val="000000"/>
          <w:sz w:val="32"/>
          <w:szCs w:val="32"/>
          <w:lang w:val="en-US" w:eastAsia="zh-CN"/>
        </w:rPr>
        <w:t>完成</w:t>
      </w:r>
      <w:r>
        <w:rPr>
          <w:rFonts w:hint="eastAsia" w:ascii="Times New Roman" w:hAnsi="Times New Roman" w:eastAsia="仿宋_GB2312"/>
          <w:color w:val="000000"/>
          <w:sz w:val="32"/>
          <w:szCs w:val="32"/>
          <w:lang w:eastAsia="zh-CN"/>
        </w:rPr>
        <w:t>皇甫山路、门一路等零星项目征迁补偿费用发放工作。</w:t>
      </w:r>
    </w:p>
    <w:p w14:paraId="4F68A633">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233E3BC9">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sz w:val="32"/>
          <w:szCs w:val="32"/>
          <w:lang w:val="en-US" w:eastAsia="zh-CN"/>
        </w:rPr>
        <w:t>征迁补偿</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99</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val="en-US" w:eastAsia="zh-CN"/>
        </w:rPr>
        <w:t>优</w:t>
      </w:r>
      <w:r>
        <w:rPr>
          <w:rFonts w:ascii="Times New Roman" w:hAnsi="Times New Roman" w:eastAsia="仿宋_GB2312"/>
          <w:color w:val="000000"/>
          <w:sz w:val="32"/>
          <w:szCs w:val="32"/>
        </w:rPr>
        <w:t>”。</w:t>
      </w:r>
    </w:p>
    <w:p w14:paraId="70032263">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62317267">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val="en-US" w:eastAsia="zh-CN"/>
        </w:rPr>
        <w:t>征迁补偿</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个三级指标，各项指标评分情况分析如下：</w:t>
      </w:r>
    </w:p>
    <w:p w14:paraId="0985D8DA">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2B45A9A2">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征迁补偿</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3429.727351</w:t>
      </w:r>
      <w:r>
        <w:rPr>
          <w:rFonts w:ascii="Times New Roman" w:hAnsi="Times New Roman" w:eastAsia="仿宋_GB2312"/>
          <w:color w:val="000000"/>
          <w:sz w:val="32"/>
          <w:szCs w:val="32"/>
        </w:rPr>
        <w:t>万元，全年执</w:t>
      </w:r>
      <w:r>
        <w:rPr>
          <w:rFonts w:hint="eastAsia" w:ascii="Times New Roman" w:hAnsi="Times New Roman" w:eastAsia="仿宋_GB2312"/>
          <w:color w:val="000000"/>
          <w:sz w:val="32"/>
          <w:szCs w:val="32"/>
          <w:lang w:val="en-US" w:eastAsia="zh-CN"/>
        </w:rPr>
        <w:t>行3429.727351</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4E08E9A7">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49</w:t>
      </w:r>
      <w:r>
        <w:rPr>
          <w:rFonts w:ascii="Times New Roman" w:hAnsi="Times New Roman" w:eastAsia="楷体_GB2312"/>
          <w:b/>
          <w:color w:val="000000"/>
          <w:sz w:val="32"/>
          <w:szCs w:val="32"/>
        </w:rPr>
        <w:t>分）</w:t>
      </w:r>
    </w:p>
    <w:p w14:paraId="698ACCE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15</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0A37BF98">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完成项目数（2个）</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val="en-US" w:eastAsia="zh-CN"/>
        </w:rPr>
        <w:t>完成老龙岗政策项目临时安置过渡费发放工作，完成门一路、皇甫路等零星项目征迁补偿款发放工作，已达到预期指标，</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190C92D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43B17A4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val="en-US" w:eastAsia="zh-CN"/>
        </w:rPr>
        <w:t>款项支付时间</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按照合同约定支付资金，达到预期目标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7406B2AA">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70A102F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val="en-US" w:eastAsia="zh-CN"/>
        </w:rPr>
        <w:t>项目质量符合合同约定</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企业已经拆除，2023年度临时安置过渡费已经发放，达到预期目标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479A2C36">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418C2B8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仿宋_GB2312" w:hAnsi="仿宋_GB2312" w:eastAsia="仿宋_GB2312" w:cs="仿宋_GB2312"/>
          <w:color w:val="000000"/>
          <w:sz w:val="32"/>
          <w:szCs w:val="32"/>
        </w:rPr>
        <w:t>项目总成本</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≤指标值）</w:t>
      </w:r>
      <w:r>
        <w:rPr>
          <w:rFonts w:ascii="Times New Roman" w:hAnsi="Times New Roman" w:eastAsia="仿宋_GB2312"/>
          <w:color w:val="000000"/>
          <w:sz w:val="32"/>
          <w:szCs w:val="32"/>
        </w:rPr>
        <w:t>；</w:t>
      </w:r>
      <w:r>
        <w:rPr>
          <w:rFonts w:hint="eastAsia" w:ascii="仿宋_GB2312" w:hAnsi="仿宋_GB2312" w:eastAsia="仿宋_GB2312" w:cs="仿宋_GB2312"/>
          <w:color w:val="000000"/>
          <w:sz w:val="32"/>
          <w:szCs w:val="32"/>
          <w:lang w:val="en-US" w:eastAsia="zh-CN"/>
        </w:rPr>
        <w:t>指标值5435万元，</w:t>
      </w:r>
      <w:r>
        <w:rPr>
          <w:rFonts w:hint="eastAsia" w:ascii="仿宋_GB2312" w:hAnsi="仿宋_GB2312" w:eastAsia="仿宋_GB2312" w:cs="仿宋_GB2312"/>
          <w:color w:val="000000"/>
          <w:sz w:val="32"/>
          <w:szCs w:val="32"/>
        </w:rPr>
        <w:t>实际完成情况为</w:t>
      </w:r>
      <w:r>
        <w:rPr>
          <w:rFonts w:hint="eastAsia" w:ascii="仿宋_GB2312" w:hAnsi="仿宋_GB2312" w:eastAsia="仿宋_GB2312" w:cs="仿宋_GB2312"/>
          <w:snapToGrid w:val="0"/>
          <w:color w:val="000000"/>
          <w:sz w:val="32"/>
          <w:szCs w:val="32"/>
          <w:lang w:val="en-US" w:eastAsia="zh-CN"/>
        </w:rPr>
        <w:t>3429.727351万元</w:t>
      </w:r>
      <w:r>
        <w:rPr>
          <w:rFonts w:hint="eastAsia" w:ascii="仿宋_GB2312" w:hAnsi="仿宋_GB2312" w:eastAsia="仿宋_GB2312" w:cs="仿宋_GB2312"/>
          <w:color w:val="000000"/>
          <w:sz w:val="32"/>
          <w:szCs w:val="32"/>
        </w:rPr>
        <w:t>，得分</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分</w:t>
      </w:r>
      <w:r>
        <w:rPr>
          <w:rFonts w:hint="eastAsia" w:ascii="仿宋_GB2312" w:hAnsi="仿宋_GB2312" w:eastAsia="仿宋_GB2312" w:cs="仿宋_GB2312"/>
          <w:color w:val="000000"/>
          <w:sz w:val="32"/>
          <w:szCs w:val="32"/>
          <w:lang w:eastAsia="zh-CN"/>
        </w:rPr>
        <w:t>。</w:t>
      </w:r>
      <w:r>
        <w:rPr>
          <w:rFonts w:ascii="Times New Roman" w:hAnsi="Times New Roman" w:eastAsia="仿宋_GB2312"/>
          <w:color w:val="000000"/>
          <w:sz w:val="32"/>
          <w:szCs w:val="32"/>
        </w:rPr>
        <w:t>未完成的主要原因是</w:t>
      </w:r>
      <w:r>
        <w:rPr>
          <w:rFonts w:hint="eastAsia" w:ascii="Times New Roman" w:hAnsi="Times New Roman" w:eastAsia="仿宋_GB2312"/>
          <w:color w:val="000000"/>
          <w:sz w:val="32"/>
          <w:szCs w:val="32"/>
          <w:lang w:val="en-US" w:eastAsia="zh-CN"/>
        </w:rPr>
        <w:t>年初申报财政资金5435万元，后核减拨款3429.727351万元</w:t>
      </w:r>
      <w:r>
        <w:rPr>
          <w:rFonts w:ascii="Times New Roman" w:hAnsi="Times New Roman" w:eastAsia="仿宋_GB2312"/>
          <w:color w:val="000000"/>
          <w:sz w:val="32"/>
          <w:szCs w:val="32"/>
        </w:rPr>
        <w:t>。</w:t>
      </w:r>
    </w:p>
    <w:p w14:paraId="517C42C2">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7482BEE4">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14:paraId="02B42F96">
      <w:pPr>
        <w:spacing w:line="600" w:lineRule="exact"/>
        <w:ind w:firstLine="640" w:firstLineChars="200"/>
        <w:rPr>
          <w:rFonts w:ascii="Times New Roman" w:hAnsi="Times New Roman" w:eastAsia="仿宋_GB2312"/>
          <w:color w:val="000000"/>
          <w:sz w:val="32"/>
          <w:szCs w:val="32"/>
        </w:rPr>
      </w:pPr>
      <w:r>
        <w:rPr>
          <w:rFonts w:hint="eastAsia" w:ascii="Times New Roman" w:eastAsia="仿宋_GB2312"/>
          <w:color w:val="000000"/>
          <w:sz w:val="32"/>
          <w:szCs w:val="32"/>
          <w:lang w:eastAsia="zh-CN"/>
        </w:rPr>
        <w:t>本指标不适用此项目。</w:t>
      </w:r>
    </w:p>
    <w:p w14:paraId="3E20F303">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1CB9BC07">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年度设定的社会效益指标为对辖区人居环境的影响程度，实际完成情况为达到预期目标，保障已拆迁群众临时安置过渡费按时发放，零星征迁补偿工作顺利开展，维护信访稳定。该指标自评得分10分。</w:t>
      </w:r>
    </w:p>
    <w:p w14:paraId="682BE87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2ED69E0A">
      <w:pPr>
        <w:spacing w:line="600" w:lineRule="exact"/>
        <w:ind w:firstLine="640" w:firstLineChars="200"/>
        <w:rPr>
          <w:rFonts w:ascii="Times New Roman" w:hAnsi="Times New Roman" w:eastAsia="仿宋_GB2312"/>
          <w:color w:val="000000"/>
          <w:sz w:val="32"/>
          <w:szCs w:val="32"/>
        </w:rPr>
      </w:pPr>
      <w:r>
        <w:rPr>
          <w:rFonts w:hint="eastAsia" w:ascii="Times New Roman" w:eastAsia="仿宋_GB2312"/>
          <w:color w:val="000000"/>
          <w:sz w:val="32"/>
          <w:szCs w:val="32"/>
          <w:lang w:eastAsia="zh-CN"/>
        </w:rPr>
        <w:t>本指标不适用此项目</w:t>
      </w:r>
      <w:r>
        <w:rPr>
          <w:rFonts w:hint="eastAsia" w:ascii="Times New Roman" w:hAnsi="Times New Roman" w:eastAsia="仿宋_GB2312"/>
          <w:color w:val="000000"/>
          <w:sz w:val="32"/>
          <w:szCs w:val="32"/>
          <w:lang w:val="en-US" w:eastAsia="zh-CN"/>
        </w:rPr>
        <w:t>。</w:t>
      </w:r>
    </w:p>
    <w:p w14:paraId="57E2BEE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23F5A5EB">
      <w:pPr>
        <w:spacing w:line="6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olor w:val="000000"/>
          <w:sz w:val="32"/>
          <w:szCs w:val="32"/>
          <w:lang w:val="en-US" w:eastAsia="zh-CN"/>
        </w:rPr>
        <w:t>年度设定的社会效益指标为对辖区人居环境的持续影响程度，实际完成情况为达到预期目标，提高辖区群众生活水平，改善辖区人居环境，促进城市稳步发展。该指标自评得分10分。</w:t>
      </w:r>
    </w:p>
    <w:p w14:paraId="07282754">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49CB3EEF">
      <w:pPr>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通过</w:t>
      </w:r>
      <w:r>
        <w:rPr>
          <w:rFonts w:hint="eastAsia" w:ascii="Times New Roman" w:hAnsi="Times New Roman" w:eastAsia="仿宋_GB2312"/>
          <w:color w:val="000000"/>
          <w:sz w:val="32"/>
          <w:szCs w:val="32"/>
          <w:lang w:eastAsia="zh-CN"/>
        </w:rPr>
        <w:t>电话</w:t>
      </w:r>
      <w:r>
        <w:rPr>
          <w:rFonts w:hint="eastAsia" w:ascii="Times New Roman" w:hAnsi="Times New Roman" w:eastAsia="仿宋_GB2312"/>
          <w:color w:val="000000"/>
          <w:sz w:val="32"/>
          <w:szCs w:val="32"/>
        </w:rPr>
        <w:t>回访方式获取广大民众和服务对象对</w:t>
      </w:r>
      <w:r>
        <w:rPr>
          <w:rFonts w:hint="eastAsia" w:ascii="Times New Roman" w:hAnsi="Times New Roman" w:eastAsia="仿宋_GB2312"/>
          <w:color w:val="000000"/>
          <w:sz w:val="32"/>
          <w:szCs w:val="32"/>
          <w:lang w:eastAsia="zh-CN"/>
        </w:rPr>
        <w:t>职能部门</w:t>
      </w:r>
      <w:r>
        <w:rPr>
          <w:rFonts w:hint="eastAsia" w:ascii="Times New Roman" w:hAnsi="Times New Roman" w:eastAsia="仿宋_GB2312"/>
          <w:color w:val="000000"/>
          <w:sz w:val="32"/>
          <w:szCs w:val="32"/>
        </w:rPr>
        <w:t>履职效果满意度和对电话回访情况进行统计分析,</w:t>
      </w:r>
      <w:r>
        <w:rPr>
          <w:rFonts w:hint="eastAsia" w:ascii="Times New Roman" w:hAnsi="Times New Roman" w:eastAsia="仿宋_GB2312"/>
          <w:color w:val="000000"/>
          <w:sz w:val="32"/>
          <w:szCs w:val="32"/>
          <w:lang w:eastAsia="zh-CN"/>
        </w:rPr>
        <w:t>职能部门</w:t>
      </w:r>
      <w:r>
        <w:rPr>
          <w:rFonts w:hint="eastAsia" w:ascii="Times New Roman" w:hAnsi="Times New Roman" w:eastAsia="仿宋_GB2312"/>
          <w:color w:val="000000"/>
          <w:sz w:val="32"/>
          <w:szCs w:val="32"/>
        </w:rPr>
        <w:t>服务对象满意度≥90%。完成预期目标，该指标自评得分10分。</w:t>
      </w:r>
    </w:p>
    <w:p w14:paraId="7D9F0113">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3E9C6204">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通过评价发现，2023年度征迁补偿项目实施虽取得了一定的成效，但还存在一些问题和不足，主要表现在：</w:t>
      </w:r>
    </w:p>
    <w:p w14:paraId="0EBB293D">
      <w:pPr>
        <w:pStyle w:val="2"/>
        <w:widowControl/>
        <w:numPr>
          <w:ilvl w:val="0"/>
          <w:numId w:val="0"/>
        </w:num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一是临时安置过渡费不能提前发放，发放有一定的滞后性，且发放不规律，造成群众询问、投诉较多；</w:t>
      </w:r>
    </w:p>
    <w:p w14:paraId="599BB285">
      <w:pPr>
        <w:pStyle w:val="2"/>
        <w:widowControl/>
        <w:numPr>
          <w:ilvl w:val="0"/>
          <w:numId w:val="0"/>
        </w:num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二是因龙岗开发区纠偏纠错工作导致部分项目全部停发过渡费，部分已发放征迁户在结账时需退回已发临时安置过渡费，造成信访压力大；</w:t>
      </w:r>
    </w:p>
    <w:p w14:paraId="79BA24A6">
      <w:pPr>
        <w:pStyle w:val="2"/>
        <w:widowControl/>
        <w:numPr>
          <w:ilvl w:val="0"/>
          <w:numId w:val="0"/>
        </w:num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三是部分项目资金区级财政拨付较慢，征迁户投诉没能及时发放征迁补偿款。</w:t>
      </w:r>
    </w:p>
    <w:p w14:paraId="23A3404D">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4730D105">
      <w:pPr>
        <w:widowControl/>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olor w:val="000000"/>
          <w:sz w:val="32"/>
          <w:szCs w:val="32"/>
          <w:lang w:val="en-US" w:eastAsia="zh-CN"/>
        </w:rPr>
        <w:t>为进一步提高专项资金使用效益，针对存在的问题，提出如下建议：</w:t>
      </w:r>
    </w:p>
    <w:p w14:paraId="44B1A5B2">
      <w:pPr>
        <w:pStyle w:val="2"/>
        <w:widowControl/>
        <w:numPr>
          <w:ilvl w:val="0"/>
          <w:numId w:val="0"/>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olor w:val="000000"/>
          <w:sz w:val="32"/>
          <w:szCs w:val="32"/>
          <w:lang w:val="en-US" w:eastAsia="zh-CN"/>
        </w:rPr>
        <w:t>一要提前编制临时安置过渡费明细表，加快资金申报进度，定期发放过渡费减少群众询问、投诉次数；</w:t>
      </w:r>
    </w:p>
    <w:p w14:paraId="0C7A4F65">
      <w:pPr>
        <w:pStyle w:val="2"/>
        <w:widowControl/>
        <w:numPr>
          <w:ilvl w:val="0"/>
          <w:numId w:val="0"/>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olor w:val="000000"/>
          <w:sz w:val="32"/>
          <w:szCs w:val="32"/>
          <w:lang w:val="en-US" w:eastAsia="zh-CN"/>
        </w:rPr>
        <w:t>二要加快项目审核进度，让项目尽快恢复临时安置过渡费发放，对于因政策原因需要退回过渡费的群众要做好政策宣传工作，减少信访压力；</w:t>
      </w:r>
    </w:p>
    <w:p w14:paraId="2FCB3780">
      <w:pPr>
        <w:pStyle w:val="2"/>
        <w:widowControl/>
        <w:numPr>
          <w:ilvl w:val="0"/>
          <w:numId w:val="0"/>
        </w:num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olor w:val="000000"/>
          <w:sz w:val="32"/>
          <w:szCs w:val="32"/>
          <w:lang w:val="en-US" w:eastAsia="zh-CN"/>
        </w:rPr>
        <w:t>三要提前申报资金，预拨付一定资金用于项目启动开展，剩余资金在确定后第一时间完成编制申报工作，尽快完成拨付发放，减少信访投诉。</w:t>
      </w:r>
    </w:p>
    <w:p w14:paraId="593C66C2">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5102E4B3">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Calibri" w:eastAsia="仿宋_GB2312" w:cs="宋体"/>
          <w:color w:val="000000"/>
          <w:sz w:val="32"/>
          <w:szCs w:val="32"/>
          <w:lang w:val="en-US" w:eastAsia="zh-CN"/>
        </w:rPr>
        <w:t>根据项目执行情况以及龙岗开发区预算绩效考核相关文件。</w:t>
      </w:r>
    </w:p>
    <w:p w14:paraId="36BFAA9B">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6E85F028">
      <w:pPr>
        <w:spacing w:line="600" w:lineRule="exact"/>
        <w:ind w:firstLine="640" w:firstLineChars="200"/>
        <w:rPr>
          <w:rFonts w:hint="eastAsia" w:eastAsia="仿宋_GB2312"/>
          <w:lang w:eastAsia="zh-CN"/>
        </w:rPr>
      </w:pPr>
      <w:bookmarkStart w:id="0" w:name="_GoBack"/>
      <w:bookmarkEnd w:id="0"/>
      <w:r>
        <w:rPr>
          <w:rFonts w:ascii="Times New Roman" w:hAnsi="Times New Roman" w:eastAsia="仿宋_GB2312"/>
          <w:color w:val="000000"/>
          <w:sz w:val="32"/>
          <w:szCs w:val="32"/>
        </w:rPr>
        <w:t>项目支出绩效自评表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000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16DDB">
    <w:pPr>
      <w:pStyle w:val="9"/>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48B0127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0F311">
    <w:pPr>
      <w:pStyle w:val="9"/>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164AC3E7">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mOGUzN2E3MjM4OTFkYTdmYWI0ZmJhZjQ1M2FhNWMifQ=="/>
  </w:docVars>
  <w:rsids>
    <w:rsidRoot w:val="00000000"/>
    <w:rsid w:val="2CF236E0"/>
    <w:rsid w:val="31A25976"/>
    <w:rsid w:val="6706129E"/>
    <w:rsid w:val="6DCB35BA"/>
    <w:rsid w:val="7D263EFF"/>
    <w:rsid w:val="7FAA4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9"/>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4">
    <w:name w:val="heading 2"/>
    <w:basedOn w:val="1"/>
    <w:next w:val="1"/>
    <w:qFormat/>
    <w:uiPriority w:val="9"/>
    <w:pPr>
      <w:keepNext/>
      <w:keepLines/>
      <w:spacing w:before="260" w:after="260" w:line="416" w:lineRule="auto"/>
      <w:outlineLvl w:val="1"/>
    </w:pPr>
    <w:rPr>
      <w:rFonts w:ascii="Cambria" w:hAnsi="Cambria" w:eastAsia="宋体" w:cs="宋体"/>
      <w:b/>
      <w:bCs/>
      <w:sz w:val="32"/>
      <w:szCs w:val="32"/>
    </w:rPr>
  </w:style>
  <w:style w:type="character" w:default="1" w:styleId="16">
    <w:name w:val="Default Paragraph Font"/>
    <w:qFormat/>
    <w:uiPriority w:val="1"/>
  </w:style>
  <w:style w:type="table" w:default="1" w:styleId="14">
    <w:name w:val="Normal Table"/>
    <w:qFormat/>
    <w:uiPriority w:val="99"/>
    <w:tblPr>
      <w:tblCellMar>
        <w:top w:w="0" w:type="dxa"/>
        <w:left w:w="108" w:type="dxa"/>
        <w:bottom w:w="0" w:type="dxa"/>
        <w:right w:w="108" w:type="dxa"/>
      </w:tblCellMar>
    </w:tblPr>
  </w:style>
  <w:style w:type="paragraph" w:customStyle="1" w:styleId="2">
    <w:name w:val="UserStyle_0"/>
    <w:basedOn w:val="1"/>
    <w:qFormat/>
    <w:uiPriority w:val="0"/>
    <w:pPr>
      <w:ind w:firstLine="454"/>
      <w:jc w:val="both"/>
      <w:textAlignment w:val="baseline"/>
    </w:pPr>
  </w:style>
  <w:style w:type="paragraph" w:styleId="5">
    <w:name w:val="Normal Indent"/>
    <w:basedOn w:val="1"/>
    <w:link w:val="23"/>
    <w:qFormat/>
    <w:uiPriority w:val="0"/>
    <w:pPr>
      <w:spacing w:line="560" w:lineRule="atLeast"/>
      <w:ind w:firstLine="567"/>
    </w:pPr>
    <w:rPr>
      <w:rFonts w:ascii="Calibri" w:hAnsi="Calibri" w:eastAsia="宋体" w:cs="宋体"/>
      <w:sz w:val="28"/>
    </w:rPr>
  </w:style>
  <w:style w:type="paragraph" w:styleId="6">
    <w:name w:val="Body Text Indent"/>
    <w:basedOn w:val="1"/>
    <w:qFormat/>
    <w:uiPriority w:val="99"/>
    <w:pPr>
      <w:spacing w:after="120"/>
      <w:ind w:left="420" w:leftChars="200"/>
    </w:pPr>
  </w:style>
  <w:style w:type="paragraph" w:styleId="7">
    <w:name w:val="Date"/>
    <w:basedOn w:val="1"/>
    <w:next w:val="1"/>
    <w:link w:val="28"/>
    <w:qFormat/>
    <w:uiPriority w:val="0"/>
    <w:pPr>
      <w:ind w:left="100" w:leftChars="2500"/>
    </w:pPr>
    <w:rPr>
      <w:rFonts w:ascii="Times New Roman" w:hAnsi="Times New Roman"/>
      <w:szCs w:val="24"/>
    </w:rPr>
  </w:style>
  <w:style w:type="paragraph" w:styleId="8">
    <w:name w:val="Balloon Text"/>
    <w:basedOn w:val="1"/>
    <w:link w:val="27"/>
    <w:qFormat/>
    <w:uiPriority w:val="99"/>
    <w:rPr>
      <w:rFonts w:ascii="Times New Roman" w:hAnsi="Times New Roman"/>
      <w:sz w:val="18"/>
      <w:szCs w:val="18"/>
      <w:lang w:val="zh-CN" w:eastAsia="zh-CN"/>
    </w:rPr>
  </w:style>
  <w:style w:type="paragraph" w:styleId="9">
    <w:name w:val="footer"/>
    <w:basedOn w:val="1"/>
    <w:link w:val="20"/>
    <w:qFormat/>
    <w:uiPriority w:val="99"/>
    <w:pPr>
      <w:tabs>
        <w:tab w:val="center" w:pos="4153"/>
        <w:tab w:val="right" w:pos="8306"/>
      </w:tabs>
      <w:snapToGrid w:val="0"/>
      <w:jc w:val="left"/>
    </w:pPr>
    <w:rPr>
      <w:rFonts w:ascii="Times New Roman" w:hAnsi="Times New Roman"/>
      <w:sz w:val="18"/>
      <w:szCs w:val="18"/>
    </w:rPr>
  </w:style>
  <w:style w:type="paragraph" w:styleId="10">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1">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2">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6"/>
    <w:autoRedefine/>
    <w:qFormat/>
    <w:uiPriority w:val="99"/>
    <w:pPr>
      <w:suppressAutoHyphens/>
      <w:snapToGrid w:val="0"/>
      <w:spacing w:line="360" w:lineRule="auto"/>
      <w:ind w:firstLine="420" w:firstLineChars="200"/>
    </w:pPr>
    <w:rPr>
      <w:lang w:eastAsia="ar-SA"/>
    </w:rPr>
  </w:style>
  <w:style w:type="table" w:styleId="15">
    <w:name w:val="Table Grid"/>
    <w:basedOn w:val="14"/>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autoRedefine/>
    <w:qFormat/>
    <w:uiPriority w:val="0"/>
    <w:rPr>
      <w:color w:val="0000FF"/>
      <w:u w:val="single"/>
    </w:rPr>
  </w:style>
  <w:style w:type="character" w:customStyle="1" w:styleId="19">
    <w:name w:val="标题 1 Char"/>
    <w:basedOn w:val="16"/>
    <w:link w:val="3"/>
    <w:autoRedefine/>
    <w:qFormat/>
    <w:uiPriority w:val="0"/>
    <w:rPr>
      <w:rFonts w:ascii="Times New Roman" w:hAnsi="Times New Roman" w:eastAsia="MS Gothic" w:cs="Times New Roman"/>
      <w:b/>
      <w:bCs/>
      <w:kern w:val="44"/>
      <w:sz w:val="44"/>
      <w:szCs w:val="44"/>
      <w:lang w:val="zh-CN" w:eastAsia="zh-CN"/>
    </w:rPr>
  </w:style>
  <w:style w:type="character" w:customStyle="1" w:styleId="20">
    <w:name w:val="页脚 Char"/>
    <w:basedOn w:val="16"/>
    <w:link w:val="9"/>
    <w:autoRedefine/>
    <w:qFormat/>
    <w:uiPriority w:val="99"/>
    <w:rPr>
      <w:rFonts w:ascii="Times New Roman" w:hAnsi="Times New Roman" w:eastAsia="宋体" w:cs="Times New Roman"/>
      <w:sz w:val="18"/>
      <w:szCs w:val="18"/>
    </w:rPr>
  </w:style>
  <w:style w:type="character" w:customStyle="1" w:styleId="21">
    <w:name w:val="页眉 Char"/>
    <w:basedOn w:val="16"/>
    <w:link w:val="10"/>
    <w:autoRedefine/>
    <w:qFormat/>
    <w:uiPriority w:val="0"/>
    <w:rPr>
      <w:rFonts w:ascii="Times New Roman" w:hAnsi="Times New Roman" w:eastAsia="宋体" w:cs="Times New Roman"/>
      <w:sz w:val="18"/>
      <w:szCs w:val="18"/>
    </w:rPr>
  </w:style>
  <w:style w:type="character" w:customStyle="1" w:styleId="22">
    <w:name w:val="页脚 Char Char"/>
    <w:autoRedefine/>
    <w:qFormat/>
    <w:uiPriority w:val="0"/>
    <w:rPr>
      <w:rFonts w:ascii="Times New Roman" w:hAnsi="Times New Roman" w:eastAsia="宋体" w:cs="Times New Roman"/>
      <w:sz w:val="18"/>
      <w:szCs w:val="18"/>
    </w:rPr>
  </w:style>
  <w:style w:type="character" w:customStyle="1" w:styleId="23">
    <w:name w:val="正文缩进 Char"/>
    <w:link w:val="5"/>
    <w:autoRedefine/>
    <w:qFormat/>
    <w:uiPriority w:val="0"/>
    <w:rPr>
      <w:sz w:val="28"/>
    </w:rPr>
  </w:style>
  <w:style w:type="character" w:customStyle="1" w:styleId="24">
    <w:name w:val="正文啊 Char Char"/>
    <w:link w:val="25"/>
    <w:autoRedefine/>
    <w:qFormat/>
    <w:uiPriority w:val="0"/>
    <w:rPr>
      <w:rFonts w:ascii="仿宋_GB2312" w:hAnsi="宋体" w:eastAsia="仿宋_GB2312"/>
      <w:bCs/>
      <w:sz w:val="30"/>
      <w:szCs w:val="30"/>
    </w:rPr>
  </w:style>
  <w:style w:type="paragraph" w:customStyle="1" w:styleId="25">
    <w:name w:val="正文啊"/>
    <w:basedOn w:val="1"/>
    <w:link w:val="24"/>
    <w:autoRedefine/>
    <w:qFormat/>
    <w:uiPriority w:val="0"/>
    <w:pPr>
      <w:spacing w:line="560" w:lineRule="exact"/>
      <w:ind w:firstLine="600" w:firstLineChars="200"/>
    </w:pPr>
    <w:rPr>
      <w:rFonts w:ascii="仿宋_GB2312" w:hAnsi="宋体" w:eastAsia="仿宋_GB2312" w:cs="宋体"/>
      <w:bCs/>
      <w:sz w:val="30"/>
      <w:szCs w:val="30"/>
    </w:rPr>
  </w:style>
  <w:style w:type="paragraph" w:customStyle="1" w:styleId="26">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7">
    <w:name w:val="批注框文本 Char"/>
    <w:basedOn w:val="16"/>
    <w:link w:val="8"/>
    <w:autoRedefine/>
    <w:qFormat/>
    <w:uiPriority w:val="99"/>
    <w:rPr>
      <w:rFonts w:ascii="Times New Roman" w:hAnsi="Times New Roman" w:eastAsia="宋体" w:cs="Times New Roman"/>
      <w:sz w:val="18"/>
      <w:szCs w:val="18"/>
      <w:lang w:val="zh-CN" w:eastAsia="zh-CN"/>
    </w:rPr>
  </w:style>
  <w:style w:type="character" w:customStyle="1" w:styleId="28">
    <w:name w:val="日期 Char"/>
    <w:basedOn w:val="16"/>
    <w:link w:val="7"/>
    <w:autoRedefine/>
    <w:qFormat/>
    <w:uiPriority w:val="0"/>
    <w:rPr>
      <w:rFonts w:ascii="Times New Roman" w:hAnsi="Times New Roman" w:eastAsia="宋体" w:cs="Times New Roman"/>
      <w:szCs w:val="24"/>
    </w:rPr>
  </w:style>
  <w:style w:type="paragraph" w:customStyle="1" w:styleId="29">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 w:type="paragraph" w:styleId="3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2028</Words>
  <Characters>2222</Characters>
  <Paragraphs>78</Paragraphs>
  <TotalTime>15</TotalTime>
  <ScaleCrop>false</ScaleCrop>
  <LinksUpToDate>false</LinksUpToDate>
  <CharactersWithSpaces>2380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2024-03-08T12:15:00Z</dcterms:created>
  <dc:creator>王焱</dc:creator>
  <cp:lastModifiedBy>Administrator</cp:lastModifiedBy>
  <cp:lastPrinted>2024-03-11T00:48:00Z</cp:lastPrinted>
  <dcterms:modified xsi:type="dcterms:W3CDTF">2024-09-03T00:41:26Z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5eeaf13530ab4a73b81a16653252489b_23</vt:lpwstr>
  </property>
</Properties>
</file>