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ABEF83">
      <w:pPr>
        <w:spacing w:line="600" w:lineRule="exact"/>
        <w:jc w:val="center"/>
        <w:rPr>
          <w:rFonts w:hint="eastAsia" w:ascii="Times New Roman" w:hAnsi="Times New Roman" w:eastAsia="方正小标宋简体"/>
          <w:bCs/>
          <w:sz w:val="44"/>
          <w:szCs w:val="24"/>
        </w:rPr>
      </w:pPr>
      <w:bookmarkStart w:id="0" w:name="_GoBack"/>
      <w:bookmarkEnd w:id="0"/>
      <w:r>
        <w:rPr>
          <w:rFonts w:hint="eastAsia" w:ascii="Times New Roman" w:hAnsi="Times New Roman" w:eastAsia="方正小标宋简体"/>
          <w:bCs/>
          <w:sz w:val="44"/>
          <w:szCs w:val="24"/>
          <w:lang w:eastAsia="zh-CN"/>
        </w:rPr>
        <w:t>2023</w:t>
      </w:r>
      <w:r>
        <w:rPr>
          <w:rFonts w:ascii="Times New Roman" w:hAnsi="Times New Roman" w:eastAsia="方正小标宋简体"/>
          <w:bCs/>
          <w:sz w:val="44"/>
          <w:szCs w:val="24"/>
        </w:rPr>
        <w:t>年</w:t>
      </w:r>
      <w:r>
        <w:rPr>
          <w:rFonts w:hint="eastAsia" w:ascii="Times New Roman" w:hAnsi="Times New Roman" w:eastAsia="方正小标宋简体"/>
          <w:bCs/>
          <w:sz w:val="44"/>
          <w:szCs w:val="24"/>
          <w:lang w:val="en-US" w:eastAsia="zh-CN"/>
        </w:rPr>
        <w:t>大彭片区、油坊片区拆迁补偿款</w:t>
      </w:r>
    </w:p>
    <w:p w14:paraId="6A38ABB1"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  <w:szCs w:val="24"/>
        </w:rPr>
      </w:pPr>
      <w:r>
        <w:rPr>
          <w:rFonts w:hint="eastAsia" w:ascii="Times New Roman" w:hAnsi="Times New Roman" w:eastAsia="方正小标宋简体"/>
          <w:bCs/>
          <w:sz w:val="44"/>
          <w:szCs w:val="24"/>
        </w:rPr>
        <w:t>部门评价</w:t>
      </w:r>
      <w:r>
        <w:rPr>
          <w:rFonts w:ascii="Times New Roman" w:hAnsi="Times New Roman" w:eastAsia="方正小标宋简体"/>
          <w:bCs/>
          <w:sz w:val="44"/>
          <w:szCs w:val="24"/>
        </w:rPr>
        <w:t>报告</w:t>
      </w:r>
    </w:p>
    <w:p w14:paraId="25017465">
      <w:pPr>
        <w:spacing w:line="580" w:lineRule="exact"/>
        <w:jc w:val="center"/>
        <w:rPr>
          <w:rFonts w:ascii="Times New Roman" w:hAnsi="Times New Roman" w:eastAsia="仿宋_GB2312"/>
          <w:bCs/>
          <w:sz w:val="32"/>
          <w:szCs w:val="32"/>
        </w:rPr>
      </w:pPr>
    </w:p>
    <w:p w14:paraId="084B4D82">
      <w:pPr>
        <w:widowControl/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一、项目基本情况</w:t>
      </w:r>
    </w:p>
    <w:p w14:paraId="00139E74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（一）项目概况</w:t>
      </w:r>
    </w:p>
    <w:p w14:paraId="1F53D69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1.项目立项情况</w:t>
      </w:r>
    </w:p>
    <w:p w14:paraId="1D61EE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  <w:lang w:val="en-US"/>
        </w:rPr>
        <w:t>为规范龙岗开发区集体土地上征迁补偿安置工作，保障被征收人的合法权益，2023年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龙岗经济开发区安排预算资金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  <w:lang w:val="en-US"/>
        </w:rPr>
        <w:t>2006.1761万元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，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  <w:lang w:val="en-US"/>
        </w:rPr>
        <w:t>用于拆迁项目安置补偿款发放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工作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  <w:lang w:val="en-US"/>
        </w:rPr>
        <w:t>，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属于专项业务经费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  <w:lang w:val="en-US"/>
        </w:rPr>
        <w:t>，实施周期一年。</w:t>
      </w:r>
    </w:p>
    <w:p w14:paraId="646C362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  <w:lang w:val="en-US"/>
        </w:rPr>
        <w:t>2.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项目执行情况</w:t>
      </w:r>
    </w:p>
    <w:p w14:paraId="2A73C0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  <w:lang w:val="en-US"/>
        </w:rPr>
        <w:t>2023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年大彭片区、油坊片区拆迁补偿款项目共支出2006.1761万元，用于拆迁项目安置补偿款发放工作，根据相关工作部署安排，大彭片区项目已完成协议签订、房屋拆除工作；油坊片区项目剩余3户正在积极采取各项措施，多方案并行，争取尽快完成协议签订、房屋拆除工作。</w:t>
      </w:r>
    </w:p>
    <w:p w14:paraId="7C6FBD34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（二）项目绩效目标</w:t>
      </w:r>
    </w:p>
    <w:p w14:paraId="223B68D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_GB2312"/>
          <w:snapToGrid w:val="0"/>
          <w:color w:val="000000"/>
          <w:sz w:val="32"/>
          <w:szCs w:val="32"/>
          <w:lang w:val="en-US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  <w:lang w:val="en-US"/>
        </w:rPr>
        <w:t>1.项目年度总体目标</w:t>
      </w:r>
    </w:p>
    <w:p w14:paraId="70F4FC6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  <w:lang w:val="en-US"/>
        </w:rPr>
        <w:t>2023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年龙岗经济开发区申请财政资金2006.1761万元，主要用于202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3年大彭片区、油坊片区拆迁安置款发放工作，进而释放优质土地，改善周边城市形象，获取较高的经济效益。</w:t>
      </w:r>
    </w:p>
    <w:p w14:paraId="33317BF1">
      <w:pPr>
        <w:numPr>
          <w:ilvl w:val="0"/>
          <w:numId w:val="0"/>
        </w:numPr>
        <w:spacing w:line="560" w:lineRule="exact"/>
        <w:ind w:firstLineChars="200"/>
        <w:rPr>
          <w:rFonts w:hint="default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/>
          <w:color w:val="000000"/>
          <w:sz w:val="32"/>
          <w:szCs w:val="32"/>
          <w:lang w:val="en-US" w:eastAsia="zh-CN"/>
        </w:rPr>
        <w:t>2.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总体目标完成情况</w:t>
      </w:r>
    </w:p>
    <w:p w14:paraId="44A71E80">
      <w:pPr>
        <w:numPr>
          <w:ilvl w:val="0"/>
          <w:numId w:val="0"/>
        </w:numPr>
        <w:spacing w:line="560" w:lineRule="exact"/>
        <w:ind w:firstLineChars="200"/>
        <w:rPr>
          <w:rFonts w:hint="default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/>
          <w:color w:val="000000"/>
          <w:sz w:val="32"/>
          <w:szCs w:val="32"/>
          <w:lang w:val="en-US" w:eastAsia="zh-CN"/>
        </w:rPr>
        <w:t>2023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年完成大彭片区协议签订、房屋拆除工作，油坊片区半数以上拆迁户协议签订、房屋拆除工作。</w:t>
      </w:r>
    </w:p>
    <w:p w14:paraId="258279CB"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二、绩效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结论</w:t>
      </w:r>
    </w:p>
    <w:p w14:paraId="7F66971C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（一）总体结论</w:t>
      </w:r>
    </w:p>
    <w:p w14:paraId="6AE5134A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sz w:val="32"/>
          <w:szCs w:val="32"/>
        </w:rPr>
        <w:t>年度，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大彭片区、油坊片区拆迁项目通过申请财政资金2006.1761万元，共完成以下工作：一是完成大彭片区拆迁补偿款发放、房屋拆除、土地腾让工作，全面完成项目征迁任务；二是完成油坊片区已签约拆迁户补偿款发放、房屋拆除、土地腾让工作，均已完成年度设定的绩效目标，达到预期效果。</w:t>
      </w:r>
    </w:p>
    <w:p w14:paraId="32A15A32"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评价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结果</w:t>
      </w:r>
    </w:p>
    <w:p w14:paraId="31C507D9">
      <w:pPr>
        <w:spacing w:line="60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经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大彭片区、油坊片区拆迁补偿款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项目综合得分为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结果为“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优</w:t>
      </w:r>
      <w:r>
        <w:rPr>
          <w:rFonts w:ascii="Times New Roman" w:hAnsi="Times New Roman" w:eastAsia="仿宋_GB2312"/>
          <w:color w:val="000000"/>
          <w:sz w:val="32"/>
          <w:szCs w:val="32"/>
        </w:rPr>
        <w:t>”。</w:t>
      </w:r>
    </w:p>
    <w:p w14:paraId="139AEAA2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三、指标分析</w:t>
      </w:r>
    </w:p>
    <w:p w14:paraId="1B230478">
      <w:pPr>
        <w:spacing w:line="600" w:lineRule="exact"/>
        <w:ind w:right="-283"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大彭片区、油坊片区拆迁补偿款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项目绩效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指标体系设置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预算执行率和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个一级指标，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8</w:t>
      </w:r>
      <w:r>
        <w:rPr>
          <w:rFonts w:ascii="Times New Roman" w:hAnsi="Times New Roman" w:eastAsia="仿宋_GB2312"/>
          <w:color w:val="000000"/>
          <w:sz w:val="32"/>
          <w:szCs w:val="32"/>
        </w:rPr>
        <w:t>个二级指标，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8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个三级指标，各项指标评分情况分析如下：</w:t>
      </w:r>
    </w:p>
    <w:p w14:paraId="47ABC67B">
      <w:pPr>
        <w:spacing w:line="592" w:lineRule="exact"/>
        <w:ind w:firstLine="643" w:firstLineChars="200"/>
        <w:rPr>
          <w:rFonts w:ascii="Times New Roman" w:hAnsi="Times New Roman" w:eastAsia="楷体_GB2312"/>
          <w:b/>
          <w:bCs/>
          <w:sz w:val="32"/>
        </w:rPr>
      </w:pPr>
      <w:r>
        <w:rPr>
          <w:rFonts w:ascii="Times New Roman" w:hAnsi="Times New Roman" w:eastAsia="楷体_GB2312"/>
          <w:b/>
          <w:bCs/>
          <w:sz w:val="32"/>
        </w:rPr>
        <w:t>（一）预算执行率（满分10分，实得</w:t>
      </w:r>
      <w:r>
        <w:rPr>
          <w:rFonts w:hint="eastAsia" w:ascii="Times New Roman" w:hAnsi="Times New Roman" w:eastAsia="楷体_GB2312"/>
          <w:b/>
          <w:bCs/>
          <w:sz w:val="32"/>
          <w:lang w:val="en-US" w:eastAsia="zh-CN"/>
        </w:rPr>
        <w:t>10</w:t>
      </w:r>
      <w:r>
        <w:rPr>
          <w:rFonts w:ascii="Times New Roman" w:hAnsi="Times New Roman" w:eastAsia="楷体_GB2312"/>
          <w:b/>
          <w:bCs/>
          <w:sz w:val="32"/>
        </w:rPr>
        <w:t>分）</w:t>
      </w:r>
    </w:p>
    <w:p w14:paraId="17A3EA1F">
      <w:pPr>
        <w:spacing w:line="592" w:lineRule="exact"/>
        <w:ind w:right="-283"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大彭片区、油坊片区拆迁补偿款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项目全年预算安排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2006.1761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万元，全年执行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2006.1761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万元，预算执行率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3C8F7673"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二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）产出指标（满分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0503FCC1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1.数量指标（满分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sz w:val="32"/>
          <w:szCs w:val="32"/>
        </w:rPr>
        <w:t>分，</w:t>
      </w:r>
      <w:r>
        <w:rPr>
          <w:rFonts w:ascii="Times New Roman" w:hAnsi="Times New Roman" w:eastAsia="仿宋_GB2312"/>
          <w:color w:val="000000"/>
          <w:sz w:val="32"/>
          <w:szCs w:val="32"/>
        </w:rPr>
        <w:t>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638448AC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年度设定的数量指标为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征迁项目（2个）</w:t>
      </w:r>
      <w:r>
        <w:rPr>
          <w:rFonts w:ascii="Times New Roman" w:hAnsi="Times New Roman" w:eastAsia="仿宋_GB2312"/>
          <w:color w:val="000000"/>
          <w:sz w:val="32"/>
          <w:szCs w:val="32"/>
        </w:rPr>
        <w:t>；截至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年底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一是完成大彭片区所有征迁户签约工作；二是完成油坊片区一半以上征迁户签约工作，工作实际</w:t>
      </w:r>
      <w:r>
        <w:rPr>
          <w:rFonts w:ascii="Times New Roman" w:hAnsi="Times New Roman" w:eastAsia="仿宋_GB2312"/>
          <w:color w:val="000000"/>
          <w:sz w:val="32"/>
          <w:szCs w:val="32"/>
        </w:rPr>
        <w:t>完成率为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%，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已达到预期指标</w:t>
      </w:r>
      <w:r>
        <w:rPr>
          <w:rFonts w:ascii="Times New Roman" w:hAnsi="Times New Roman" w:eastAsia="仿宋_GB2312"/>
          <w:color w:val="000000"/>
          <w:sz w:val="32"/>
          <w:szCs w:val="32"/>
        </w:rPr>
        <w:t>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22D6BD22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2.时效指标（满分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1184342F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年度设定的时效指标为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经费及时性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截止2023年底已及时支付项目经费，已达到预期指标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7D00D258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3.质量指标（满分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3DB1232B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年度设定的质量指标为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经费合规性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2023年12月底已完成签约目标，已达到预期指标</w:t>
      </w:r>
      <w:r>
        <w:rPr>
          <w:rFonts w:ascii="Times New Roman" w:hAnsi="Times New Roman" w:eastAsia="仿宋_GB2312"/>
          <w:color w:val="000000"/>
          <w:sz w:val="32"/>
          <w:szCs w:val="32"/>
        </w:rPr>
        <w:t>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14D6F7DD">
      <w:pPr>
        <w:spacing w:line="6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4.成本指标（满分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ascii="Times New Roman" w:hAnsi="Times New Roman" w:eastAsia="仿宋_GB2312"/>
          <w:sz w:val="32"/>
          <w:szCs w:val="32"/>
        </w:rPr>
        <w:tab/>
      </w:r>
    </w:p>
    <w:p w14:paraId="7DEDA5CC">
      <w:pPr>
        <w:spacing w:line="600" w:lineRule="exact"/>
        <w:ind w:right="-283"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年度设定的成本指标为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项目总成本（≤指标值）</w:t>
      </w:r>
      <w:r>
        <w:rPr>
          <w:rFonts w:ascii="Times New Roman" w:hAnsi="Times New Roman" w:eastAsia="仿宋_GB2312"/>
          <w:color w:val="000000"/>
          <w:sz w:val="32"/>
          <w:szCs w:val="32"/>
        </w:rPr>
        <w:t>；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指标值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2006.1761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2006.1761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54C455FB">
      <w:pPr>
        <w:widowControl/>
        <w:spacing w:line="600" w:lineRule="exact"/>
        <w:ind w:right="-283"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三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）效益指标（满分30分，实得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30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7F09BFFC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1.经济效益指标（满分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6046F344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年度设定的经济效益指标为促进片区经济发展的影响程度，实际完成情况为达成预期目标，大彭片区项目完成腾让土地约80亩，片区土地连片规模上千亩；油坊片区项目完成腾让土地约100亩，释放的土地上市交易后可获得较高的经济效益。该指标自评得分10分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eastAsia="zh-CN"/>
        </w:rPr>
        <w:t>。</w:t>
      </w:r>
    </w:p>
    <w:p w14:paraId="2CCD2AD5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2.社会效益指标（满分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36E376DA">
      <w:pPr>
        <w:spacing w:line="600" w:lineRule="exact"/>
        <w:ind w:firstLine="640" w:firstLineChars="200"/>
        <w:rPr>
          <w:rFonts w:hint="default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年度设定的社会效益指标为对加大建设项目推进的影响程度，实际完成情况为达成预期指标，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改善周边企业“小、散、乱、污”环境，释放土地后可以顺利开展成片规划项目落地，改善周边城市形象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。该指标自评得分10分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eastAsia="zh-CN"/>
        </w:rPr>
        <w:t>。</w:t>
      </w:r>
    </w:p>
    <w:p w14:paraId="2EA15B34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3.生态效益指标（满分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分）</w:t>
      </w:r>
    </w:p>
    <w:p w14:paraId="0AB877A6"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eastAsia="zh-CN"/>
        </w:rPr>
        <w:t>本指标不适用此项目。</w:t>
      </w:r>
    </w:p>
    <w:p w14:paraId="238A002D"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4.可持续影响指标（满分10分，实得10分）</w:t>
      </w:r>
    </w:p>
    <w:p w14:paraId="73C03442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年度设定的可持续影响指标为对辖区经济发展的持续影响程度，实际完成情况为达成预期指标，释放上千亩优质土地，按照现行供地节奏可以满足未来5年内龙岗开发区土地供应任务。该指标自评得分10分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。</w:t>
      </w:r>
    </w:p>
    <w:p w14:paraId="3DA65447">
      <w:pPr>
        <w:spacing w:line="600" w:lineRule="exact"/>
        <w:ind w:right="-283"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四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满意度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123AF1A3"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通过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电话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方式获取广大民众和服务对象对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职能部门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履职效果满意度和对电话回访情况进行统计分析,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职能部门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服务对象满意度≥90%。完成预期目标，该指标自评得分10分。</w:t>
      </w:r>
    </w:p>
    <w:p w14:paraId="143A4C2C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四、存在问题</w:t>
      </w:r>
    </w:p>
    <w:p w14:paraId="186CC4A0"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通过评价发现，2023年度大彭片区、油坊片区拆迁补偿款项目实施虽取得了一定的成效，但还存在一些问题和不足，主要表现在：</w:t>
      </w:r>
    </w:p>
    <w:p w14:paraId="718FC148"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一是大彭片区项目范围内还有部分建筑残渣未有完成清运，企业遗留的线杆、线路还未完成拆除，空置土地上开荒种菜，偷倒垃圾现象屡禁不止。</w:t>
      </w:r>
    </w:p>
    <w:p w14:paraId="5D0DEB26"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二是油坊片区项目范围内仍有3户企业未有完成协议签订工作，空置土地上偶有偷倒垃圾现象发生。</w:t>
      </w:r>
    </w:p>
    <w:p w14:paraId="3208A1DA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五、意见和建议</w:t>
      </w:r>
    </w:p>
    <w:p w14:paraId="7627256F"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为进一步提高专项资金使用效益，针对存在的问题，提出如下建议：</w:t>
      </w:r>
    </w:p>
    <w:p w14:paraId="3EA17F9E"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一要加强大彭片区、油坊片区项目闲置土地管理，杜绝偷倒垃圾及开荒种菜现象，对项目范围内未清理建筑残渣和遗留线杆进行及时清除。</w:t>
      </w:r>
    </w:p>
    <w:p w14:paraId="789FEB1D"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二要加大油坊片区项目未签约户征迁动员频次，争取尽快完成剩余户协议签订工作，同时做好应诉准备工作，按照征迁法定程序继续推动项目征迁进度。</w:t>
      </w:r>
    </w:p>
    <w:p w14:paraId="7110D676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六、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依据</w:t>
      </w:r>
    </w:p>
    <w:p w14:paraId="2BCF8BC2">
      <w:pPr>
        <w:widowControl/>
        <w:spacing w:line="600" w:lineRule="exact"/>
        <w:ind w:firstLine="640" w:firstLineChars="200"/>
        <w:rPr>
          <w:rFonts w:hint="eastAsia" w:ascii="Times New Roman" w:hAnsi="Calibri" w:eastAsia="仿宋_GB2312" w:cs="宋体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Calibri" w:eastAsia="仿宋_GB2312" w:cs="宋体"/>
          <w:color w:val="000000"/>
          <w:sz w:val="32"/>
          <w:szCs w:val="32"/>
          <w:lang w:val="en-US" w:eastAsia="zh-CN"/>
        </w:rPr>
        <w:t>根据项目执行情况以及龙岗开发区预算绩效考核相关文件。</w:t>
      </w:r>
    </w:p>
    <w:p w14:paraId="224D67B9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七、附件</w:t>
      </w:r>
    </w:p>
    <w:p w14:paraId="540AE007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项目支出绩效自评表</w:t>
      </w:r>
    </w:p>
    <w:p w14:paraId="1BBE522A">
      <w:pPr>
        <w:widowControl/>
        <w:jc w:val="left"/>
        <w:rPr>
          <w:rFonts w:hint="eastAsia" w:ascii="Times New Roman" w:hAnsi="Times New Roman" w:eastAsia="黑体"/>
          <w:sz w:val="32"/>
          <w:szCs w:val="32"/>
        </w:rPr>
      </w:pPr>
    </w:p>
    <w:p w14:paraId="091ED0D6">
      <w:pPr>
        <w:widowControl/>
        <w:jc w:val="left"/>
      </w:pPr>
    </w:p>
    <w:p w14:paraId="1A93E903"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20106090300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9BBBAC">
    <w:pPr>
      <w:pStyle w:val="7"/>
      <w:ind w:right="28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 w14:paraId="3C71DEE7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574E1F">
    <w:pPr>
      <w:pStyle w:val="7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 w14:paraId="5B183C78"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mOGUzN2E3MjM4OTFkYTdmYWI0ZmJhZjQ1M2FhNWMifQ=="/>
  </w:docVars>
  <w:rsids>
    <w:rsidRoot w:val="00000000"/>
    <w:rsid w:val="101D7F66"/>
    <w:rsid w:val="18582123"/>
    <w:rsid w:val="3A025DC1"/>
    <w:rsid w:val="5042118D"/>
    <w:rsid w:val="5B5A2AEA"/>
    <w:rsid w:val="711D1BD1"/>
    <w:rsid w:val="79D6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MS Gothic"/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 w:cs="宋体"/>
      <w:b/>
      <w:bCs/>
      <w:sz w:val="32"/>
      <w:szCs w:val="32"/>
    </w:rPr>
  </w:style>
  <w:style w:type="character" w:default="1" w:styleId="13">
    <w:name w:val="Default Paragraph Font"/>
    <w:autoRedefine/>
    <w:qFormat/>
    <w:uiPriority w:val="1"/>
  </w:style>
  <w:style w:type="table" w:default="1" w:styleId="11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link w:val="20"/>
    <w:qFormat/>
    <w:uiPriority w:val="0"/>
    <w:pPr>
      <w:spacing w:line="560" w:lineRule="atLeast"/>
      <w:ind w:firstLine="567"/>
    </w:pPr>
    <w:rPr>
      <w:rFonts w:ascii="Calibri" w:hAnsi="Calibri" w:eastAsia="宋体" w:cs="宋体"/>
      <w:sz w:val="28"/>
    </w:rPr>
  </w:style>
  <w:style w:type="paragraph" w:styleId="5">
    <w:name w:val="Date"/>
    <w:basedOn w:val="1"/>
    <w:next w:val="1"/>
    <w:link w:val="25"/>
    <w:autoRedefine/>
    <w:qFormat/>
    <w:uiPriority w:val="0"/>
    <w:pPr>
      <w:ind w:left="100" w:leftChars="2500"/>
    </w:pPr>
    <w:rPr>
      <w:rFonts w:ascii="Times New Roman" w:hAnsi="Times New Roman"/>
      <w:szCs w:val="24"/>
    </w:rPr>
  </w:style>
  <w:style w:type="paragraph" w:styleId="6">
    <w:name w:val="Balloon Text"/>
    <w:basedOn w:val="1"/>
    <w:link w:val="24"/>
    <w:autoRedefine/>
    <w:qFormat/>
    <w:uiPriority w:val="99"/>
    <w:rPr>
      <w:rFonts w:ascii="Times New Roman" w:hAnsi="Times New Roman"/>
      <w:sz w:val="18"/>
      <w:szCs w:val="18"/>
      <w:lang w:val="zh-CN" w:eastAsia="zh-CN"/>
    </w:rPr>
  </w:style>
  <w:style w:type="paragraph" w:styleId="7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8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9">
    <w:name w:val="toc 1"/>
    <w:basedOn w:val="1"/>
    <w:next w:val="1"/>
    <w:autoRedefine/>
    <w:qFormat/>
    <w:uiPriority w:val="0"/>
    <w:pPr>
      <w:tabs>
        <w:tab w:val="right" w:leader="dot" w:pos="9135"/>
      </w:tabs>
      <w:spacing w:line="480" w:lineRule="auto"/>
      <w:ind w:left="105" w:leftChars="50"/>
      <w:jc w:val="center"/>
    </w:pPr>
    <w:rPr>
      <w:rFonts w:ascii="黑体" w:hAnsi="宋体" w:eastAsia="黑体" w:cs="宋体"/>
      <w:color w:val="000000"/>
      <w:kern w:val="0"/>
      <w:sz w:val="32"/>
      <w:szCs w:val="32"/>
    </w:rPr>
  </w:style>
  <w:style w:type="paragraph" w:styleId="10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2">
    <w:name w:val="Table Grid"/>
    <w:basedOn w:val="11"/>
    <w:autoRedefine/>
    <w:qFormat/>
    <w:uiPriority w:val="5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page number"/>
    <w:basedOn w:val="13"/>
    <w:qFormat/>
    <w:uiPriority w:val="0"/>
  </w:style>
  <w:style w:type="character" w:styleId="15">
    <w:name w:val="Hyperlink"/>
    <w:qFormat/>
    <w:uiPriority w:val="0"/>
    <w:rPr>
      <w:color w:val="0000FF"/>
      <w:u w:val="single"/>
    </w:rPr>
  </w:style>
  <w:style w:type="character" w:customStyle="1" w:styleId="16">
    <w:name w:val="标题 1 Char"/>
    <w:basedOn w:val="13"/>
    <w:link w:val="2"/>
    <w:qFormat/>
    <w:uiPriority w:val="0"/>
    <w:rPr>
      <w:rFonts w:ascii="Times New Roman" w:hAnsi="Times New Roman" w:eastAsia="MS Gothic" w:cs="Times New Roman"/>
      <w:b/>
      <w:bCs/>
      <w:kern w:val="44"/>
      <w:sz w:val="44"/>
      <w:szCs w:val="44"/>
      <w:lang w:val="zh-CN" w:eastAsia="zh-CN"/>
    </w:rPr>
  </w:style>
  <w:style w:type="character" w:customStyle="1" w:styleId="17">
    <w:name w:val="页脚 Char"/>
    <w:basedOn w:val="13"/>
    <w:link w:val="7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页眉 Char"/>
    <w:basedOn w:val="13"/>
    <w:link w:val="8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脚 Char Char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正文缩进 Char"/>
    <w:link w:val="4"/>
    <w:autoRedefine/>
    <w:qFormat/>
    <w:uiPriority w:val="0"/>
    <w:rPr>
      <w:sz w:val="28"/>
    </w:rPr>
  </w:style>
  <w:style w:type="character" w:customStyle="1" w:styleId="21">
    <w:name w:val="正文啊 Char Char"/>
    <w:link w:val="22"/>
    <w:autoRedefine/>
    <w:qFormat/>
    <w:uiPriority w:val="0"/>
    <w:rPr>
      <w:rFonts w:ascii="仿宋_GB2312" w:hAnsi="宋体" w:eastAsia="仿宋_GB2312"/>
      <w:bCs/>
      <w:sz w:val="30"/>
      <w:szCs w:val="30"/>
    </w:rPr>
  </w:style>
  <w:style w:type="paragraph" w:customStyle="1" w:styleId="22">
    <w:name w:val="正文啊"/>
    <w:basedOn w:val="1"/>
    <w:link w:val="21"/>
    <w:autoRedefine/>
    <w:qFormat/>
    <w:uiPriority w:val="0"/>
    <w:pPr>
      <w:spacing w:line="560" w:lineRule="exact"/>
      <w:ind w:firstLine="600" w:firstLineChars="200"/>
    </w:pPr>
    <w:rPr>
      <w:rFonts w:ascii="仿宋_GB2312" w:hAnsi="宋体" w:eastAsia="仿宋_GB2312" w:cs="宋体"/>
      <w:bCs/>
      <w:sz w:val="30"/>
      <w:szCs w:val="30"/>
    </w:rPr>
  </w:style>
  <w:style w:type="paragraph" w:customStyle="1" w:styleId="23">
    <w:name w:val="Char"/>
    <w:basedOn w:val="1"/>
    <w:next w:val="1"/>
    <w:autoRedefine/>
    <w:qFormat/>
    <w:uiPriority w:val="0"/>
    <w:pPr>
      <w:widowControl/>
      <w:spacing w:line="360" w:lineRule="auto"/>
      <w:jc w:val="left"/>
    </w:pPr>
    <w:rPr>
      <w:rFonts w:ascii="Times New Roman" w:hAnsi="Times New Roman"/>
      <w:kern w:val="0"/>
      <w:szCs w:val="20"/>
      <w:lang w:eastAsia="en-US"/>
    </w:rPr>
  </w:style>
  <w:style w:type="character" w:customStyle="1" w:styleId="24">
    <w:name w:val="批注框文本 Char"/>
    <w:basedOn w:val="13"/>
    <w:link w:val="6"/>
    <w:autoRedefine/>
    <w:qFormat/>
    <w:uiPriority w:val="99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25">
    <w:name w:val="日期 Char"/>
    <w:basedOn w:val="13"/>
    <w:link w:val="5"/>
    <w:autoRedefine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26">
    <w:name w:val="Default Paragraph Char Char Char Char"/>
    <w:basedOn w:val="1"/>
    <w:next w:val="1"/>
    <w:autoRedefine/>
    <w:qFormat/>
    <w:uiPriority w:val="0"/>
    <w:pPr>
      <w:widowControl/>
      <w:spacing w:line="360" w:lineRule="auto"/>
      <w:jc w:val="center"/>
    </w:pPr>
    <w:rPr>
      <w:rFonts w:ascii="Times New Roman" w:hAnsi="Times New Roman" w:eastAsia="方正小标宋简体"/>
      <w:kern w:val="0"/>
      <w:sz w:val="44"/>
      <w:szCs w:val="20"/>
      <w:lang w:eastAsia="en-US"/>
    </w:rPr>
  </w:style>
  <w:style w:type="paragraph" w:customStyle="1" w:styleId="27">
    <w:name w:val="UserStyle_0"/>
    <w:basedOn w:val="1"/>
    <w:autoRedefine/>
    <w:qFormat/>
    <w:uiPriority w:val="0"/>
    <w:pPr>
      <w:ind w:firstLine="454"/>
      <w:jc w:val="both"/>
      <w:textAlignment w:val="baseline"/>
    </w:pPr>
  </w:style>
  <w:style w:type="paragraph" w:styleId="2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1999</Words>
  <Characters>2165</Characters>
  <Paragraphs>81</Paragraphs>
  <TotalTime>13</TotalTime>
  <ScaleCrop>false</ScaleCrop>
  <LinksUpToDate>false</LinksUpToDate>
  <CharactersWithSpaces>2307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2024-03-08T12:12:00Z</dcterms:created>
  <dc:creator>王焱</dc:creator>
  <cp:lastModifiedBy>Administrator</cp:lastModifiedBy>
  <cp:lastPrinted>2024-03-07T09:40:00Z</cp:lastPrinted>
  <dcterms:modified xsi:type="dcterms:W3CDTF">2024-09-03T00:39:05Z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d9cb0302e39f419f931cff4e7ce11aaa_23</vt:lpwstr>
  </property>
</Properties>
</file>