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0AA96">
      <w:pPr>
        <w:overflowPunct w:val="0"/>
        <w:spacing w:line="578" w:lineRule="exact"/>
        <w:jc w:val="center"/>
        <w:rPr>
          <w:rFonts w:hint="eastAsia" w:ascii="方正小标宋_GBK" w:eastAsia="方正小标宋_GBK"/>
          <w:color w:val="auto"/>
          <w:sz w:val="44"/>
          <w:szCs w:val="44"/>
        </w:rPr>
      </w:pPr>
      <w:r>
        <w:rPr>
          <w:rFonts w:hint="eastAsia" w:ascii="方正小标宋_GBK" w:eastAsia="方正小标宋_GBK"/>
          <w:color w:val="auto"/>
          <w:sz w:val="44"/>
          <w:szCs w:val="44"/>
        </w:rPr>
        <w:t>合肥市基本医疗保险办法实施细则</w:t>
      </w:r>
    </w:p>
    <w:p w14:paraId="75A12CE5">
      <w:pPr>
        <w:overflowPunct w:val="0"/>
        <w:spacing w:line="578" w:lineRule="exact"/>
        <w:jc w:val="center"/>
        <w:rPr>
          <w:rFonts w:hint="eastAsia" w:ascii="方正小标宋_GBK" w:eastAsia="方正小标宋_GBK"/>
          <w:color w:val="auto"/>
          <w:sz w:val="44"/>
          <w:szCs w:val="44"/>
          <w:lang w:eastAsia="zh-CN"/>
        </w:rPr>
      </w:pPr>
      <w:r>
        <w:rPr>
          <w:rFonts w:hint="eastAsia" w:ascii="方正小标宋_GBK" w:eastAsia="方正小标宋_GBK"/>
          <w:color w:val="auto"/>
          <w:sz w:val="44"/>
          <w:szCs w:val="44"/>
          <w:lang w:eastAsia="zh-CN"/>
        </w:rPr>
        <w:t>（征求意见稿）</w:t>
      </w:r>
    </w:p>
    <w:p w14:paraId="44E2E7B1">
      <w:pPr>
        <w:overflowPunct w:val="0"/>
        <w:spacing w:line="578" w:lineRule="exact"/>
        <w:ind w:firstLine="632" w:firstLineChars="200"/>
        <w:rPr>
          <w:color w:val="auto"/>
        </w:rPr>
      </w:pPr>
    </w:p>
    <w:p w14:paraId="63701896">
      <w:pPr>
        <w:overflowPunct w:val="0"/>
        <w:spacing w:line="578" w:lineRule="exact"/>
        <w:jc w:val="center"/>
        <w:rPr>
          <w:rFonts w:ascii="黑体" w:hAnsi="黑体" w:eastAsia="黑体"/>
          <w:color w:val="auto"/>
          <w:sz w:val="36"/>
          <w:szCs w:val="24"/>
        </w:rPr>
      </w:pPr>
      <w:r>
        <w:rPr>
          <w:rFonts w:hint="eastAsia" w:ascii="黑体" w:hAnsi="黑体" w:eastAsia="黑体"/>
          <w:color w:val="auto"/>
          <w:sz w:val="36"/>
          <w:szCs w:val="24"/>
        </w:rPr>
        <w:t>第一章 总 则</w:t>
      </w:r>
    </w:p>
    <w:p w14:paraId="07C5F223">
      <w:pPr>
        <w:overflowPunct w:val="0"/>
        <w:spacing w:line="578" w:lineRule="exact"/>
        <w:ind w:firstLine="632" w:firstLineChars="200"/>
        <w:rPr>
          <w:color w:val="auto"/>
        </w:rPr>
      </w:pPr>
    </w:p>
    <w:p w14:paraId="7CCAF6B6">
      <w:pPr>
        <w:overflowPunct w:val="0"/>
        <w:spacing w:line="578" w:lineRule="exact"/>
        <w:ind w:firstLine="632" w:firstLineChars="200"/>
        <w:rPr>
          <w:color w:val="auto"/>
        </w:rPr>
      </w:pPr>
      <w:r>
        <w:rPr>
          <w:rFonts w:hint="eastAsia" w:ascii="黑体" w:hAnsi="黑体" w:eastAsia="黑体"/>
          <w:color w:val="auto"/>
        </w:rPr>
        <w:t>第一条【制定依据】</w:t>
      </w:r>
      <w:r>
        <w:rPr>
          <w:rFonts w:hint="eastAsia"/>
          <w:color w:val="auto"/>
        </w:rPr>
        <w:t xml:space="preserve"> 为规范基本医疗保险待遇，保障参保人员合法权益，根据《合肥市基本医疗保险办法》规定，制定本细则。</w:t>
      </w:r>
    </w:p>
    <w:p w14:paraId="77B8D3C2">
      <w:pPr>
        <w:overflowPunct w:val="0"/>
        <w:spacing w:line="578" w:lineRule="exact"/>
        <w:ind w:firstLine="632" w:firstLineChars="200"/>
        <w:rPr>
          <w:color w:val="auto"/>
        </w:rPr>
      </w:pPr>
      <w:r>
        <w:rPr>
          <w:rFonts w:hint="eastAsia" w:ascii="黑体" w:hAnsi="黑体" w:eastAsia="黑体"/>
          <w:color w:val="auto"/>
        </w:rPr>
        <w:t>第二条【适用范围】</w:t>
      </w:r>
      <w:r>
        <w:rPr>
          <w:rFonts w:hint="eastAsia"/>
          <w:color w:val="auto"/>
        </w:rPr>
        <w:t xml:space="preserve"> 本细则适用于本市职工基本医疗保险、职工生育保险、城乡居民基本医疗保险参保人员（以下简称参保人员）的参保缴费、待遇保障和服务管理等工作。</w:t>
      </w:r>
    </w:p>
    <w:p w14:paraId="4E78A4AF">
      <w:pPr>
        <w:overflowPunct w:val="0"/>
        <w:spacing w:line="578" w:lineRule="exact"/>
        <w:ind w:firstLine="632" w:firstLineChars="200"/>
        <w:rPr>
          <w:color w:val="auto"/>
        </w:rPr>
      </w:pPr>
      <w:r>
        <w:rPr>
          <w:rFonts w:hint="eastAsia" w:ascii="黑体" w:hAnsi="黑体" w:eastAsia="黑体"/>
          <w:color w:val="auto"/>
        </w:rPr>
        <w:t>第三条【相关定义】</w:t>
      </w:r>
      <w:r>
        <w:rPr>
          <w:rFonts w:hint="eastAsia"/>
          <w:color w:val="auto"/>
        </w:rPr>
        <w:t xml:space="preserve"> 本细则所称政策范围内费用是指符合国家和省基本医疗保险药品、医疗服务项目和医疗服务设施目录及省负面清单规定之外的医疗费用。</w:t>
      </w:r>
    </w:p>
    <w:p w14:paraId="278697E1">
      <w:pPr>
        <w:overflowPunct w:val="0"/>
        <w:spacing w:line="578" w:lineRule="exact"/>
        <w:ind w:firstLine="632" w:firstLineChars="200"/>
        <w:rPr>
          <w:color w:val="auto"/>
        </w:rPr>
      </w:pPr>
      <w:r>
        <w:rPr>
          <w:rFonts w:hint="eastAsia"/>
          <w:color w:val="auto"/>
        </w:rPr>
        <w:t>大病保险合规费用是指政策范围内个人自付医疗费用（不含起付标准）及省负面清单规定之外的医疗费用。</w:t>
      </w:r>
    </w:p>
    <w:p w14:paraId="365E4C6E">
      <w:pPr>
        <w:overflowPunct w:val="0"/>
        <w:spacing w:line="578" w:lineRule="exact"/>
        <w:ind w:firstLine="632" w:firstLineChars="200"/>
        <w:rPr>
          <w:color w:val="auto"/>
        </w:rPr>
      </w:pPr>
      <w:r>
        <w:rPr>
          <w:rFonts w:hint="eastAsia"/>
          <w:color w:val="auto"/>
        </w:rPr>
        <w:t>起付标准是指政策范围内医疗费用（大病保险合规费用，下同）在医保基金（大病保险基金，下同）支付前，由个人自付的医疗费用。</w:t>
      </w:r>
    </w:p>
    <w:p w14:paraId="5DE9B125">
      <w:pPr>
        <w:overflowPunct w:val="0"/>
        <w:spacing w:line="578" w:lineRule="exact"/>
        <w:ind w:firstLine="632" w:firstLineChars="200"/>
        <w:rPr>
          <w:color w:val="auto"/>
        </w:rPr>
      </w:pPr>
      <w:r>
        <w:rPr>
          <w:rFonts w:hint="eastAsia"/>
          <w:color w:val="auto"/>
        </w:rPr>
        <w:t>支付比例是指政策范围内医疗费用，在扣除起付标准后医保基金支付的比例。</w:t>
      </w:r>
    </w:p>
    <w:p w14:paraId="7C66B851">
      <w:pPr>
        <w:overflowPunct w:val="0"/>
        <w:spacing w:line="578" w:lineRule="exact"/>
        <w:ind w:firstLine="632" w:firstLineChars="200"/>
        <w:rPr>
          <w:color w:val="auto"/>
        </w:rPr>
      </w:pPr>
      <w:r>
        <w:rPr>
          <w:rFonts w:hint="eastAsia"/>
          <w:color w:val="auto"/>
        </w:rPr>
        <w:t>支付限额是指一个自然年度内医保基金支付的最高金额。</w:t>
      </w:r>
    </w:p>
    <w:p w14:paraId="5EAF0C45">
      <w:pPr>
        <w:overflowPunct w:val="0"/>
        <w:spacing w:line="578" w:lineRule="exact"/>
        <w:ind w:firstLine="632" w:firstLineChars="200"/>
        <w:rPr>
          <w:color w:val="auto"/>
        </w:rPr>
      </w:pPr>
      <w:r>
        <w:rPr>
          <w:rFonts w:hint="eastAsia"/>
          <w:color w:val="auto"/>
        </w:rPr>
        <w:t>个人先付比例是指医保目录内药品、国家谈判药品、可单独收费的医用耗材及部分支付的医疗服务项目，在纳入医保基金支付前，由个先自付一定比例费用后，剩余费用再由医保基金按支付比例支付 。</w:t>
      </w:r>
    </w:p>
    <w:p w14:paraId="7C5678EB">
      <w:pPr>
        <w:overflowPunct w:val="0"/>
        <w:spacing w:line="578" w:lineRule="exact"/>
        <w:ind w:firstLine="632" w:firstLineChars="200"/>
        <w:rPr>
          <w:color w:val="auto"/>
        </w:rPr>
      </w:pPr>
      <w:r>
        <w:rPr>
          <w:rFonts w:hint="eastAsia" w:ascii="黑体" w:hAnsi="黑体" w:eastAsia="黑体"/>
          <w:color w:val="auto"/>
        </w:rPr>
        <w:t>第四条【先付比例】</w:t>
      </w:r>
      <w:r>
        <w:rPr>
          <w:rFonts w:hint="eastAsia"/>
          <w:color w:val="auto"/>
        </w:rPr>
        <w:t xml:space="preserve"> 甲类药品、医疗服务项目不设个人先付比例；乙类药品个人先付比例为10%，国家谈判药品个人先付比例按省文件规定执行；可单独收费的医用耗材个人先付比例，国产、进口分别为20%、50%。</w:t>
      </w:r>
    </w:p>
    <w:p w14:paraId="6BB93CB2">
      <w:pPr>
        <w:overflowPunct w:val="0"/>
        <w:spacing w:line="578" w:lineRule="exact"/>
        <w:ind w:firstLine="632" w:firstLineChars="200"/>
        <w:rPr>
          <w:color w:val="auto"/>
        </w:rPr>
      </w:pPr>
    </w:p>
    <w:p w14:paraId="5BD52964">
      <w:pPr>
        <w:overflowPunct w:val="0"/>
        <w:spacing w:line="578" w:lineRule="exact"/>
        <w:jc w:val="center"/>
        <w:rPr>
          <w:rFonts w:ascii="黑体" w:hAnsi="黑体" w:eastAsia="黑体"/>
          <w:color w:val="auto"/>
          <w:sz w:val="36"/>
          <w:szCs w:val="24"/>
        </w:rPr>
      </w:pPr>
      <w:r>
        <w:rPr>
          <w:rFonts w:hint="eastAsia" w:ascii="黑体" w:hAnsi="黑体" w:eastAsia="黑体"/>
          <w:color w:val="auto"/>
          <w:sz w:val="36"/>
          <w:szCs w:val="24"/>
        </w:rPr>
        <w:t>第二章 职工医保</w:t>
      </w:r>
    </w:p>
    <w:p w14:paraId="41637E23">
      <w:pPr>
        <w:overflowPunct w:val="0"/>
        <w:spacing w:line="578" w:lineRule="exact"/>
        <w:ind w:firstLine="632" w:firstLineChars="200"/>
        <w:rPr>
          <w:color w:val="auto"/>
        </w:rPr>
      </w:pPr>
    </w:p>
    <w:p w14:paraId="507F6190">
      <w:pPr>
        <w:pStyle w:val="2"/>
        <w:spacing w:line="578" w:lineRule="exact"/>
        <w:ind w:firstLine="632" w:firstLineChars="200"/>
        <w:jc w:val="both"/>
        <w:rPr>
          <w:rFonts w:eastAsia="仿宋_GB2312"/>
          <w:color w:val="auto"/>
          <w:sz w:val="32"/>
        </w:rPr>
      </w:pPr>
      <w:r>
        <w:rPr>
          <w:rFonts w:hint="eastAsia" w:ascii="黑体" w:hAnsi="黑体" w:eastAsia="黑体"/>
          <w:color w:val="auto"/>
          <w:sz w:val="32"/>
        </w:rPr>
        <w:t xml:space="preserve">第五条【参保规定】 </w:t>
      </w:r>
      <w:r>
        <w:rPr>
          <w:rFonts w:hint="eastAsia" w:eastAsia="仿宋_GB2312"/>
          <w:color w:val="auto"/>
          <w:sz w:val="32"/>
        </w:rPr>
        <w:t>未足额缴纳职工医保费的视为中断缴费。中断缴费的，自次月起暂停职工医保待遇。</w:t>
      </w:r>
    </w:p>
    <w:p w14:paraId="73D55F80">
      <w:pPr>
        <w:pStyle w:val="2"/>
        <w:spacing w:line="578" w:lineRule="exact"/>
        <w:ind w:firstLine="632" w:firstLineChars="200"/>
        <w:jc w:val="both"/>
        <w:rPr>
          <w:color w:val="auto"/>
        </w:rPr>
      </w:pPr>
      <w:r>
        <w:rPr>
          <w:rFonts w:hint="eastAsia" w:eastAsia="仿宋_GB2312"/>
          <w:color w:val="auto"/>
          <w:sz w:val="32"/>
        </w:rPr>
        <w:t>用人单位在中断缴费的次月及时补缴的，凭缴费凭证恢复并连续享受职工医保待遇；中断缴费超过1个月的，自办理补缴的次月享受职工医保待遇。灵活就业人员中断缴费3个月以内补缴的，自办理补缴的次日享受职工医保待遇；中断缴费超过3个月的</w:t>
      </w:r>
      <w:r>
        <w:rPr>
          <w:rFonts w:hint="eastAsia" w:eastAsia="仿宋_GB2312"/>
          <w:color w:val="auto"/>
          <w:sz w:val="32"/>
          <w:lang w:eastAsia="zh-CN"/>
        </w:rPr>
        <w:t>可</w:t>
      </w:r>
      <w:r>
        <w:rPr>
          <w:rFonts w:hint="eastAsia" w:eastAsia="仿宋_GB2312"/>
          <w:color w:val="auto"/>
          <w:sz w:val="32"/>
        </w:rPr>
        <w:t>补齐中断缴费</w:t>
      </w:r>
      <w:r>
        <w:rPr>
          <w:rFonts w:hint="eastAsia" w:eastAsia="仿宋_GB2312"/>
          <w:color w:val="auto"/>
          <w:sz w:val="32"/>
          <w:lang w:eastAsia="zh-CN"/>
        </w:rPr>
        <w:t>，在</w:t>
      </w:r>
      <w:r>
        <w:rPr>
          <w:rFonts w:hint="eastAsia" w:eastAsia="仿宋_GB2312"/>
          <w:color w:val="auto"/>
          <w:sz w:val="32"/>
        </w:rPr>
        <w:t>连续缴费3个月后的次月享受职工医保待遇。</w:t>
      </w:r>
    </w:p>
    <w:p w14:paraId="600F11D1">
      <w:pPr>
        <w:overflowPunct w:val="0"/>
        <w:spacing w:line="578" w:lineRule="exact"/>
        <w:ind w:firstLine="632" w:firstLineChars="200"/>
        <w:rPr>
          <w:color w:val="auto"/>
        </w:rPr>
      </w:pPr>
      <w:r>
        <w:rPr>
          <w:rFonts w:hint="eastAsia"/>
          <w:color w:val="auto"/>
        </w:rPr>
        <w:t>参保人员达到法定退休年龄时，因职工养老保险缴费年限不足选择延长缴纳职工养老保险费的，继续以在职状态按月缴纳职工医保费。</w:t>
      </w:r>
    </w:p>
    <w:p w14:paraId="5EA03951">
      <w:pPr>
        <w:overflowPunct w:val="0"/>
        <w:spacing w:line="578" w:lineRule="exact"/>
        <w:ind w:firstLine="632" w:firstLineChars="200"/>
        <w:rPr>
          <w:color w:val="auto"/>
        </w:rPr>
      </w:pPr>
      <w:r>
        <w:rPr>
          <w:rFonts w:hint="eastAsia" w:ascii="黑体" w:hAnsi="黑体" w:eastAsia="黑体"/>
          <w:color w:val="auto"/>
        </w:rPr>
        <w:t>第六条【医保年限审核】</w:t>
      </w:r>
      <w:r>
        <w:rPr>
          <w:rFonts w:hint="eastAsia"/>
          <w:color w:val="auto"/>
        </w:rPr>
        <w:t xml:space="preserve"> 参保人员达到法定退休年龄、办理提前退休及职工养老保险延长缴费终止的，应办理职工医保缴费年限审核手续。医保经办机构根据职工医保缴费记录、退休批复等材料审核医保缴费年限。缴费年限不足的，参保人员应在一个年度内一次性补缴至规定缴费年限，自补缴到账次日享受退休职工医保待遇。未在规定时间补缴的，需重新办理职工医保缴费年限审核手续。</w:t>
      </w:r>
    </w:p>
    <w:p w14:paraId="6B904EF5">
      <w:pPr>
        <w:spacing w:line="578" w:lineRule="exact"/>
        <w:ind w:firstLine="632" w:firstLineChars="200"/>
        <w:rPr>
          <w:color w:val="auto"/>
        </w:rPr>
      </w:pPr>
      <w:r>
        <w:rPr>
          <w:rFonts w:hint="eastAsia"/>
          <w:color w:val="auto"/>
        </w:rPr>
        <w:t>在本市退休并按月领取基本养老金且未纳入职工医保的退休人员，可自愿向属地医保经办机构提出补缴申请，自补缴到账次日起享受职工医保待遇。</w:t>
      </w:r>
    </w:p>
    <w:p w14:paraId="596828D8">
      <w:pPr>
        <w:spacing w:line="578" w:lineRule="exact"/>
        <w:ind w:firstLine="632" w:firstLineChars="200"/>
        <w:rPr>
          <w:color w:val="auto"/>
        </w:rPr>
      </w:pPr>
      <w:r>
        <w:rPr>
          <w:rFonts w:hint="eastAsia" w:ascii="黑体" w:hAnsi="黑体" w:eastAsia="黑体"/>
          <w:color w:val="auto"/>
        </w:rPr>
        <w:t xml:space="preserve">第七条【个人账户】 </w:t>
      </w:r>
      <w:r>
        <w:rPr>
          <w:rFonts w:hint="eastAsia"/>
          <w:color w:val="auto"/>
        </w:rPr>
        <w:t>在职职工按本人缴费基数2%缴纳的职工医保费全部划入其个人账户；退休人员个人账户由统筹基金按月定额划入，2022年、2023年、2024年定额划入标准分别为160元、120元、80元，今后根据国家及省规定调整。</w:t>
      </w:r>
    </w:p>
    <w:p w14:paraId="703C9E2A">
      <w:pPr>
        <w:overflowPunct w:val="0"/>
        <w:spacing w:line="578" w:lineRule="exact"/>
        <w:ind w:firstLine="632" w:firstLineChars="200"/>
        <w:rPr>
          <w:color w:val="auto"/>
        </w:rPr>
      </w:pPr>
      <w:r>
        <w:rPr>
          <w:rFonts w:hint="eastAsia"/>
          <w:color w:val="auto"/>
        </w:rPr>
        <w:t>参保人员转出医保关系、出国（境）定居注销户籍、死亡等情形，按规定转移、清算个人账户。参保人员死亡的，由其继承人或受遗赠人至医保经办机构办理个人账户清算手续。</w:t>
      </w:r>
    </w:p>
    <w:p w14:paraId="0D8A0C49">
      <w:pPr>
        <w:overflowPunct w:val="0"/>
        <w:spacing w:line="578" w:lineRule="exact"/>
        <w:ind w:firstLine="632" w:firstLineChars="200"/>
        <w:rPr>
          <w:color w:val="auto"/>
        </w:rPr>
      </w:pPr>
      <w:r>
        <w:rPr>
          <w:rFonts w:hint="eastAsia"/>
          <w:color w:val="auto"/>
        </w:rPr>
        <w:t>个人账户家庭共济对象为参加本市基本医疗保险且在待遇享受期内的人员。</w:t>
      </w:r>
    </w:p>
    <w:p w14:paraId="6FF33049">
      <w:pPr>
        <w:overflowPunct w:val="0"/>
        <w:spacing w:line="578" w:lineRule="exact"/>
        <w:ind w:firstLine="632" w:firstLineChars="200"/>
        <w:rPr>
          <w:color w:val="auto"/>
        </w:rPr>
      </w:pPr>
      <w:r>
        <w:rPr>
          <w:rFonts w:hint="eastAsia" w:ascii="黑体" w:hAnsi="黑体" w:eastAsia="黑体"/>
          <w:color w:val="auto"/>
        </w:rPr>
        <w:t>第八条【普通门诊统筹】</w:t>
      </w:r>
      <w:r>
        <w:rPr>
          <w:rFonts w:hint="eastAsia"/>
          <w:color w:val="auto"/>
        </w:rPr>
        <w:t xml:space="preserve"> 参保人员发生政策范围内普通门诊医疗费用，统筹基金按下列规定支付：</w:t>
      </w:r>
    </w:p>
    <w:p w14:paraId="2172BDFF">
      <w:pPr>
        <w:overflowPunct w:val="0"/>
        <w:spacing w:line="578" w:lineRule="exact"/>
        <w:ind w:firstLine="632" w:firstLineChars="200"/>
        <w:rPr>
          <w:color w:val="auto"/>
        </w:rPr>
      </w:pPr>
      <w:r>
        <w:rPr>
          <w:rFonts w:hint="eastAsia" w:ascii="楷体_GB2312" w:eastAsia="楷体_GB2312"/>
          <w:color w:val="auto"/>
        </w:rPr>
        <w:t>（一）</w:t>
      </w:r>
      <w:r>
        <w:rPr>
          <w:rFonts w:hint="eastAsia"/>
          <w:color w:val="auto"/>
        </w:rPr>
        <w:t>在本市门诊统筹定点医疗机构发生的普通门诊医疗费用，起付标准为</w:t>
      </w:r>
      <w:r>
        <w:rPr>
          <w:color w:val="auto"/>
        </w:rPr>
        <w:t>1200</w:t>
      </w:r>
      <w:r>
        <w:rPr>
          <w:rFonts w:hint="eastAsia"/>
          <w:color w:val="auto"/>
        </w:rPr>
        <w:t>元；社区卫生服务中心（乡镇卫生院，以下简称基层医疗机构）、其他医疗机构普通门诊的支付比例分别为</w:t>
      </w:r>
      <w:r>
        <w:rPr>
          <w:color w:val="auto"/>
        </w:rPr>
        <w:t>60%</w:t>
      </w:r>
      <w:r>
        <w:rPr>
          <w:rFonts w:hint="eastAsia"/>
          <w:color w:val="auto"/>
        </w:rPr>
        <w:t>、</w:t>
      </w:r>
      <w:r>
        <w:rPr>
          <w:color w:val="auto"/>
        </w:rPr>
        <w:t>50%</w:t>
      </w:r>
      <w:r>
        <w:rPr>
          <w:rFonts w:hint="eastAsia"/>
          <w:color w:val="auto"/>
        </w:rPr>
        <w:t>。退休人员的支付比例提高5个百分点。一个年度内，普通门诊基金支付限额为</w:t>
      </w:r>
      <w:r>
        <w:rPr>
          <w:color w:val="auto"/>
        </w:rPr>
        <w:t>4000</w:t>
      </w:r>
      <w:r>
        <w:rPr>
          <w:rFonts w:hint="eastAsia"/>
          <w:color w:val="auto"/>
        </w:rPr>
        <w:t>元。</w:t>
      </w:r>
    </w:p>
    <w:p w14:paraId="2CBE444D">
      <w:pPr>
        <w:overflowPunct w:val="0"/>
        <w:spacing w:line="578" w:lineRule="exact"/>
        <w:ind w:firstLine="632" w:firstLineChars="200"/>
        <w:rPr>
          <w:color w:val="auto"/>
        </w:rPr>
      </w:pPr>
      <w:r>
        <w:rPr>
          <w:rFonts w:hint="eastAsia"/>
          <w:color w:val="auto"/>
        </w:rPr>
        <w:t>通过处方流转平台在定点零售药店发生的外配处方购药费用可以纳入统筹基金支付，支付比例按其他医疗机构标准执行。</w:t>
      </w:r>
    </w:p>
    <w:p w14:paraId="69116440">
      <w:pPr>
        <w:overflowPunct w:val="0"/>
        <w:spacing w:line="578" w:lineRule="exact"/>
        <w:ind w:firstLine="632" w:firstLineChars="200"/>
        <w:rPr>
          <w:color w:val="auto"/>
        </w:rPr>
      </w:pPr>
      <w:r>
        <w:rPr>
          <w:rFonts w:hint="eastAsia" w:ascii="楷体_GB2312" w:eastAsia="楷体_GB2312"/>
          <w:color w:val="auto"/>
        </w:rPr>
        <w:t>（二）</w:t>
      </w:r>
      <w:r>
        <w:rPr>
          <w:rFonts w:hint="eastAsia"/>
          <w:color w:val="auto"/>
        </w:rPr>
        <w:t>异地安置退休人员、常驻异地工作人员、异地长期居住人员，在备案地定点医疗机构发生的普通门诊医疗费用按上述规定执行。</w:t>
      </w:r>
    </w:p>
    <w:p w14:paraId="1B97E6A0">
      <w:pPr>
        <w:overflowPunct w:val="0"/>
        <w:spacing w:line="578" w:lineRule="exact"/>
        <w:ind w:firstLine="632" w:firstLineChars="200"/>
        <w:rPr>
          <w:color w:val="auto"/>
        </w:rPr>
      </w:pPr>
      <w:r>
        <w:rPr>
          <w:rFonts w:hint="eastAsia"/>
          <w:color w:val="auto"/>
        </w:rPr>
        <w:t>参保人员住院期间发生的普通门诊费用，在普通门诊发生的慢特病门诊费用、孕产妇门诊产检费用以及健康体检、疫苗接种等不属于基本医保基金支付范围的费用，统筹基金不予支付。</w:t>
      </w:r>
    </w:p>
    <w:p w14:paraId="0219B0F8">
      <w:pPr>
        <w:overflowPunct w:val="0"/>
        <w:spacing w:line="578" w:lineRule="exact"/>
        <w:ind w:firstLine="632" w:firstLineChars="200"/>
        <w:rPr>
          <w:color w:val="auto"/>
        </w:rPr>
      </w:pPr>
      <w:r>
        <w:rPr>
          <w:rFonts w:hint="eastAsia"/>
          <w:color w:val="auto"/>
        </w:rPr>
        <w:t>普通门诊医疗费用不纳入大病保险、医疗救助基金支付范围。普通门诊年度基金支付限额纳入职工医保统筹基金年度最高支付限额管理。</w:t>
      </w:r>
    </w:p>
    <w:p w14:paraId="5211D842">
      <w:pPr>
        <w:overflowPunct w:val="0"/>
        <w:spacing w:line="578" w:lineRule="exact"/>
        <w:ind w:firstLine="632" w:firstLineChars="200"/>
        <w:rPr>
          <w:color w:val="auto"/>
        </w:rPr>
      </w:pPr>
      <w:r>
        <w:rPr>
          <w:rFonts w:hint="eastAsia" w:ascii="黑体" w:hAnsi="黑体" w:eastAsia="黑体"/>
          <w:color w:val="auto"/>
        </w:rPr>
        <w:t>第九条【慢病门诊待遇】</w:t>
      </w:r>
      <w:r>
        <w:rPr>
          <w:rFonts w:hint="eastAsia"/>
          <w:color w:val="auto"/>
        </w:rPr>
        <w:t xml:space="preserve"> 参保人员发生政策范围内慢特病门诊医疗费用，统筹基金按下列规定支付：</w:t>
      </w:r>
    </w:p>
    <w:p w14:paraId="01EE0B99">
      <w:pPr>
        <w:overflowPunct w:val="0"/>
        <w:spacing w:line="578" w:lineRule="exact"/>
        <w:ind w:firstLine="632" w:firstLineChars="200"/>
        <w:rPr>
          <w:color w:val="auto"/>
        </w:rPr>
      </w:pPr>
      <w:r>
        <w:rPr>
          <w:rFonts w:hint="eastAsia" w:ascii="楷体_GB2312" w:eastAsia="楷体_GB2312"/>
          <w:color w:val="auto"/>
        </w:rPr>
        <w:t>（一）支付范围。</w:t>
      </w:r>
      <w:r>
        <w:rPr>
          <w:rFonts w:hint="eastAsia"/>
          <w:color w:val="auto"/>
        </w:rPr>
        <w:t>安徽省慢特病门诊用药目录内的药品费用，与病种相关必需的治疗、检查和材料等费用，纳入医保基金支付范围。超出慢特病门诊用药目录的药品费用，与该病种无关的治疗、检查和材料等费用，基本医保、大病保险及城乡医疗救助基金均不予支付。</w:t>
      </w:r>
    </w:p>
    <w:p w14:paraId="5D03E50C">
      <w:pPr>
        <w:overflowPunct w:val="0"/>
        <w:spacing w:line="578" w:lineRule="exact"/>
        <w:ind w:firstLine="632" w:firstLineChars="200"/>
        <w:rPr>
          <w:color w:val="auto"/>
        </w:rPr>
      </w:pPr>
      <w:r>
        <w:rPr>
          <w:rFonts w:hint="eastAsia" w:ascii="楷体_GB2312" w:eastAsia="楷体_GB2312"/>
          <w:color w:val="auto"/>
        </w:rPr>
        <w:t>（二）起付标准和支付比例。</w:t>
      </w:r>
      <w:r>
        <w:rPr>
          <w:rFonts w:hint="eastAsia"/>
          <w:color w:val="auto"/>
        </w:rPr>
        <w:t>按慢特病门诊年度就诊最高级别医疗机构的住院起付标准、支付比例执行。参保人员因病情变化住院治疗的，不重复享受住院和慢特病门诊待遇。</w:t>
      </w:r>
    </w:p>
    <w:p w14:paraId="3AF32F02">
      <w:pPr>
        <w:overflowPunct w:val="0"/>
        <w:spacing w:line="578" w:lineRule="exact"/>
        <w:ind w:firstLine="632" w:firstLineChars="200"/>
        <w:rPr>
          <w:color w:val="auto"/>
        </w:rPr>
      </w:pPr>
      <w:r>
        <w:rPr>
          <w:rFonts w:hint="eastAsia" w:ascii="楷体_GB2312" w:eastAsia="楷体_GB2312"/>
          <w:color w:val="auto"/>
        </w:rPr>
        <w:t>（三）支付限额。</w:t>
      </w:r>
      <w:r>
        <w:rPr>
          <w:rFonts w:hint="eastAsia"/>
          <w:color w:val="auto"/>
        </w:rPr>
        <w:t>慢特病门诊实行病种支付限额管理，同时患多种慢特病的，以病种限额高的为基数，每增加一个病种，按增加病种限额的60%增加支付额度。同时患高血压、冠心病、心功能不全、脑出血（脑梗死）等关联性疾病的，按增加病种限额的30%增加额度。</w:t>
      </w:r>
    </w:p>
    <w:p w14:paraId="1224D2CB">
      <w:pPr>
        <w:overflowPunct w:val="0"/>
        <w:spacing w:line="578" w:lineRule="exact"/>
        <w:ind w:firstLine="632" w:firstLineChars="200"/>
        <w:rPr>
          <w:color w:val="auto"/>
        </w:rPr>
      </w:pPr>
      <w:r>
        <w:rPr>
          <w:rFonts w:hint="eastAsia"/>
          <w:color w:val="auto"/>
        </w:rPr>
        <w:t>申请享受慢特病门诊当年度待遇不满12个月的，按实际享受待遇月数计算确定起付标准和支付限额。异地安置退休人员、异地长期居住人员、常驻异地工作人员，在备案地定点医疗机构发生的慢特病门诊费用按照上述规定执行。</w:t>
      </w:r>
    </w:p>
    <w:p w14:paraId="3FCD55F7">
      <w:pPr>
        <w:overflowPunct w:val="0"/>
        <w:spacing w:line="578" w:lineRule="exact"/>
        <w:ind w:firstLine="632" w:firstLineChars="200"/>
        <w:rPr>
          <w:color w:val="auto"/>
        </w:rPr>
      </w:pPr>
      <w:r>
        <w:rPr>
          <w:rFonts w:hint="eastAsia" w:ascii="黑体" w:hAnsi="黑体" w:eastAsia="黑体"/>
          <w:color w:val="auto"/>
        </w:rPr>
        <w:t>第十条【住院待遇】</w:t>
      </w:r>
      <w:r>
        <w:rPr>
          <w:rFonts w:hint="eastAsia"/>
          <w:color w:val="auto"/>
        </w:rPr>
        <w:t xml:space="preserve"> 参保人员发生政策范围内住院医疗费用，统筹基金按下列规定支付：</w:t>
      </w:r>
    </w:p>
    <w:p w14:paraId="7E7EA8E6">
      <w:pPr>
        <w:overflowPunct w:val="0"/>
        <w:spacing w:line="578" w:lineRule="exact"/>
        <w:ind w:firstLine="632" w:firstLineChars="200"/>
        <w:rPr>
          <w:color w:val="auto"/>
        </w:rPr>
      </w:pPr>
      <w:r>
        <w:rPr>
          <w:rFonts w:hint="eastAsia" w:ascii="楷体_GB2312" w:eastAsia="楷体_GB2312"/>
          <w:color w:val="auto"/>
        </w:rPr>
        <w:t>（一）</w:t>
      </w:r>
      <w:r>
        <w:rPr>
          <w:rFonts w:hint="eastAsia"/>
          <w:color w:val="auto"/>
        </w:rPr>
        <w:t>本市一级及以下医疗机构（含乡镇卫生院、社区卫生服务中心，下同）、二级、三级医疗机构、省属三级医疗机构的起付标准分别为200元、400元、600元、</w:t>
      </w:r>
      <w:r>
        <w:rPr>
          <w:color w:val="auto"/>
        </w:rPr>
        <w:t>800</w:t>
      </w:r>
      <w:r>
        <w:rPr>
          <w:rFonts w:hint="eastAsia"/>
          <w:color w:val="auto"/>
        </w:rPr>
        <w:t>元，支付比例分别为94%、92%、90%、</w:t>
      </w:r>
      <w:r>
        <w:rPr>
          <w:color w:val="auto"/>
        </w:rPr>
        <w:t>88%</w:t>
      </w:r>
      <w:r>
        <w:rPr>
          <w:rFonts w:hint="eastAsia"/>
          <w:color w:val="auto"/>
        </w:rPr>
        <w:t>。一个年度内住院两次及以上的，自第二次住院起起付标准减半。退休人员支付比例提高</w:t>
      </w:r>
      <w:r>
        <w:rPr>
          <w:color w:val="auto"/>
        </w:rPr>
        <w:t>2</w:t>
      </w:r>
      <w:r>
        <w:rPr>
          <w:rFonts w:hint="eastAsia"/>
          <w:color w:val="auto"/>
        </w:rPr>
        <w:t>个百分点。</w:t>
      </w:r>
    </w:p>
    <w:p w14:paraId="17897A9A">
      <w:pPr>
        <w:overflowPunct w:val="0"/>
        <w:spacing w:line="578" w:lineRule="exact"/>
        <w:ind w:firstLine="632" w:firstLineChars="200"/>
        <w:rPr>
          <w:color w:val="auto"/>
        </w:rPr>
      </w:pPr>
      <w:r>
        <w:rPr>
          <w:rFonts w:hint="eastAsia" w:ascii="楷体_GB2312" w:eastAsia="楷体_GB2312"/>
          <w:color w:val="auto"/>
        </w:rPr>
        <w:t>（二）</w:t>
      </w:r>
      <w:r>
        <w:rPr>
          <w:rFonts w:hint="eastAsia"/>
          <w:color w:val="auto"/>
        </w:rPr>
        <w:t>转诊到市域外治疗的，起付标准按省属三级医疗机构起付标准、支付比例按省属三级医疗机构支付比例降低10个百分点执行。未办理转诊的、不符合转诊条件个人自行申请异地就医的，起付标准按省属三级医疗机构起付标准增加1倍、支付比例按省属三级医疗机构支付比例降低20个百分点执行。</w:t>
      </w:r>
    </w:p>
    <w:p w14:paraId="4C76A893">
      <w:pPr>
        <w:overflowPunct w:val="0"/>
        <w:spacing w:line="578" w:lineRule="exact"/>
        <w:ind w:firstLine="632" w:firstLineChars="200"/>
        <w:rPr>
          <w:color w:val="auto"/>
        </w:rPr>
      </w:pPr>
      <w:r>
        <w:rPr>
          <w:rFonts w:hint="eastAsia" w:ascii="楷体_GB2312" w:eastAsia="楷体_GB2312"/>
          <w:color w:val="auto"/>
        </w:rPr>
        <w:t>（三）</w:t>
      </w:r>
      <w:r>
        <w:rPr>
          <w:rFonts w:hint="eastAsia"/>
          <w:color w:val="auto"/>
        </w:rPr>
        <w:t>异地安置退休人员、异地长期居住人员、常驻异地工作人员在备案地定点医疗机构发生的住院医疗费用按本市相应级别医疗机构医保支付标准执行。未办理备案的，异地住院医疗费用按本条第二款未办理转诊的医保支付标准执行。</w:t>
      </w:r>
    </w:p>
    <w:p w14:paraId="34721B55">
      <w:pPr>
        <w:spacing w:line="578" w:lineRule="exact"/>
        <w:ind w:firstLine="632" w:firstLineChars="200"/>
        <w:rPr>
          <w:color w:val="auto"/>
        </w:rPr>
      </w:pPr>
      <w:r>
        <w:rPr>
          <w:rFonts w:hint="eastAsia" w:ascii="黑体" w:hAnsi="黑体" w:eastAsia="黑体"/>
          <w:color w:val="auto"/>
        </w:rPr>
        <w:t>第十一条【医养结合待遇】</w:t>
      </w:r>
      <w:r>
        <w:rPr>
          <w:rFonts w:hint="eastAsia"/>
          <w:color w:val="auto"/>
        </w:rPr>
        <w:t xml:space="preserve"> 在长期护理保险制度实施前，继续执行医养结合医保支付政策。符合条件的参保人员在本市医养结合定点机构发生的住院医疗费用，按二级医疗机构住院起付标准、个人自付比例执行，一个年度计算一次起付标准。医保基金与定点机构实行床日费用限额标准下据实结算。</w:t>
      </w:r>
    </w:p>
    <w:p w14:paraId="3072DC09">
      <w:pPr>
        <w:overflowPunct w:val="0"/>
        <w:spacing w:line="578" w:lineRule="exact"/>
        <w:ind w:firstLine="632" w:firstLineChars="200"/>
        <w:rPr>
          <w:color w:val="auto"/>
        </w:rPr>
      </w:pPr>
    </w:p>
    <w:p w14:paraId="089F90AB">
      <w:pPr>
        <w:overflowPunct w:val="0"/>
        <w:spacing w:line="578" w:lineRule="exact"/>
        <w:jc w:val="center"/>
        <w:rPr>
          <w:rFonts w:ascii="黑体" w:hAnsi="黑体" w:eastAsia="黑体"/>
          <w:color w:val="auto"/>
          <w:sz w:val="36"/>
          <w:szCs w:val="24"/>
        </w:rPr>
      </w:pPr>
      <w:r>
        <w:rPr>
          <w:rFonts w:hint="eastAsia" w:ascii="黑体" w:hAnsi="黑体" w:eastAsia="黑体"/>
          <w:color w:val="auto"/>
          <w:sz w:val="36"/>
          <w:szCs w:val="24"/>
        </w:rPr>
        <w:t>第三章 职工生育保险</w:t>
      </w:r>
    </w:p>
    <w:p w14:paraId="71833C95">
      <w:pPr>
        <w:overflowPunct w:val="0"/>
        <w:spacing w:line="578" w:lineRule="exact"/>
        <w:ind w:firstLine="632" w:firstLineChars="200"/>
        <w:rPr>
          <w:color w:val="auto"/>
        </w:rPr>
      </w:pPr>
    </w:p>
    <w:p w14:paraId="37727193">
      <w:pPr>
        <w:overflowPunct w:val="0"/>
        <w:spacing w:line="578" w:lineRule="exact"/>
        <w:ind w:firstLine="632" w:firstLineChars="200"/>
        <w:rPr>
          <w:color w:val="auto"/>
        </w:rPr>
      </w:pPr>
      <w:r>
        <w:rPr>
          <w:rFonts w:hint="eastAsia" w:ascii="黑体" w:hAnsi="黑体" w:eastAsia="黑体"/>
          <w:color w:val="auto"/>
        </w:rPr>
        <w:t>第十二条【保障规定】</w:t>
      </w:r>
      <w:r>
        <w:rPr>
          <w:rFonts w:hint="eastAsia"/>
          <w:color w:val="auto"/>
        </w:rPr>
        <w:t>参保职工在职工医保待遇享受期内的，在定点医疗机构生育或者实施计划生育手术的，按规定享受生育保险待遇。</w:t>
      </w:r>
    </w:p>
    <w:p w14:paraId="56472366">
      <w:pPr>
        <w:overflowPunct w:val="0"/>
        <w:spacing w:line="578" w:lineRule="exact"/>
        <w:ind w:firstLine="632" w:firstLineChars="200"/>
        <w:rPr>
          <w:color w:val="auto"/>
        </w:rPr>
      </w:pPr>
      <w:r>
        <w:rPr>
          <w:rFonts w:hint="eastAsia" w:ascii="黑体" w:hAnsi="黑体" w:eastAsia="黑体"/>
          <w:color w:val="auto"/>
        </w:rPr>
        <w:t xml:space="preserve">第十三条【生育医疗费用】 </w:t>
      </w:r>
      <w:r>
        <w:rPr>
          <w:rFonts w:hint="eastAsia"/>
          <w:color w:val="auto"/>
        </w:rPr>
        <w:t>生育医疗费用、计划生育医疗费用医保基金按下列规定支付：</w:t>
      </w:r>
    </w:p>
    <w:p w14:paraId="12ED90A9">
      <w:pPr>
        <w:overflowPunct w:val="0"/>
        <w:spacing w:line="578" w:lineRule="exact"/>
        <w:ind w:firstLine="632" w:firstLineChars="200"/>
        <w:rPr>
          <w:color w:val="auto"/>
        </w:rPr>
      </w:pPr>
      <w:r>
        <w:rPr>
          <w:rFonts w:hint="eastAsia" w:ascii="楷体_GB2312" w:eastAsia="楷体_GB2312"/>
          <w:color w:val="auto"/>
        </w:rPr>
        <w:t>（一）</w:t>
      </w:r>
      <w:r>
        <w:rPr>
          <w:rFonts w:hint="eastAsia"/>
          <w:color w:val="auto"/>
        </w:rPr>
        <w:t>产前检查费用实行按人头定额补助，补助标准为每人800元，参保职工生育后在定点医疗机构随生育医疗费用一次性补助发放；</w:t>
      </w:r>
    </w:p>
    <w:p w14:paraId="266238FF">
      <w:pPr>
        <w:overflowPunct w:val="0"/>
        <w:spacing w:line="578" w:lineRule="exact"/>
        <w:ind w:firstLine="632" w:firstLineChars="200"/>
        <w:rPr>
          <w:color w:val="auto"/>
        </w:rPr>
      </w:pPr>
      <w:r>
        <w:rPr>
          <w:rFonts w:hint="eastAsia" w:ascii="楷体_GB2312" w:eastAsia="楷体_GB2312"/>
          <w:color w:val="auto"/>
        </w:rPr>
        <w:t>（二）</w:t>
      </w:r>
      <w:r>
        <w:rPr>
          <w:rFonts w:hint="eastAsia"/>
          <w:color w:val="auto"/>
        </w:rPr>
        <w:t>住院分娩费用实行限额下据实支付，顺产、助娩产、剖宫产医保基金支付限额分别为3000元、3500元、5000元。生育多胞胎的，每多生育1名婴儿医保基金支付限额增加10%。基金支付限额以上费用由参保人员个人承担。探索开展住院分娩按病种付费；</w:t>
      </w:r>
    </w:p>
    <w:p w14:paraId="6C6CD8BE">
      <w:pPr>
        <w:overflowPunct w:val="0"/>
        <w:spacing w:line="578" w:lineRule="exact"/>
        <w:ind w:firstLine="632" w:firstLineChars="200"/>
        <w:rPr>
          <w:color w:val="auto"/>
        </w:rPr>
      </w:pPr>
      <w:r>
        <w:rPr>
          <w:rFonts w:hint="eastAsia" w:ascii="楷体_GB2312" w:eastAsia="楷体_GB2312"/>
          <w:color w:val="auto"/>
        </w:rPr>
        <w:t>（三）</w:t>
      </w:r>
      <w:r>
        <w:rPr>
          <w:rFonts w:hint="eastAsia"/>
          <w:color w:val="auto"/>
        </w:rPr>
        <w:t>计划生育手术费用实行按人头定额补助，补助标准分别为：放置和取出宫内节育器补助</w:t>
      </w:r>
      <w:r>
        <w:rPr>
          <w:color w:val="auto"/>
        </w:rPr>
        <w:t>240</w:t>
      </w:r>
      <w:r>
        <w:rPr>
          <w:rFonts w:hint="eastAsia"/>
          <w:color w:val="auto"/>
        </w:rPr>
        <w:t>元；怀孕</w:t>
      </w:r>
      <w:r>
        <w:rPr>
          <w:color w:val="auto"/>
        </w:rPr>
        <w:t>4</w:t>
      </w:r>
      <w:r>
        <w:rPr>
          <w:rFonts w:hint="eastAsia"/>
          <w:color w:val="auto"/>
        </w:rPr>
        <w:t>个月以内门诊、住院流产分别补助</w:t>
      </w:r>
      <w:r>
        <w:rPr>
          <w:color w:val="auto"/>
        </w:rPr>
        <w:t>500</w:t>
      </w:r>
      <w:r>
        <w:rPr>
          <w:rFonts w:hint="eastAsia"/>
          <w:color w:val="auto"/>
        </w:rPr>
        <w:t>元、</w:t>
      </w:r>
      <w:r>
        <w:rPr>
          <w:color w:val="auto"/>
        </w:rPr>
        <w:t>800</w:t>
      </w:r>
      <w:r>
        <w:rPr>
          <w:rFonts w:hint="eastAsia"/>
          <w:color w:val="auto"/>
        </w:rPr>
        <w:t>元，怀孕4个月以上流产补助</w:t>
      </w:r>
      <w:r>
        <w:rPr>
          <w:color w:val="auto"/>
        </w:rPr>
        <w:t>1500</w:t>
      </w:r>
      <w:r>
        <w:rPr>
          <w:rFonts w:hint="eastAsia"/>
          <w:color w:val="auto"/>
        </w:rPr>
        <w:t>元；怀孕7个月以上引产补助3000元；输卵（精）管绝育术补助1500元；输精管复通术补助3500元；</w:t>
      </w:r>
    </w:p>
    <w:p w14:paraId="17683007">
      <w:pPr>
        <w:overflowPunct w:val="0"/>
        <w:spacing w:line="578" w:lineRule="exact"/>
        <w:ind w:firstLine="632" w:firstLineChars="200"/>
        <w:rPr>
          <w:color w:val="auto"/>
        </w:rPr>
      </w:pPr>
      <w:r>
        <w:rPr>
          <w:rFonts w:hint="eastAsia" w:ascii="楷体_GB2312" w:eastAsia="楷体_GB2312"/>
          <w:color w:val="auto"/>
        </w:rPr>
        <w:t>（四）</w:t>
      </w:r>
      <w:r>
        <w:rPr>
          <w:rFonts w:hint="eastAsia"/>
          <w:color w:val="auto"/>
        </w:rPr>
        <w:t>怀孕期间、生育当期、产假期间和计划生育手术当期合并症、并发症发生的住院医疗费用，按职工医保住院待遇规定结算。生育、计划生育手术当期因合并症、并发症按职工医保住院标准结算的，不同时享受住院分娩费用限额下据实支付政策；</w:t>
      </w:r>
    </w:p>
    <w:p w14:paraId="26B00CA6">
      <w:pPr>
        <w:overflowPunct w:val="0"/>
        <w:spacing w:line="578" w:lineRule="exact"/>
        <w:ind w:firstLine="632" w:firstLineChars="200"/>
        <w:rPr>
          <w:color w:val="auto"/>
        </w:rPr>
      </w:pPr>
      <w:r>
        <w:rPr>
          <w:rFonts w:hint="eastAsia" w:ascii="楷体_GB2312" w:eastAsia="楷体_GB2312"/>
          <w:color w:val="auto"/>
        </w:rPr>
        <w:t>（五）</w:t>
      </w:r>
      <w:r>
        <w:rPr>
          <w:rFonts w:hint="eastAsia"/>
          <w:color w:val="auto"/>
        </w:rPr>
        <w:t>参保男职工配偶未享受生育相关待遇的，定额补助1000元。</w:t>
      </w:r>
    </w:p>
    <w:p w14:paraId="6FED66A2">
      <w:pPr>
        <w:overflowPunct w:val="0"/>
        <w:spacing w:line="578" w:lineRule="exact"/>
        <w:ind w:firstLine="632" w:firstLineChars="200"/>
        <w:rPr>
          <w:color w:val="auto"/>
        </w:rPr>
      </w:pPr>
      <w:r>
        <w:rPr>
          <w:rFonts w:hint="eastAsia" w:ascii="黑体" w:hAnsi="黑体" w:eastAsia="黑体"/>
          <w:color w:val="auto"/>
        </w:rPr>
        <w:t>第十</w:t>
      </w:r>
      <w:r>
        <w:rPr>
          <w:rFonts w:hint="eastAsia" w:ascii="黑体" w:hAnsi="黑体" w:eastAsia="黑体"/>
          <w:color w:val="auto"/>
          <w:lang w:eastAsia="zh-CN"/>
        </w:rPr>
        <w:t>四</w:t>
      </w:r>
      <w:r>
        <w:rPr>
          <w:rFonts w:hint="eastAsia" w:ascii="黑体" w:hAnsi="黑体" w:eastAsia="黑体"/>
          <w:color w:val="auto"/>
        </w:rPr>
        <w:t>条【生育费用结算】</w:t>
      </w:r>
      <w:r>
        <w:rPr>
          <w:rFonts w:hint="eastAsia"/>
          <w:color w:val="auto"/>
        </w:rPr>
        <w:t>参保人员凭医保凭证在本市定点医疗机构发生的生育医疗费用、计划生育医疗费用实行联网直接结算。定点医疗机构在登记就诊时，将参保人员结婚证、生殖保健服务证（准生证）等相关信息完整上传医保结算信息系统。</w:t>
      </w:r>
    </w:p>
    <w:p w14:paraId="71719F24">
      <w:pPr>
        <w:spacing w:line="578" w:lineRule="exact"/>
        <w:ind w:firstLine="632" w:firstLineChars="200"/>
        <w:rPr>
          <w:color w:val="auto"/>
        </w:rPr>
      </w:pPr>
      <w:r>
        <w:rPr>
          <w:rFonts w:hint="eastAsia"/>
          <w:color w:val="auto"/>
        </w:rPr>
        <w:t>参保人员在异地定点医疗机构发生的无法联网结算的生育医疗费用，由参保人员个人垫付费用，在医疗终结后6个月内，凭下列材料到参保地经办机构申请相关待遇：医保凭证、医院收费票据、费用清单、病历资料等，异地生育需另外提供婴儿出生医学证明。</w:t>
      </w:r>
    </w:p>
    <w:p w14:paraId="3E4A74B5">
      <w:pPr>
        <w:overflowPunct w:val="0"/>
        <w:spacing w:line="578" w:lineRule="exact"/>
        <w:ind w:firstLine="632" w:firstLineChars="200"/>
        <w:rPr>
          <w:color w:val="auto"/>
        </w:rPr>
      </w:pPr>
      <w:r>
        <w:rPr>
          <w:rFonts w:hint="eastAsia"/>
          <w:color w:val="auto"/>
        </w:rPr>
        <w:t>参保男职工配偶生育定额补助，应在医疗终结后6个月内，通过医保线上服务平台或向参保地医保经办机构提出申请。申请时提供下列材料：职工配偶户口簿、医院收费票据、费用清单、病历资料、婴儿出生医学证明。</w:t>
      </w:r>
    </w:p>
    <w:p w14:paraId="18927445">
      <w:pPr>
        <w:overflowPunct w:val="0"/>
        <w:spacing w:line="578" w:lineRule="exact"/>
        <w:ind w:firstLine="632" w:firstLineChars="200"/>
        <w:rPr>
          <w:color w:val="auto"/>
        </w:rPr>
      </w:pPr>
      <w:r>
        <w:rPr>
          <w:rFonts w:hint="eastAsia" w:ascii="黑体" w:hAnsi="黑体" w:eastAsia="黑体"/>
          <w:color w:val="auto"/>
        </w:rPr>
        <w:t>第十</w:t>
      </w:r>
      <w:r>
        <w:rPr>
          <w:rFonts w:hint="eastAsia" w:ascii="黑体" w:hAnsi="黑体" w:eastAsia="黑体"/>
          <w:color w:val="auto"/>
          <w:lang w:eastAsia="zh-CN"/>
        </w:rPr>
        <w:t>五</w:t>
      </w:r>
      <w:r>
        <w:rPr>
          <w:rFonts w:hint="eastAsia" w:ascii="黑体" w:hAnsi="黑体" w:eastAsia="黑体"/>
          <w:color w:val="auto"/>
        </w:rPr>
        <w:t>条【津贴标准】</w:t>
      </w:r>
      <w:r>
        <w:rPr>
          <w:rFonts w:hint="eastAsia"/>
          <w:color w:val="auto"/>
        </w:rPr>
        <w:t xml:space="preserve"> 生育津贴按下列规定计发：</w:t>
      </w:r>
    </w:p>
    <w:p w14:paraId="2A7CDDAC">
      <w:pPr>
        <w:overflowPunct w:val="0"/>
        <w:spacing w:line="578" w:lineRule="exact"/>
        <w:ind w:firstLine="632" w:firstLineChars="200"/>
        <w:rPr>
          <w:color w:val="auto"/>
        </w:rPr>
      </w:pPr>
      <w:r>
        <w:rPr>
          <w:rFonts w:hint="eastAsia" w:ascii="楷体_GB2312" w:eastAsia="楷体_GB2312"/>
          <w:color w:val="auto"/>
        </w:rPr>
        <w:t>（一）</w:t>
      </w:r>
      <w:r>
        <w:rPr>
          <w:rFonts w:hint="eastAsia"/>
          <w:color w:val="auto"/>
        </w:rPr>
        <w:t>符合生育政策规定的顺产（含助娩产）、不符合剖宫产指征自愿要求剖宫产的，按</w:t>
      </w:r>
      <w:r>
        <w:rPr>
          <w:color w:val="auto"/>
        </w:rPr>
        <w:t>9</w:t>
      </w:r>
      <w:r>
        <w:rPr>
          <w:rFonts w:hint="eastAsia"/>
          <w:color w:val="auto"/>
        </w:rPr>
        <w:t>8天计发（符合计划生育奖励规定的，另加60天）；剖宫产的，增加15天；生育多胞胎的，每多生育一个婴儿，增加15天。</w:t>
      </w:r>
    </w:p>
    <w:p w14:paraId="62FC83B3">
      <w:pPr>
        <w:overflowPunct w:val="0"/>
        <w:spacing w:line="578" w:lineRule="exact"/>
        <w:ind w:firstLine="632" w:firstLineChars="200"/>
        <w:rPr>
          <w:color w:val="auto"/>
        </w:rPr>
      </w:pPr>
      <w:r>
        <w:rPr>
          <w:rFonts w:hint="eastAsia" w:ascii="楷体_GB2312" w:eastAsia="楷体_GB2312"/>
          <w:color w:val="auto"/>
        </w:rPr>
        <w:t>（二）</w:t>
      </w:r>
      <w:r>
        <w:rPr>
          <w:rFonts w:hint="eastAsia"/>
          <w:color w:val="auto"/>
        </w:rPr>
        <w:t>女职工怀孕4个月以内流产的，按15天计发；怀孕满4个月不满7个月流产的，按42天计发；怀孕7个月以上终止妊娠的，按98天计发。宫外孕手术的，按30天计发。</w:t>
      </w:r>
    </w:p>
    <w:p w14:paraId="18D05F94">
      <w:pPr>
        <w:overflowPunct w:val="0"/>
        <w:spacing w:line="578" w:lineRule="exact"/>
        <w:ind w:firstLine="632" w:firstLineChars="200"/>
        <w:rPr>
          <w:color w:val="auto"/>
        </w:rPr>
      </w:pPr>
      <w:r>
        <w:rPr>
          <w:rFonts w:hint="eastAsia"/>
          <w:color w:val="auto"/>
        </w:rPr>
        <w:t>生育津贴计算规则为：用人单位上年度职工月平均工资（平均缴费基数）÷30×计发天数。产假期限超过1个月的，生育津贴按月平均发放；产假期限1个月以内的，生育津贴一次性发放。</w:t>
      </w:r>
    </w:p>
    <w:p w14:paraId="20E46233">
      <w:pPr>
        <w:overflowPunct w:val="0"/>
        <w:spacing w:line="578" w:lineRule="exact"/>
        <w:ind w:firstLine="632" w:firstLineChars="200"/>
        <w:rPr>
          <w:color w:val="auto"/>
        </w:rPr>
      </w:pPr>
      <w:r>
        <w:rPr>
          <w:rFonts w:hint="eastAsia" w:ascii="黑体" w:hAnsi="黑体" w:eastAsia="黑体"/>
          <w:color w:val="auto"/>
        </w:rPr>
        <w:t>第十</w:t>
      </w:r>
      <w:r>
        <w:rPr>
          <w:rFonts w:hint="eastAsia" w:ascii="黑体" w:hAnsi="黑体" w:eastAsia="黑体"/>
          <w:color w:val="auto"/>
          <w:lang w:eastAsia="zh-CN"/>
        </w:rPr>
        <w:t>六</w:t>
      </w:r>
      <w:r>
        <w:rPr>
          <w:rFonts w:hint="eastAsia" w:ascii="黑体" w:hAnsi="黑体" w:eastAsia="黑体"/>
          <w:color w:val="auto"/>
        </w:rPr>
        <w:t xml:space="preserve">条【津贴申领】 </w:t>
      </w:r>
      <w:r>
        <w:rPr>
          <w:rFonts w:hint="eastAsia"/>
          <w:color w:val="auto"/>
        </w:rPr>
        <w:t>参保女职工在定点医疗机构生育后的6个月内，通过医保线上服务平台、生育定点医疗机构医保办或参保地医保经办机构申请生育津贴待遇，生育津贴自生育、计划生育手术当月起计发。申请时应提供医保凭证、结婚证、生殖保健服务证、计划生育的诊断手术证明和超声报告单等相关病历资料。</w:t>
      </w:r>
    </w:p>
    <w:p w14:paraId="5E2A6B65">
      <w:pPr>
        <w:overflowPunct w:val="0"/>
        <w:spacing w:line="578" w:lineRule="exact"/>
        <w:ind w:firstLine="632" w:firstLineChars="200"/>
        <w:rPr>
          <w:color w:val="auto"/>
        </w:rPr>
      </w:pPr>
      <w:r>
        <w:rPr>
          <w:rFonts w:hint="eastAsia" w:ascii="黑体" w:hAnsi="黑体" w:eastAsia="黑体"/>
          <w:color w:val="auto"/>
        </w:rPr>
        <w:t>第十</w:t>
      </w:r>
      <w:r>
        <w:rPr>
          <w:rFonts w:hint="eastAsia" w:ascii="黑体" w:hAnsi="黑体" w:eastAsia="黑体"/>
          <w:color w:val="auto"/>
          <w:lang w:eastAsia="zh-CN"/>
        </w:rPr>
        <w:t>七</w:t>
      </w:r>
      <w:r>
        <w:rPr>
          <w:rFonts w:hint="eastAsia" w:ascii="黑体" w:hAnsi="黑体" w:eastAsia="黑体"/>
          <w:color w:val="auto"/>
        </w:rPr>
        <w:t>条【特殊情形处理】</w:t>
      </w:r>
      <w:r>
        <w:rPr>
          <w:rFonts w:hint="eastAsia"/>
          <w:color w:val="auto"/>
        </w:rPr>
        <w:t>职工生育时用人单位中断缴费的，生育医疗费用按照职工医保中断缴费规定处理。</w:t>
      </w:r>
    </w:p>
    <w:p w14:paraId="3C4E38F4">
      <w:pPr>
        <w:overflowPunct w:val="0"/>
        <w:spacing w:line="578" w:lineRule="exact"/>
        <w:ind w:firstLine="632" w:firstLineChars="200"/>
        <w:rPr>
          <w:color w:val="auto"/>
        </w:rPr>
      </w:pPr>
      <w:r>
        <w:rPr>
          <w:rFonts w:hint="eastAsia"/>
          <w:color w:val="auto"/>
        </w:rPr>
        <w:t>生育津贴发放期间用人单位中断缴费的，中断缴费不超过1个月并按规定补缴的，连续享受生育津贴待遇；连续中断缴费超过1个月的，自补齐中断缴费次月起享受剩余生育津贴待遇，中断期间生育津贴由用人单位承担。</w:t>
      </w:r>
    </w:p>
    <w:p w14:paraId="3C5B9652">
      <w:pPr>
        <w:overflowPunct w:val="0"/>
        <w:spacing w:line="578" w:lineRule="exact"/>
        <w:ind w:firstLine="632" w:firstLineChars="200"/>
        <w:rPr>
          <w:color w:val="auto"/>
        </w:rPr>
      </w:pPr>
      <w:r>
        <w:rPr>
          <w:rFonts w:hint="eastAsia"/>
          <w:color w:val="auto"/>
        </w:rPr>
        <w:t>生育津贴发放期间参保职工单位变动的，新用人单位为国家机关事业单位以外的其他单位并在1个月以内接续参保的，连续享受剩余生育津贴待遇；超过1个月接续参保并补缴的，自接续参保次月起享受剩余生育津贴待遇，补缴期间生育津贴由用人单位承担。新用人单位为国家机关事业单位、终止劳动关系以灵活就业人员参保的，不再享受生育津贴待遇。</w:t>
      </w:r>
    </w:p>
    <w:p w14:paraId="7853F93C">
      <w:pPr>
        <w:overflowPunct w:val="0"/>
        <w:spacing w:line="578" w:lineRule="exact"/>
        <w:ind w:firstLine="632" w:firstLineChars="200"/>
        <w:rPr>
          <w:color w:val="auto"/>
        </w:rPr>
      </w:pPr>
    </w:p>
    <w:p w14:paraId="32755FA3">
      <w:pPr>
        <w:overflowPunct w:val="0"/>
        <w:spacing w:line="578" w:lineRule="exact"/>
        <w:jc w:val="center"/>
        <w:rPr>
          <w:rFonts w:ascii="黑体" w:hAnsi="黑体" w:eastAsia="黑体"/>
          <w:color w:val="auto"/>
          <w:sz w:val="36"/>
          <w:szCs w:val="24"/>
        </w:rPr>
      </w:pPr>
      <w:r>
        <w:rPr>
          <w:rFonts w:hint="eastAsia" w:ascii="黑体" w:hAnsi="黑体" w:eastAsia="黑体"/>
          <w:color w:val="auto"/>
          <w:sz w:val="36"/>
          <w:szCs w:val="24"/>
        </w:rPr>
        <w:t>第四章 居民医保</w:t>
      </w:r>
    </w:p>
    <w:p w14:paraId="62A58052">
      <w:pPr>
        <w:overflowPunct w:val="0"/>
        <w:spacing w:line="578" w:lineRule="exact"/>
        <w:ind w:firstLine="632" w:firstLineChars="200"/>
        <w:rPr>
          <w:color w:val="auto"/>
        </w:rPr>
      </w:pPr>
    </w:p>
    <w:p w14:paraId="67872AA0">
      <w:pPr>
        <w:overflowPunct w:val="0"/>
        <w:spacing w:line="578" w:lineRule="exact"/>
        <w:ind w:firstLine="632" w:firstLineChars="200"/>
        <w:rPr>
          <w:color w:val="auto"/>
        </w:rPr>
      </w:pPr>
      <w:r>
        <w:rPr>
          <w:rFonts w:hint="eastAsia" w:ascii="黑体" w:hAnsi="黑体" w:eastAsia="黑体"/>
          <w:color w:val="auto"/>
        </w:rPr>
        <w:t>第十八条【参保登记】</w:t>
      </w:r>
      <w:r>
        <w:rPr>
          <w:rFonts w:hint="eastAsia"/>
          <w:color w:val="auto"/>
        </w:rPr>
        <w:t>居民医保集中参保期为每年9月1日至12月31日。集中参保期内，城乡居民首次参保的，应凭户口簿或居住证，在户籍地或居住地社区（村）居委办理参保缴费手续。上年度已参保居民，可以通过医保线上服务平台参保缴费。在校大学生由学校组织参保缴费。</w:t>
      </w:r>
    </w:p>
    <w:p w14:paraId="335D64A5">
      <w:pPr>
        <w:overflowPunct w:val="0"/>
        <w:spacing w:line="578" w:lineRule="exact"/>
        <w:ind w:firstLine="632" w:firstLineChars="200"/>
        <w:rPr>
          <w:color w:val="auto"/>
        </w:rPr>
      </w:pPr>
      <w:r>
        <w:rPr>
          <w:rFonts w:hint="eastAsia"/>
          <w:color w:val="auto"/>
        </w:rPr>
        <w:t>非集中参保期符合规定补办参保的，在户籍地或居住地乡镇（街道，下同）补办参保缴费手续。动态新增的特困人员、低保对象、返贫致贫人口、脱贫不稳定和纳入农村低收入监测人口，由县（市）区医保部门组织并向乡镇提供动态新增名单，乡镇做好参保动员和补办参保缴费工作。</w:t>
      </w:r>
    </w:p>
    <w:p w14:paraId="513B961F">
      <w:pPr>
        <w:overflowPunct w:val="0"/>
        <w:spacing w:line="578" w:lineRule="exact"/>
        <w:ind w:firstLine="632" w:firstLineChars="200"/>
        <w:rPr>
          <w:color w:val="auto"/>
        </w:rPr>
      </w:pPr>
      <w:r>
        <w:rPr>
          <w:rFonts w:hint="eastAsia" w:ascii="黑体" w:hAnsi="黑体" w:eastAsia="黑体"/>
          <w:color w:val="auto"/>
        </w:rPr>
        <w:t>第十九条【待遇享受期】</w:t>
      </w:r>
      <w:r>
        <w:rPr>
          <w:rFonts w:hint="eastAsia"/>
          <w:color w:val="auto"/>
        </w:rPr>
        <w:t>在集中参保期内参保缴费的，自次年1月1日起至12月31日享受居民医保待遇。</w:t>
      </w:r>
    </w:p>
    <w:p w14:paraId="2770D1D8">
      <w:pPr>
        <w:overflowPunct w:val="0"/>
        <w:spacing w:line="578" w:lineRule="exact"/>
        <w:ind w:firstLine="632" w:firstLineChars="200"/>
        <w:rPr>
          <w:color w:val="auto"/>
        </w:rPr>
      </w:pPr>
      <w:r>
        <w:rPr>
          <w:rFonts w:hint="eastAsia"/>
          <w:color w:val="auto"/>
        </w:rPr>
        <w:t>高校新入学学生在集中参保期内参加下年度居民医保的，自参保缴费之日起享受居民医保待遇。</w:t>
      </w:r>
    </w:p>
    <w:p w14:paraId="1BE332E7">
      <w:pPr>
        <w:overflowPunct w:val="0"/>
        <w:spacing w:line="578" w:lineRule="exact"/>
        <w:ind w:firstLine="632" w:firstLineChars="200"/>
        <w:rPr>
          <w:color w:val="auto"/>
        </w:rPr>
      </w:pPr>
      <w:r>
        <w:rPr>
          <w:rFonts w:hint="eastAsia" w:ascii="黑体" w:hAnsi="黑体" w:eastAsia="黑体"/>
          <w:color w:val="auto"/>
        </w:rPr>
        <w:t>第二十条【门诊待遇】</w:t>
      </w:r>
      <w:r>
        <w:rPr>
          <w:rFonts w:hint="eastAsia"/>
          <w:color w:val="auto"/>
        </w:rPr>
        <w:t xml:space="preserve"> 参保居民在定点医疗机构发生的政策范围内门诊医疗费用按下列规定执行：</w:t>
      </w:r>
    </w:p>
    <w:p w14:paraId="755D279C">
      <w:pPr>
        <w:overflowPunct w:val="0"/>
        <w:spacing w:line="578" w:lineRule="exact"/>
        <w:ind w:firstLine="632" w:firstLineChars="200"/>
        <w:rPr>
          <w:color w:val="auto"/>
        </w:rPr>
      </w:pPr>
      <w:r>
        <w:rPr>
          <w:rFonts w:hint="eastAsia" w:ascii="楷体_GB2312" w:eastAsia="楷体_GB2312"/>
          <w:color w:val="auto"/>
        </w:rPr>
        <w:t>（一）基层普通门诊。</w:t>
      </w:r>
      <w:r>
        <w:rPr>
          <w:rFonts w:hint="eastAsia"/>
          <w:color w:val="auto"/>
        </w:rPr>
        <w:t>在参保地乡镇卫生院（社区卫生服务中心，下同）、一体化管理的村卫生室（社区卫生服务站）发生的门诊医疗费用，医保基金按照60%比例支付，单次最高支付限额分别为50元、20元，年度基金累计最高支付100元/人。</w:t>
      </w:r>
    </w:p>
    <w:p w14:paraId="6CFC67F2">
      <w:pPr>
        <w:overflowPunct w:val="0"/>
        <w:spacing w:line="578" w:lineRule="exact"/>
        <w:ind w:firstLine="632" w:firstLineChars="200"/>
        <w:rPr>
          <w:color w:val="auto"/>
        </w:rPr>
      </w:pPr>
      <w:r>
        <w:rPr>
          <w:rFonts w:hint="eastAsia" w:ascii="楷体_GB2312" w:eastAsia="楷体_GB2312"/>
          <w:color w:val="auto"/>
        </w:rPr>
        <w:t>（二）大额普通门诊。</w:t>
      </w:r>
      <w:r>
        <w:rPr>
          <w:rFonts w:hint="eastAsia"/>
          <w:color w:val="auto"/>
        </w:rPr>
        <w:t>在参保地二级及以上医疗机构（或经申请符合条件的基层医疗机构，下同）发生的门诊医疗费用（不含健康体检、慢特病门诊、疫苗等费用，国家和省另有规定的除外），单次达到200元且年度累计超过500元的，超过部分医保基金按照60%比例支付，年度基金累计最高支付2000元/人。市域内跨县域在二级及以上医疗机构就诊的，医保基金支付比例降低10个百分点。</w:t>
      </w:r>
    </w:p>
    <w:p w14:paraId="67363948">
      <w:pPr>
        <w:overflowPunct w:val="0"/>
        <w:spacing w:line="578" w:lineRule="exact"/>
        <w:ind w:firstLine="632" w:firstLineChars="200"/>
        <w:rPr>
          <w:color w:val="auto"/>
        </w:rPr>
      </w:pPr>
      <w:r>
        <w:rPr>
          <w:rFonts w:hint="eastAsia" w:ascii="楷体_GB2312" w:eastAsia="楷体_GB2312"/>
          <w:color w:val="auto"/>
        </w:rPr>
        <w:t>（三）大学生普通门诊。</w:t>
      </w:r>
      <w:r>
        <w:rPr>
          <w:rFonts w:hint="eastAsia"/>
          <w:color w:val="auto"/>
        </w:rPr>
        <w:t>在校大学生普通门诊待遇由学校按学年进行保障。统筹基金按照50元/人标准，按参保年度拨付至学校，由学校统筹包干使用。在校大学生不再享受基层普通门诊和大额普通门诊待遇。</w:t>
      </w:r>
    </w:p>
    <w:p w14:paraId="22E11640">
      <w:pPr>
        <w:overflowPunct w:val="0"/>
        <w:spacing w:line="578" w:lineRule="exact"/>
        <w:ind w:firstLine="632" w:firstLineChars="200"/>
        <w:rPr>
          <w:color w:val="auto"/>
        </w:rPr>
      </w:pPr>
      <w:r>
        <w:rPr>
          <w:rFonts w:hint="eastAsia" w:ascii="楷体_GB2312" w:eastAsia="楷体_GB2312"/>
          <w:color w:val="auto"/>
        </w:rPr>
        <w:t>（四）慢性病门诊。</w:t>
      </w:r>
      <w:r>
        <w:rPr>
          <w:rFonts w:hint="eastAsia"/>
          <w:color w:val="auto"/>
        </w:rPr>
        <w:t>参保居民患有需要长期门诊治疗、医疗费用负担较重的慢性疾病，经过申请鉴定，可以纳入慢性病门诊管理；发生政策范围内门诊医疗费用，由医保基金按一定的起付标准、支付比例、支付限额支付。同时患多种慢特病的，应按照一定比例增加支付额度。普通高血压、糖尿病（以下简称“两病”）纳入门诊慢性病管理，发生的门诊费用纳入保障范围。</w:t>
      </w:r>
    </w:p>
    <w:p w14:paraId="10A24B45">
      <w:pPr>
        <w:overflowPunct w:val="0"/>
        <w:spacing w:line="578" w:lineRule="exact"/>
        <w:ind w:firstLine="632" w:firstLineChars="200"/>
        <w:rPr>
          <w:color w:val="auto"/>
        </w:rPr>
      </w:pPr>
      <w:r>
        <w:rPr>
          <w:rFonts w:hint="eastAsia" w:ascii="黑体" w:hAnsi="黑体" w:eastAsia="黑体"/>
          <w:color w:val="auto"/>
        </w:rPr>
        <w:t>第二十一条【住院待遇】</w:t>
      </w:r>
      <w:r>
        <w:rPr>
          <w:rFonts w:hint="eastAsia"/>
          <w:color w:val="auto"/>
        </w:rPr>
        <w:t xml:space="preserve"> 参保居民发生的政策范围内住院医疗费用按下列规定支付：</w:t>
      </w:r>
    </w:p>
    <w:p w14:paraId="75A91068">
      <w:pPr>
        <w:overflowPunct w:val="0"/>
        <w:spacing w:line="578" w:lineRule="exact"/>
        <w:ind w:firstLine="632" w:firstLineChars="200"/>
        <w:rPr>
          <w:color w:val="auto"/>
        </w:rPr>
      </w:pPr>
      <w:r>
        <w:rPr>
          <w:rFonts w:hint="eastAsia" w:ascii="楷体_GB2312" w:eastAsia="楷体_GB2312"/>
          <w:color w:val="auto"/>
        </w:rPr>
        <w:t>（一）本地住院。</w:t>
      </w:r>
      <w:r>
        <w:rPr>
          <w:rFonts w:hint="eastAsia"/>
          <w:color w:val="auto"/>
        </w:rPr>
        <w:t>在本市一级及以下医疗机构、二级、三级医疗机构、省属三级医疗机构发生的医疗费用，基金起付标准分别为</w:t>
      </w:r>
      <w:r>
        <w:rPr>
          <w:color w:val="auto"/>
        </w:rPr>
        <w:t>3</w:t>
      </w:r>
      <w:r>
        <w:rPr>
          <w:rFonts w:hint="eastAsia"/>
          <w:color w:val="auto"/>
        </w:rPr>
        <w:t>00元、500元、700元、1000元，基金支付比例分别为90%、85%、80%、75%。参保居民不通过转诊直接跨县（市）域就医，自行到三级及以下、省属三级医疗机构住院治疗的，起付线增加1倍，报销比例分别降低10、15个百分点。急诊抢救、重症、传染病以及通过县域内医共体牵头医院转诊的，不降低报销比例。</w:t>
      </w:r>
    </w:p>
    <w:p w14:paraId="1131481A">
      <w:pPr>
        <w:overflowPunct w:val="0"/>
        <w:spacing w:line="578" w:lineRule="exact"/>
        <w:ind w:firstLine="632" w:firstLineChars="200"/>
        <w:rPr>
          <w:color w:val="auto"/>
        </w:rPr>
      </w:pPr>
      <w:r>
        <w:rPr>
          <w:rFonts w:hint="eastAsia"/>
          <w:color w:val="auto"/>
        </w:rPr>
        <w:t>下列情况实行起付标准减免：</w:t>
      </w:r>
    </w:p>
    <w:p w14:paraId="7F9BB2CF">
      <w:pPr>
        <w:overflowPunct w:val="0"/>
        <w:spacing w:line="578" w:lineRule="exact"/>
        <w:ind w:firstLine="632" w:firstLineChars="200"/>
        <w:rPr>
          <w:color w:val="auto"/>
        </w:rPr>
      </w:pPr>
      <w:r>
        <w:rPr>
          <w:rFonts w:hint="eastAsia"/>
          <w:color w:val="auto"/>
        </w:rPr>
        <w:t>1.参保学生、18周岁及以下居民住院起付线减半。</w:t>
      </w:r>
    </w:p>
    <w:p w14:paraId="7E01560E">
      <w:pPr>
        <w:overflowPunct w:val="0"/>
        <w:spacing w:line="578" w:lineRule="exact"/>
        <w:ind w:firstLine="632" w:firstLineChars="200"/>
        <w:rPr>
          <w:color w:val="auto"/>
        </w:rPr>
      </w:pPr>
      <w:r>
        <w:rPr>
          <w:rFonts w:hint="eastAsia"/>
          <w:color w:val="auto"/>
        </w:rPr>
        <w:t>2.恶性肿瘤放化疗（含靶向治疗）、脑瘫康复等需要分疗程间段多次住院的特殊疾病患者，在同一医疗机构住院的，一个参保年度内只设一次起付线。</w:t>
      </w:r>
    </w:p>
    <w:p w14:paraId="1D6C9336">
      <w:pPr>
        <w:overflowPunct w:val="0"/>
        <w:spacing w:line="578" w:lineRule="exact"/>
        <w:ind w:firstLine="632" w:firstLineChars="200"/>
        <w:rPr>
          <w:color w:val="auto"/>
        </w:rPr>
      </w:pPr>
      <w:r>
        <w:rPr>
          <w:rFonts w:hint="eastAsia"/>
          <w:color w:val="auto"/>
        </w:rPr>
        <w:t>3.实行双向转诊的，免除上转首次及下转第二次住院起付线。</w:t>
      </w:r>
    </w:p>
    <w:p w14:paraId="324DD4F4">
      <w:pPr>
        <w:overflowPunct w:val="0"/>
        <w:spacing w:line="578" w:lineRule="exact"/>
        <w:ind w:firstLine="632" w:firstLineChars="200"/>
        <w:rPr>
          <w:color w:val="auto"/>
        </w:rPr>
      </w:pPr>
      <w:r>
        <w:rPr>
          <w:rFonts w:hint="eastAsia" w:ascii="楷体_GB2312" w:eastAsia="楷体_GB2312"/>
          <w:color w:val="auto"/>
          <w:kern w:val="32"/>
        </w:rPr>
        <w:t>（二）保底报销。</w:t>
      </w:r>
      <w:r>
        <w:rPr>
          <w:rFonts w:hint="eastAsia"/>
          <w:color w:val="auto"/>
          <w:kern w:val="32"/>
        </w:rPr>
        <w:t>住院发生的符合规定的医疗费用实行保底，</w:t>
      </w:r>
      <w:r>
        <w:rPr>
          <w:rFonts w:hint="eastAsia"/>
          <w:color w:val="auto"/>
        </w:rPr>
        <w:t>保底报销比例为45%。</w:t>
      </w:r>
    </w:p>
    <w:p w14:paraId="2C496EDA">
      <w:pPr>
        <w:overflowPunct w:val="0"/>
        <w:spacing w:line="578" w:lineRule="exact"/>
        <w:ind w:firstLine="632" w:firstLineChars="200"/>
        <w:rPr>
          <w:color w:val="auto"/>
        </w:rPr>
      </w:pPr>
      <w:r>
        <w:rPr>
          <w:rFonts w:hint="eastAsia" w:ascii="楷体_GB2312" w:eastAsia="楷体_GB2312"/>
          <w:color w:val="auto"/>
        </w:rPr>
        <w:t>（三）异地住院。</w:t>
      </w:r>
      <w:r>
        <w:rPr>
          <w:rFonts w:hint="eastAsia"/>
          <w:color w:val="auto"/>
        </w:rPr>
        <w:t>转诊到市外省内医疗机构治疗的，基金起付标准增加1倍、基金支付比例降低5个百分点；转诊到省外医疗机构治疗的，基金起付标准按当次住院总费用20%计算（不足2000元的按照2000元计算，最高不超过1万元）、基金支付比例60%。未办理转诊手续和不符合转诊条件个人申请异地就医的，基金支付比例、保底报销比例分别再降低1</w:t>
      </w:r>
      <w:r>
        <w:rPr>
          <w:color w:val="auto"/>
        </w:rPr>
        <w:t>0</w:t>
      </w:r>
      <w:r>
        <w:rPr>
          <w:rFonts w:hint="eastAsia"/>
          <w:color w:val="auto"/>
        </w:rPr>
        <w:t>个百分点。</w:t>
      </w:r>
    </w:p>
    <w:p w14:paraId="21D8F7FA">
      <w:pPr>
        <w:overflowPunct w:val="0"/>
        <w:spacing w:line="578" w:lineRule="exact"/>
        <w:ind w:firstLine="632" w:firstLineChars="200"/>
        <w:rPr>
          <w:color w:val="auto"/>
        </w:rPr>
      </w:pPr>
      <w:r>
        <w:rPr>
          <w:rFonts w:hint="eastAsia"/>
          <w:color w:val="auto"/>
        </w:rPr>
        <w:t>异地长期居住人员在备案地定点医疗机构治疗的，基金起付标准增加1倍、基金支付比例降低5个百分点。</w:t>
      </w:r>
    </w:p>
    <w:p w14:paraId="1EE0F0A5">
      <w:pPr>
        <w:overflowPunct w:val="0"/>
        <w:spacing w:line="578" w:lineRule="exact"/>
        <w:ind w:firstLine="632" w:firstLineChars="200"/>
        <w:rPr>
          <w:color w:val="auto"/>
        </w:rPr>
      </w:pPr>
      <w:r>
        <w:rPr>
          <w:rFonts w:hint="eastAsia"/>
          <w:color w:val="auto"/>
        </w:rPr>
        <w:t>参保大学生异地就医由高校负责办理备案手续，大学生放假、休学、外出社会实践活动等发生的异地住院医疗费用，按我市相应级别定点医疗机构医保支付标准执行。</w:t>
      </w:r>
    </w:p>
    <w:p w14:paraId="7C7BA484">
      <w:pPr>
        <w:overflowPunct w:val="0"/>
        <w:spacing w:line="578" w:lineRule="exact"/>
        <w:ind w:firstLine="632" w:firstLineChars="200"/>
        <w:rPr>
          <w:color w:val="auto"/>
        </w:rPr>
      </w:pPr>
      <w:r>
        <w:rPr>
          <w:rFonts w:hint="eastAsia" w:ascii="黑体" w:hAnsi="黑体" w:eastAsia="黑体"/>
          <w:color w:val="auto"/>
        </w:rPr>
        <w:t>第二十二条【其他待遇】</w:t>
      </w:r>
      <w:r>
        <w:rPr>
          <w:rFonts w:hint="eastAsia"/>
          <w:color w:val="auto"/>
        </w:rPr>
        <w:t xml:space="preserve"> 参保居民按规定享受下列其他待遇：</w:t>
      </w:r>
    </w:p>
    <w:p w14:paraId="080418BD">
      <w:pPr>
        <w:overflowPunct w:val="0"/>
        <w:spacing w:line="578" w:lineRule="exact"/>
        <w:ind w:firstLine="632" w:firstLineChars="200"/>
        <w:rPr>
          <w:color w:val="auto"/>
        </w:rPr>
      </w:pPr>
      <w:r>
        <w:rPr>
          <w:rFonts w:hint="eastAsia" w:ascii="楷体_GB2312" w:eastAsia="楷体_GB2312"/>
          <w:color w:val="auto"/>
        </w:rPr>
        <w:t>（一）住院分娩补助。</w:t>
      </w:r>
      <w:r>
        <w:rPr>
          <w:rFonts w:hint="eastAsia"/>
          <w:color w:val="auto"/>
        </w:rPr>
        <w:t>参保居民住院分娩发生的医疗费用定额补助1200元。参保居民妊娠期、分娩期发生并发症、合并症住院医疗费用，按照住院医保待遇执行，不再享受住院分娩定额补助。</w:t>
      </w:r>
    </w:p>
    <w:p w14:paraId="00B3D0E6">
      <w:pPr>
        <w:overflowPunct w:val="0"/>
        <w:spacing w:line="578" w:lineRule="exact"/>
        <w:ind w:firstLine="632" w:firstLineChars="200"/>
        <w:rPr>
          <w:color w:val="auto"/>
        </w:rPr>
      </w:pPr>
      <w:r>
        <w:rPr>
          <w:rFonts w:hint="eastAsia" w:ascii="楷体_GB2312" w:eastAsia="楷体_GB2312"/>
          <w:color w:val="auto"/>
        </w:rPr>
        <w:t>（二）残疾人配备辅助器具补助。</w:t>
      </w:r>
      <w:r>
        <w:rPr>
          <w:rFonts w:hint="eastAsia"/>
          <w:color w:val="auto"/>
        </w:rPr>
        <w:t>残疾人装配辅助器具按照装配费用的50%比例给予补助，补助周期五年。下肢残疾人装配下肢假肢，每具大腿假肢最高补助2000元，每具小腿假肢最高补助1000元；7周岁及以下听力障碍儿童配备助听器，每只最高补助3500元。符合规定的残疾人，凭残疾人证复印件、辅助器具装配单及发票在参保地经办机构办理补助手续。</w:t>
      </w:r>
    </w:p>
    <w:p w14:paraId="3436E118">
      <w:pPr>
        <w:overflowPunct w:val="0"/>
        <w:spacing w:line="578" w:lineRule="exact"/>
        <w:ind w:firstLine="632" w:firstLineChars="200"/>
        <w:rPr>
          <w:rFonts w:hint="eastAsia"/>
          <w:color w:val="auto"/>
        </w:rPr>
      </w:pPr>
      <w:r>
        <w:rPr>
          <w:rFonts w:hint="eastAsia" w:ascii="楷体_GB2312" w:eastAsia="楷体_GB2312"/>
          <w:color w:val="auto"/>
        </w:rPr>
        <w:t>（三）捐赠器官或组织手术。</w:t>
      </w:r>
      <w:r>
        <w:rPr>
          <w:rFonts w:hint="eastAsia" w:ascii="仿宋" w:eastAsia="仿宋" w:cs="仿宋"/>
          <w:color w:val="auto"/>
        </w:rPr>
        <w:t>参保居民捐赠器官或组织发生的住院医疗费用（不含器官源或组织源费用以及院外配型、检测检验、运输、储存等相关费用），按普通住院待遇支付。</w:t>
      </w:r>
    </w:p>
    <w:p w14:paraId="1F1CA15A">
      <w:pPr>
        <w:overflowPunct w:val="0"/>
        <w:spacing w:line="578" w:lineRule="exact"/>
        <w:ind w:firstLine="632" w:firstLineChars="200"/>
        <w:rPr>
          <w:color w:val="auto"/>
        </w:rPr>
      </w:pPr>
      <w:r>
        <w:rPr>
          <w:rFonts w:hint="eastAsia" w:ascii="楷体_GB2312" w:eastAsia="楷体_GB2312"/>
          <w:color w:val="auto"/>
        </w:rPr>
        <w:t>（四）医养结合待遇。</w:t>
      </w:r>
      <w:r>
        <w:rPr>
          <w:rFonts w:hint="eastAsia"/>
          <w:color w:val="auto"/>
        </w:rPr>
        <w:t>在长期护理保险制度实施前，继续执行医养结合医保支付政策。符合条件的参保人员在本市医养结合定点机构发生的住院医疗费用，按二级医疗机构住院起付标准、个人自付比例执行，一个年度计算一次起付标准。医保基金与定点机构实行床日费用限额标准下据实结算。</w:t>
      </w:r>
    </w:p>
    <w:p w14:paraId="0217B269">
      <w:pPr>
        <w:overflowPunct w:val="0"/>
        <w:spacing w:line="578" w:lineRule="exact"/>
        <w:jc w:val="center"/>
        <w:rPr>
          <w:rFonts w:ascii="黑体" w:hAnsi="黑体" w:eastAsia="黑体"/>
          <w:color w:val="auto"/>
          <w:sz w:val="36"/>
          <w:szCs w:val="24"/>
        </w:rPr>
      </w:pPr>
    </w:p>
    <w:p w14:paraId="69B7FBC1">
      <w:pPr>
        <w:overflowPunct w:val="0"/>
        <w:spacing w:line="578" w:lineRule="exact"/>
        <w:jc w:val="center"/>
        <w:rPr>
          <w:rFonts w:ascii="黑体" w:hAnsi="黑体" w:eastAsia="黑体"/>
          <w:color w:val="auto"/>
          <w:sz w:val="36"/>
          <w:szCs w:val="24"/>
        </w:rPr>
      </w:pPr>
      <w:r>
        <w:rPr>
          <w:rFonts w:hint="eastAsia" w:ascii="黑体" w:hAnsi="黑体" w:eastAsia="黑体"/>
          <w:color w:val="auto"/>
          <w:sz w:val="36"/>
          <w:szCs w:val="24"/>
        </w:rPr>
        <w:t>第五章 大病保险</w:t>
      </w:r>
    </w:p>
    <w:p w14:paraId="1D37BFF6">
      <w:pPr>
        <w:overflowPunct w:val="0"/>
        <w:spacing w:line="578" w:lineRule="exact"/>
        <w:ind w:firstLine="632" w:firstLineChars="200"/>
        <w:rPr>
          <w:color w:val="auto"/>
        </w:rPr>
      </w:pPr>
    </w:p>
    <w:p w14:paraId="3C045CC3">
      <w:pPr>
        <w:overflowPunct w:val="0"/>
        <w:spacing w:line="578" w:lineRule="exact"/>
        <w:ind w:firstLine="632" w:firstLineChars="200"/>
        <w:rPr>
          <w:color w:val="auto"/>
        </w:rPr>
      </w:pPr>
      <w:r>
        <w:rPr>
          <w:rFonts w:hint="eastAsia" w:ascii="黑体" w:hAnsi="黑体" w:eastAsia="黑体"/>
          <w:color w:val="auto"/>
        </w:rPr>
        <w:t>第二十三条【保障标准】</w:t>
      </w:r>
      <w:r>
        <w:rPr>
          <w:rFonts w:hint="eastAsia"/>
          <w:color w:val="auto"/>
        </w:rPr>
        <w:t xml:space="preserve"> 参保人员发生的合规医疗费用，大病保险基金按下列规定支付：</w:t>
      </w:r>
    </w:p>
    <w:p w14:paraId="4BFF2808">
      <w:pPr>
        <w:overflowPunct w:val="0"/>
        <w:spacing w:line="578" w:lineRule="exact"/>
        <w:ind w:firstLine="632" w:firstLineChars="200"/>
        <w:rPr>
          <w:color w:val="auto"/>
        </w:rPr>
      </w:pPr>
      <w:r>
        <w:rPr>
          <w:rFonts w:hint="eastAsia"/>
          <w:color w:val="auto"/>
        </w:rPr>
        <w:t>（一）起付标准为1.5万元；起付标准以上费用分段按比例支付，起付线以上（不含本数，下同）5万元以下（含本数，下同）基金支付比例60%、5万元以上10万元以下基金支付比例70%、10万元以上20万元以下基金支付比例75%、20万元以上基金支付比例85%。</w:t>
      </w:r>
    </w:p>
    <w:p w14:paraId="6CC12DD3">
      <w:pPr>
        <w:overflowPunct w:val="0"/>
        <w:spacing w:line="578" w:lineRule="exact"/>
        <w:ind w:firstLine="632" w:firstLineChars="200"/>
        <w:rPr>
          <w:color w:val="auto"/>
        </w:rPr>
      </w:pPr>
      <w:r>
        <w:rPr>
          <w:rFonts w:hint="eastAsia"/>
          <w:color w:val="auto"/>
        </w:rPr>
        <w:t>（二）特困人员、低保对象、返贫致贫人口等起付标准降低50%，分段支付比例分别提高5个百分点。</w:t>
      </w:r>
    </w:p>
    <w:p w14:paraId="1ADBA9BB">
      <w:pPr>
        <w:overflowPunct w:val="0"/>
        <w:spacing w:line="578" w:lineRule="exact"/>
        <w:ind w:firstLine="632" w:firstLineChars="200"/>
        <w:rPr>
          <w:color w:val="auto"/>
        </w:rPr>
      </w:pPr>
      <w:r>
        <w:rPr>
          <w:rFonts w:hint="eastAsia"/>
          <w:color w:val="auto"/>
        </w:rPr>
        <w:t>未办理转诊、不符合转诊条件个人申请异地就医的，分段支付比例分别降低10个百分点。</w:t>
      </w:r>
    </w:p>
    <w:p w14:paraId="1F38E454">
      <w:pPr>
        <w:overflowPunct w:val="0"/>
        <w:spacing w:line="578" w:lineRule="exact"/>
        <w:ind w:firstLine="632" w:firstLineChars="200"/>
        <w:rPr>
          <w:color w:val="auto"/>
        </w:rPr>
      </w:pPr>
      <w:r>
        <w:rPr>
          <w:rFonts w:hint="eastAsia" w:ascii="黑体" w:hAnsi="黑体" w:eastAsia="黑体"/>
          <w:color w:val="auto"/>
        </w:rPr>
        <w:t>第二十四条【保障范围】</w:t>
      </w:r>
      <w:r>
        <w:rPr>
          <w:rFonts w:hint="eastAsia" w:ascii="仿宋_GB2312" w:hAnsi="黑体"/>
          <w:color w:val="auto"/>
        </w:rPr>
        <w:t>大病保险实行负面清单制度，负面清单规定的内容、</w:t>
      </w:r>
      <w:r>
        <w:rPr>
          <w:rFonts w:hint="eastAsia"/>
          <w:color w:val="auto"/>
        </w:rPr>
        <w:t>住院和慢特病门诊医保基金起付标准等不纳入大病保险保障范围。</w:t>
      </w:r>
    </w:p>
    <w:p w14:paraId="58575E23">
      <w:pPr>
        <w:overflowPunct w:val="0"/>
        <w:spacing w:line="578" w:lineRule="exact"/>
        <w:ind w:firstLine="632" w:firstLineChars="200"/>
        <w:rPr>
          <w:color w:val="auto"/>
        </w:rPr>
      </w:pPr>
    </w:p>
    <w:p w14:paraId="5A3D48A0">
      <w:pPr>
        <w:overflowPunct w:val="0"/>
        <w:spacing w:line="578" w:lineRule="exact"/>
        <w:jc w:val="center"/>
        <w:rPr>
          <w:rFonts w:ascii="黑体" w:hAnsi="黑体" w:eastAsia="黑体"/>
          <w:color w:val="auto"/>
          <w:sz w:val="36"/>
          <w:szCs w:val="24"/>
        </w:rPr>
      </w:pPr>
      <w:r>
        <w:rPr>
          <w:rFonts w:hint="eastAsia" w:ascii="黑体" w:hAnsi="黑体" w:eastAsia="黑体"/>
          <w:color w:val="auto"/>
          <w:sz w:val="36"/>
          <w:szCs w:val="24"/>
        </w:rPr>
        <w:t>第六章  就医结算管理</w:t>
      </w:r>
    </w:p>
    <w:p w14:paraId="7C75C8A6">
      <w:pPr>
        <w:overflowPunct w:val="0"/>
        <w:spacing w:line="578" w:lineRule="exact"/>
        <w:ind w:firstLine="632" w:firstLineChars="200"/>
        <w:rPr>
          <w:color w:val="auto"/>
        </w:rPr>
      </w:pPr>
    </w:p>
    <w:p w14:paraId="4C64F830">
      <w:pPr>
        <w:overflowPunct w:val="0"/>
        <w:spacing w:line="578" w:lineRule="exact"/>
        <w:ind w:firstLine="632" w:firstLineChars="200"/>
        <w:rPr>
          <w:color w:val="auto"/>
        </w:rPr>
      </w:pPr>
      <w:r>
        <w:rPr>
          <w:rFonts w:hint="eastAsia" w:ascii="黑体" w:hAnsi="黑体" w:eastAsia="黑体"/>
          <w:color w:val="auto"/>
        </w:rPr>
        <w:t>第二十</w:t>
      </w:r>
      <w:r>
        <w:rPr>
          <w:rFonts w:hint="eastAsia" w:ascii="黑体" w:hAnsi="黑体" w:eastAsia="黑体"/>
          <w:color w:val="auto"/>
          <w:lang w:eastAsia="zh-CN"/>
        </w:rPr>
        <w:t>五</w:t>
      </w:r>
      <w:r>
        <w:rPr>
          <w:rFonts w:hint="eastAsia" w:ascii="黑体" w:hAnsi="黑体" w:eastAsia="黑体"/>
          <w:color w:val="auto"/>
        </w:rPr>
        <w:t>条 【本地就医结算】</w:t>
      </w:r>
      <w:r>
        <w:rPr>
          <w:rFonts w:hint="eastAsia"/>
          <w:color w:val="auto"/>
        </w:rPr>
        <w:t>定点医疗机构在实施联网结算的同时，应当按要求完整上传就医诊疗信息。无正当理由，不得让参保人员自费结算相关费用。</w:t>
      </w:r>
    </w:p>
    <w:p w14:paraId="104C3EAC">
      <w:pPr>
        <w:overflowPunct w:val="0"/>
        <w:spacing w:line="578" w:lineRule="exact"/>
        <w:ind w:firstLine="632" w:firstLineChars="200"/>
        <w:rPr>
          <w:color w:val="auto"/>
        </w:rPr>
      </w:pPr>
      <w:r>
        <w:rPr>
          <w:rFonts w:hint="eastAsia" w:ascii="黑体" w:hAnsi="黑体" w:eastAsia="黑体"/>
          <w:color w:val="auto"/>
        </w:rPr>
        <w:t>第二十</w:t>
      </w:r>
      <w:r>
        <w:rPr>
          <w:rFonts w:hint="eastAsia" w:ascii="黑体" w:hAnsi="黑体" w:eastAsia="黑体"/>
          <w:color w:val="auto"/>
          <w:lang w:eastAsia="zh-CN"/>
        </w:rPr>
        <w:t>六</w:t>
      </w:r>
      <w:r>
        <w:rPr>
          <w:rFonts w:hint="eastAsia" w:ascii="黑体" w:hAnsi="黑体" w:eastAsia="黑体"/>
          <w:color w:val="auto"/>
        </w:rPr>
        <w:t>条【就医地管理】</w:t>
      </w:r>
      <w:r>
        <w:rPr>
          <w:rFonts w:hint="eastAsia"/>
          <w:color w:val="auto"/>
        </w:rPr>
        <w:t xml:space="preserve"> 医保结算实行就医地管理。参保人员在市内跨县域医药机构的就医时发生的医疗费用，由就医地医保经办机构负责审核管理并先行垫付，医保结算年度结束后，进行年度清算。</w:t>
      </w:r>
    </w:p>
    <w:p w14:paraId="10B9B017">
      <w:pPr>
        <w:overflowPunct w:val="0"/>
        <w:spacing w:line="578" w:lineRule="exact"/>
        <w:ind w:firstLine="632" w:firstLineChars="200"/>
        <w:rPr>
          <w:color w:val="auto"/>
        </w:rPr>
      </w:pPr>
      <w:r>
        <w:rPr>
          <w:rFonts w:hint="eastAsia" w:ascii="黑体" w:hAnsi="黑体" w:eastAsia="黑体"/>
          <w:color w:val="auto"/>
        </w:rPr>
        <w:t>第二十</w:t>
      </w:r>
      <w:r>
        <w:rPr>
          <w:rFonts w:hint="eastAsia" w:ascii="黑体" w:hAnsi="黑体" w:eastAsia="黑体"/>
          <w:color w:val="auto"/>
          <w:lang w:eastAsia="zh-CN"/>
        </w:rPr>
        <w:t>七</w:t>
      </w:r>
      <w:r>
        <w:rPr>
          <w:rFonts w:hint="eastAsia" w:ascii="黑体" w:hAnsi="黑体" w:eastAsia="黑体"/>
          <w:color w:val="auto"/>
        </w:rPr>
        <w:t>条【意外伤害】</w:t>
      </w:r>
      <w:r>
        <w:rPr>
          <w:rFonts w:hint="eastAsia"/>
          <w:color w:val="auto"/>
        </w:rPr>
        <w:t>参保人员意外伤害住院，医疗机构应如实记录意外伤害经过，不属于或不能确定应当由第三方支付的，经参保人员签写承诺书后，医疗机构按医保政策报销结算；属于应当由第三方支付的，医保基金不予支付。</w:t>
      </w:r>
    </w:p>
    <w:p w14:paraId="4DAEBF62">
      <w:pPr>
        <w:overflowPunct w:val="0"/>
        <w:spacing w:line="578" w:lineRule="exact"/>
        <w:ind w:firstLine="632" w:firstLineChars="200"/>
        <w:rPr>
          <w:color w:val="auto"/>
        </w:rPr>
      </w:pPr>
      <w:r>
        <w:rPr>
          <w:rFonts w:hint="eastAsia" w:ascii="黑体" w:hAnsi="黑体" w:eastAsia="黑体"/>
          <w:color w:val="auto"/>
        </w:rPr>
        <w:t>第二十</w:t>
      </w:r>
      <w:r>
        <w:rPr>
          <w:rFonts w:hint="eastAsia" w:ascii="黑体" w:hAnsi="黑体" w:eastAsia="黑体"/>
          <w:color w:val="auto"/>
          <w:lang w:eastAsia="zh-CN"/>
        </w:rPr>
        <w:t>八</w:t>
      </w:r>
      <w:r>
        <w:rPr>
          <w:rFonts w:hint="eastAsia" w:ascii="黑体" w:hAnsi="黑体" w:eastAsia="黑体"/>
          <w:color w:val="auto"/>
        </w:rPr>
        <w:t>条【服务要求】</w:t>
      </w:r>
      <w:r>
        <w:rPr>
          <w:rFonts w:hint="eastAsia"/>
          <w:color w:val="auto"/>
        </w:rPr>
        <w:t xml:space="preserve"> 医药机构在提供医疗服务时遇到特殊情形，应当及时与本地医保经办机构联系，在医保经办机构指导下处理相关问题。医保经办机构不得推诿或拒不解决，医疗机构不得将参保人员直接推诿至医保经办机构。</w:t>
      </w:r>
    </w:p>
    <w:p w14:paraId="23F79692">
      <w:pPr>
        <w:overflowPunct w:val="0"/>
        <w:spacing w:line="578" w:lineRule="exact"/>
        <w:ind w:firstLine="632" w:firstLineChars="200"/>
        <w:rPr>
          <w:color w:val="auto"/>
        </w:rPr>
      </w:pPr>
      <w:r>
        <w:rPr>
          <w:rFonts w:hint="eastAsia" w:ascii="黑体" w:hAnsi="黑体" w:eastAsia="黑体"/>
          <w:color w:val="auto"/>
        </w:rPr>
        <w:t>第</w:t>
      </w:r>
      <w:r>
        <w:rPr>
          <w:rFonts w:hint="eastAsia" w:ascii="黑体" w:hAnsi="黑体" w:eastAsia="黑体"/>
          <w:color w:val="auto"/>
          <w:lang w:eastAsia="zh-CN"/>
        </w:rPr>
        <w:t>二十九</w:t>
      </w:r>
      <w:r>
        <w:rPr>
          <w:rFonts w:hint="eastAsia" w:ascii="黑体" w:hAnsi="黑体" w:eastAsia="黑体"/>
          <w:color w:val="auto"/>
        </w:rPr>
        <w:t>条【结算要求】</w:t>
      </w:r>
      <w:r>
        <w:rPr>
          <w:rFonts w:hint="eastAsia"/>
          <w:color w:val="auto"/>
        </w:rPr>
        <w:t xml:space="preserve"> 定点医疗机构提供医疗服务和就医结算过程应当遵守下列规定：</w:t>
      </w:r>
    </w:p>
    <w:p w14:paraId="0CAE3DCC">
      <w:pPr>
        <w:overflowPunct w:val="0"/>
        <w:spacing w:line="578" w:lineRule="exact"/>
        <w:ind w:firstLine="632" w:firstLineChars="200"/>
        <w:rPr>
          <w:color w:val="auto"/>
        </w:rPr>
      </w:pPr>
      <w:r>
        <w:rPr>
          <w:rFonts w:hint="eastAsia"/>
          <w:color w:val="auto"/>
        </w:rPr>
        <w:t>（一）设立专门的医疗保险管理部门和医疗保险窗口；</w:t>
      </w:r>
    </w:p>
    <w:p w14:paraId="0FBD78AB">
      <w:pPr>
        <w:overflowPunct w:val="0"/>
        <w:spacing w:line="578" w:lineRule="exact"/>
        <w:ind w:firstLine="632" w:firstLineChars="200"/>
        <w:rPr>
          <w:color w:val="auto"/>
        </w:rPr>
      </w:pPr>
      <w:r>
        <w:rPr>
          <w:rFonts w:hint="eastAsia"/>
          <w:color w:val="auto"/>
        </w:rPr>
        <w:t>（二）提供医疗费用日明细清单查询服务；</w:t>
      </w:r>
    </w:p>
    <w:p w14:paraId="693736A3">
      <w:pPr>
        <w:overflowPunct w:val="0"/>
        <w:spacing w:line="578" w:lineRule="exact"/>
        <w:ind w:firstLine="632" w:firstLineChars="200"/>
        <w:rPr>
          <w:color w:val="auto"/>
        </w:rPr>
      </w:pPr>
      <w:r>
        <w:rPr>
          <w:rFonts w:hint="eastAsia"/>
          <w:color w:val="auto"/>
        </w:rPr>
        <w:t>（三）使用医保部门统一规定的结算单。</w:t>
      </w:r>
    </w:p>
    <w:p w14:paraId="229C72E5">
      <w:pPr>
        <w:overflowPunct w:val="0"/>
        <w:spacing w:line="578" w:lineRule="exact"/>
        <w:ind w:firstLine="632" w:firstLineChars="200"/>
        <w:rPr>
          <w:color w:val="auto"/>
        </w:rPr>
      </w:pPr>
      <w:r>
        <w:rPr>
          <w:rFonts w:hint="eastAsia" w:ascii="黑体" w:hAnsi="黑体" w:eastAsia="黑体"/>
          <w:color w:val="auto"/>
        </w:rPr>
        <w:t>第三十条【诊疗行为】</w:t>
      </w:r>
      <w:r>
        <w:rPr>
          <w:rFonts w:hint="eastAsia"/>
          <w:color w:val="auto"/>
        </w:rPr>
        <w:t xml:space="preserve"> 定点医疗机构及其工作人员在提供医疗服务过程中，不得有下列行为：</w:t>
      </w:r>
    </w:p>
    <w:p w14:paraId="1934ECDF">
      <w:pPr>
        <w:overflowPunct w:val="0"/>
        <w:spacing w:line="578" w:lineRule="exact"/>
        <w:ind w:firstLine="632" w:firstLineChars="200"/>
        <w:rPr>
          <w:color w:val="auto"/>
        </w:rPr>
      </w:pPr>
      <w:r>
        <w:rPr>
          <w:rFonts w:hint="eastAsia"/>
          <w:color w:val="auto"/>
        </w:rPr>
        <w:t>（一）将不符合享受基本医疗保险待遇条件人员的医疗费用纳入基本医疗保险基金支付范围；</w:t>
      </w:r>
    </w:p>
    <w:p w14:paraId="1DAA124B">
      <w:pPr>
        <w:overflowPunct w:val="0"/>
        <w:spacing w:line="578" w:lineRule="exact"/>
        <w:ind w:firstLine="632" w:firstLineChars="200"/>
        <w:rPr>
          <w:color w:val="auto"/>
        </w:rPr>
      </w:pPr>
      <w:r>
        <w:rPr>
          <w:rFonts w:hint="eastAsia"/>
          <w:color w:val="auto"/>
        </w:rPr>
        <w:t>（二）将医疗保险基金支付范围外的费用纳入医疗保险基金支付范围，或让参保人员支付医疗保险基金支付范围内的费用；</w:t>
      </w:r>
    </w:p>
    <w:p w14:paraId="35BBA134">
      <w:pPr>
        <w:overflowPunct w:val="0"/>
        <w:spacing w:line="578" w:lineRule="exact"/>
        <w:ind w:firstLine="632" w:firstLineChars="200"/>
        <w:rPr>
          <w:color w:val="auto"/>
        </w:rPr>
      </w:pPr>
      <w:r>
        <w:rPr>
          <w:rFonts w:hint="eastAsia"/>
          <w:color w:val="auto"/>
        </w:rPr>
        <w:t>（三）违反临床诊疗技术常规，将未经门诊检查或者不符合住院指征的病人收治住院；</w:t>
      </w:r>
    </w:p>
    <w:p w14:paraId="60347274">
      <w:pPr>
        <w:overflowPunct w:val="0"/>
        <w:spacing w:line="578" w:lineRule="exact"/>
        <w:ind w:firstLine="632" w:firstLineChars="200"/>
        <w:rPr>
          <w:color w:val="auto"/>
        </w:rPr>
      </w:pPr>
      <w:r>
        <w:rPr>
          <w:rFonts w:hint="eastAsia"/>
          <w:color w:val="auto"/>
        </w:rPr>
        <w:t>（四）违反临床诊疗技术常规，将治疗周期内应当一次连续住院治疗过程分解为两次或者多次住院；</w:t>
      </w:r>
    </w:p>
    <w:p w14:paraId="1E9BF5E9">
      <w:pPr>
        <w:overflowPunct w:val="0"/>
        <w:spacing w:line="578" w:lineRule="exact"/>
        <w:ind w:firstLine="632" w:firstLineChars="200"/>
        <w:rPr>
          <w:color w:val="auto"/>
        </w:rPr>
      </w:pPr>
      <w:r>
        <w:rPr>
          <w:rFonts w:hint="eastAsia"/>
          <w:color w:val="auto"/>
        </w:rPr>
        <w:t>（五）通过任何变相手段减免或退返应当由个人支付的医疗费用；</w:t>
      </w:r>
    </w:p>
    <w:p w14:paraId="3DD6B2F3">
      <w:pPr>
        <w:overflowPunct w:val="0"/>
        <w:spacing w:line="578" w:lineRule="exact"/>
        <w:ind w:firstLine="632" w:firstLineChars="200"/>
        <w:rPr>
          <w:color w:val="auto"/>
        </w:rPr>
      </w:pPr>
      <w:r>
        <w:rPr>
          <w:rFonts w:hint="eastAsia"/>
          <w:color w:val="auto"/>
        </w:rPr>
        <w:t>（六）违反卫生行政主管部门制定的住院病人管理规定，已经办理了住院手续但允许病人不住院接受治疗；</w:t>
      </w:r>
    </w:p>
    <w:p w14:paraId="598A841F">
      <w:pPr>
        <w:overflowPunct w:val="0"/>
        <w:spacing w:line="578" w:lineRule="exact"/>
        <w:ind w:firstLine="632" w:firstLineChars="200"/>
        <w:rPr>
          <w:color w:val="auto"/>
        </w:rPr>
      </w:pPr>
      <w:r>
        <w:rPr>
          <w:rFonts w:hint="eastAsia"/>
          <w:color w:val="auto"/>
        </w:rPr>
        <w:t>（七）住院治疗过程中让患者自费到医疗机构以外的医药机构购买药品或进行检查；</w:t>
      </w:r>
    </w:p>
    <w:p w14:paraId="2E0FBFC2">
      <w:pPr>
        <w:overflowPunct w:val="0"/>
        <w:spacing w:line="578" w:lineRule="exact"/>
        <w:ind w:firstLine="632" w:firstLineChars="200"/>
        <w:rPr>
          <w:color w:val="auto"/>
        </w:rPr>
      </w:pPr>
      <w:r>
        <w:rPr>
          <w:rFonts w:hint="eastAsia"/>
          <w:color w:val="auto"/>
        </w:rPr>
        <w:t>（八）伪造医学文书、虚传医疗费用；</w:t>
      </w:r>
    </w:p>
    <w:p w14:paraId="255B179A">
      <w:pPr>
        <w:overflowPunct w:val="0"/>
        <w:spacing w:line="578" w:lineRule="exact"/>
        <w:ind w:firstLine="632" w:firstLineChars="200"/>
        <w:rPr>
          <w:color w:val="auto"/>
        </w:rPr>
      </w:pPr>
      <w:r>
        <w:rPr>
          <w:rFonts w:hint="eastAsia"/>
          <w:color w:val="auto"/>
        </w:rPr>
        <w:t>（九）医嘱与实际检查、治疗情况以及检查、治疗情况与病情不符；</w:t>
      </w:r>
    </w:p>
    <w:p w14:paraId="4AB1D511">
      <w:pPr>
        <w:overflowPunct w:val="0"/>
        <w:spacing w:line="578" w:lineRule="exact"/>
        <w:ind w:firstLine="632" w:firstLineChars="200"/>
        <w:rPr>
          <w:color w:val="auto"/>
        </w:rPr>
      </w:pPr>
      <w:r>
        <w:rPr>
          <w:rFonts w:hint="eastAsia"/>
          <w:color w:val="auto"/>
        </w:rPr>
        <w:t>（十）不核实参保人员身份冒名住院；</w:t>
      </w:r>
    </w:p>
    <w:p w14:paraId="216887EA">
      <w:pPr>
        <w:overflowPunct w:val="0"/>
        <w:spacing w:line="578" w:lineRule="exact"/>
        <w:ind w:firstLine="632" w:firstLineChars="200"/>
        <w:rPr>
          <w:color w:val="auto"/>
        </w:rPr>
      </w:pPr>
      <w:r>
        <w:rPr>
          <w:rFonts w:hint="eastAsia"/>
          <w:color w:val="auto"/>
        </w:rPr>
        <w:t>（十一）违反医疗收费价格管理规定；</w:t>
      </w:r>
    </w:p>
    <w:p w14:paraId="07FE52DE">
      <w:pPr>
        <w:overflowPunct w:val="0"/>
        <w:spacing w:line="578" w:lineRule="exact"/>
        <w:ind w:firstLine="632" w:firstLineChars="200"/>
        <w:rPr>
          <w:color w:val="auto"/>
        </w:rPr>
      </w:pPr>
      <w:r>
        <w:rPr>
          <w:rFonts w:hint="eastAsia"/>
          <w:color w:val="auto"/>
        </w:rPr>
        <w:t>（十二）为参保人员提供</w:t>
      </w:r>
      <w:r>
        <w:rPr>
          <w:rFonts w:hint="eastAsia"/>
          <w:color w:val="auto"/>
          <w:lang w:eastAsia="zh-CN"/>
        </w:rPr>
        <w:t>个人账户</w:t>
      </w:r>
      <w:r>
        <w:rPr>
          <w:rFonts w:hint="eastAsia"/>
          <w:color w:val="auto"/>
        </w:rPr>
        <w:t>变现；</w:t>
      </w:r>
    </w:p>
    <w:p w14:paraId="3905D32C">
      <w:pPr>
        <w:overflowPunct w:val="0"/>
        <w:spacing w:line="578" w:lineRule="exact"/>
        <w:ind w:firstLine="632" w:firstLineChars="200"/>
        <w:rPr>
          <w:color w:val="auto"/>
        </w:rPr>
      </w:pPr>
      <w:r>
        <w:rPr>
          <w:rFonts w:hint="eastAsia"/>
          <w:color w:val="auto"/>
        </w:rPr>
        <w:t>（十三）其他骗取或者套取医保基金的行为。</w:t>
      </w:r>
    </w:p>
    <w:p w14:paraId="112BC87A">
      <w:pPr>
        <w:overflowPunct w:val="0"/>
        <w:spacing w:line="578" w:lineRule="exact"/>
        <w:ind w:firstLine="632" w:firstLineChars="200"/>
        <w:rPr>
          <w:color w:val="auto"/>
        </w:rPr>
      </w:pPr>
      <w:r>
        <w:rPr>
          <w:rFonts w:hint="eastAsia" w:ascii="黑体" w:hAnsi="黑体" w:eastAsia="黑体"/>
          <w:color w:val="auto"/>
        </w:rPr>
        <w:t>第三十</w:t>
      </w:r>
      <w:r>
        <w:rPr>
          <w:rFonts w:hint="eastAsia" w:ascii="黑体" w:hAnsi="黑体" w:eastAsia="黑体"/>
          <w:color w:val="auto"/>
          <w:lang w:eastAsia="zh-CN"/>
        </w:rPr>
        <w:t>一</w:t>
      </w:r>
      <w:r>
        <w:rPr>
          <w:rFonts w:hint="eastAsia" w:ascii="黑体" w:hAnsi="黑体" w:eastAsia="黑体"/>
          <w:color w:val="auto"/>
        </w:rPr>
        <w:t>条【药店行为】</w:t>
      </w:r>
      <w:r>
        <w:rPr>
          <w:rFonts w:hint="eastAsia"/>
          <w:color w:val="auto"/>
        </w:rPr>
        <w:t xml:space="preserve"> 定点零售药店及其工作人员在提供医疗服务过程中，不得有下列行为：</w:t>
      </w:r>
    </w:p>
    <w:p w14:paraId="00DECB71">
      <w:pPr>
        <w:overflowPunct w:val="0"/>
        <w:spacing w:line="578" w:lineRule="exact"/>
        <w:ind w:firstLine="632" w:firstLineChars="200"/>
        <w:rPr>
          <w:color w:val="auto"/>
        </w:rPr>
      </w:pPr>
      <w:r>
        <w:rPr>
          <w:rFonts w:hint="eastAsia"/>
          <w:color w:val="auto"/>
        </w:rPr>
        <w:t>（一）不按处方规定配（售）药品；</w:t>
      </w:r>
    </w:p>
    <w:p w14:paraId="5A57447D">
      <w:pPr>
        <w:overflowPunct w:val="0"/>
        <w:spacing w:line="578" w:lineRule="exact"/>
        <w:ind w:firstLine="632" w:firstLineChars="200"/>
        <w:rPr>
          <w:color w:val="auto"/>
        </w:rPr>
      </w:pPr>
      <w:r>
        <w:rPr>
          <w:rFonts w:hint="eastAsia"/>
          <w:color w:val="auto"/>
        </w:rPr>
        <w:t>（二）将不属于医保</w:t>
      </w:r>
      <w:bookmarkStart w:id="0" w:name="_GoBack"/>
      <w:r>
        <w:rPr>
          <w:rFonts w:hint="eastAsia"/>
          <w:color w:val="auto"/>
        </w:rPr>
        <w:t>个人账户</w:t>
      </w:r>
      <w:bookmarkEnd w:id="0"/>
      <w:r>
        <w:rPr>
          <w:rFonts w:hint="eastAsia"/>
          <w:color w:val="auto"/>
        </w:rPr>
        <w:t>支付范围内的商品串换为医保个人账户支付范围内条目上传销售；</w:t>
      </w:r>
    </w:p>
    <w:p w14:paraId="33854BF2">
      <w:pPr>
        <w:overflowPunct w:val="0"/>
        <w:spacing w:line="578" w:lineRule="exact"/>
        <w:ind w:firstLine="632" w:firstLineChars="200"/>
        <w:rPr>
          <w:color w:val="auto"/>
        </w:rPr>
      </w:pPr>
      <w:r>
        <w:rPr>
          <w:rFonts w:hint="eastAsia"/>
          <w:color w:val="auto"/>
        </w:rPr>
        <w:t>（三）为参保人员提供</w:t>
      </w:r>
      <w:r>
        <w:rPr>
          <w:rFonts w:hint="eastAsia"/>
          <w:color w:val="auto"/>
          <w:lang w:eastAsia="zh-CN"/>
        </w:rPr>
        <w:t>个人账户</w:t>
      </w:r>
      <w:r>
        <w:rPr>
          <w:rFonts w:hint="eastAsia"/>
          <w:color w:val="auto"/>
        </w:rPr>
        <w:t>变现服务；</w:t>
      </w:r>
    </w:p>
    <w:p w14:paraId="5E1706D0">
      <w:pPr>
        <w:overflowPunct w:val="0"/>
        <w:spacing w:line="578" w:lineRule="exact"/>
        <w:ind w:firstLine="632" w:firstLineChars="200"/>
        <w:rPr>
          <w:color w:val="auto"/>
        </w:rPr>
      </w:pPr>
      <w:r>
        <w:rPr>
          <w:rFonts w:hint="eastAsia"/>
          <w:color w:val="auto"/>
        </w:rPr>
        <w:t>（四）将医保卡个人账户通过刷卡充值会员储值卡的行为；</w:t>
      </w:r>
    </w:p>
    <w:p w14:paraId="222E3CD5">
      <w:pPr>
        <w:overflowPunct w:val="0"/>
        <w:spacing w:line="578" w:lineRule="exact"/>
        <w:ind w:firstLine="632" w:firstLineChars="200"/>
        <w:rPr>
          <w:color w:val="auto"/>
        </w:rPr>
      </w:pPr>
      <w:r>
        <w:rPr>
          <w:rFonts w:hint="eastAsia"/>
          <w:color w:val="auto"/>
        </w:rPr>
        <w:t>（五）其他套取医保基金的行为。</w:t>
      </w:r>
    </w:p>
    <w:p w14:paraId="1725DE4A">
      <w:pPr>
        <w:overflowPunct w:val="0"/>
        <w:spacing w:line="578" w:lineRule="exact"/>
        <w:ind w:firstLine="632" w:firstLineChars="200"/>
        <w:rPr>
          <w:color w:val="auto"/>
        </w:rPr>
      </w:pPr>
      <w:r>
        <w:rPr>
          <w:rFonts w:ascii="黑体" w:hAnsi="黑体" w:eastAsia="黑体"/>
          <w:color w:val="auto"/>
        </w:rPr>
        <w:t>第三十</w:t>
      </w:r>
      <w:r>
        <w:rPr>
          <w:rFonts w:hint="eastAsia" w:ascii="黑体" w:hAnsi="黑体" w:eastAsia="黑体"/>
          <w:color w:val="auto"/>
          <w:lang w:eastAsia="zh-CN"/>
        </w:rPr>
        <w:t>二</w:t>
      </w:r>
      <w:r>
        <w:rPr>
          <w:rFonts w:ascii="黑体" w:hAnsi="黑体" w:eastAsia="黑体"/>
          <w:color w:val="auto"/>
        </w:rPr>
        <w:t>条</w:t>
      </w:r>
      <w:r>
        <w:rPr>
          <w:rFonts w:hint="eastAsia" w:ascii="黑体" w:hAnsi="黑体" w:eastAsia="黑体"/>
          <w:color w:val="auto"/>
        </w:rPr>
        <w:t>【个人行为】</w:t>
      </w:r>
      <w:r>
        <w:rPr>
          <w:rFonts w:hint="eastAsia"/>
          <w:color w:val="auto"/>
        </w:rPr>
        <w:t>参保人就医实行实名制管理。参保人应当持本人的有效医保凭证就医购药，主动出示并接受查验，不得将本人医保凭证转借或出租给他人使用。</w:t>
      </w:r>
    </w:p>
    <w:p w14:paraId="675D54E2">
      <w:pPr>
        <w:overflowPunct w:val="0"/>
        <w:spacing w:line="578" w:lineRule="exact"/>
        <w:ind w:firstLine="632" w:firstLineChars="200"/>
        <w:rPr>
          <w:color w:val="auto"/>
        </w:rPr>
      </w:pPr>
      <w:r>
        <w:rPr>
          <w:rFonts w:hint="eastAsia"/>
          <w:color w:val="auto"/>
        </w:rPr>
        <w:t>参保人员在就医过程中不得要求定点医疗机构及其工作人员超量开药、提供无关非必要检查等行为。不得伪造医疗票据、病历资料、套取药品、医用耗材倒买倒卖非法牟利等骗保行为。</w:t>
      </w:r>
    </w:p>
    <w:p w14:paraId="31A6B2DA">
      <w:pPr>
        <w:overflowPunct w:val="0"/>
        <w:spacing w:line="578" w:lineRule="exact"/>
        <w:ind w:firstLine="632" w:firstLineChars="200"/>
        <w:rPr>
          <w:color w:val="auto"/>
        </w:rPr>
      </w:pPr>
      <w:r>
        <w:rPr>
          <w:rFonts w:hint="eastAsia"/>
          <w:color w:val="auto"/>
        </w:rPr>
        <w:t>特殊情况如参保人员因行动不便等原因委托他人代其购药时，受托人需持本人有效身份证件及委托人医保凭证到定点医药机构办理并接受核验。</w:t>
      </w:r>
    </w:p>
    <w:p w14:paraId="2642F3E4">
      <w:pPr>
        <w:overflowPunct w:val="0"/>
        <w:spacing w:line="578" w:lineRule="exact"/>
        <w:jc w:val="center"/>
        <w:rPr>
          <w:rFonts w:ascii="黑体" w:hAnsi="黑体" w:eastAsia="黑体"/>
          <w:color w:val="auto"/>
          <w:sz w:val="36"/>
          <w:szCs w:val="24"/>
        </w:rPr>
      </w:pPr>
    </w:p>
    <w:p w14:paraId="7D498E34">
      <w:pPr>
        <w:overflowPunct w:val="0"/>
        <w:spacing w:line="578" w:lineRule="exact"/>
        <w:jc w:val="center"/>
        <w:rPr>
          <w:rFonts w:ascii="黑体" w:hAnsi="黑体" w:eastAsia="黑体"/>
          <w:color w:val="auto"/>
          <w:sz w:val="36"/>
          <w:szCs w:val="24"/>
        </w:rPr>
      </w:pPr>
      <w:r>
        <w:rPr>
          <w:rFonts w:hint="eastAsia" w:ascii="黑体" w:hAnsi="黑体" w:eastAsia="黑体"/>
          <w:color w:val="auto"/>
          <w:sz w:val="36"/>
          <w:szCs w:val="24"/>
        </w:rPr>
        <w:t>第七章 附 则</w:t>
      </w:r>
    </w:p>
    <w:p w14:paraId="30146A59">
      <w:pPr>
        <w:overflowPunct w:val="0"/>
        <w:spacing w:line="578" w:lineRule="exact"/>
        <w:ind w:firstLine="632" w:firstLineChars="200"/>
        <w:rPr>
          <w:color w:val="auto"/>
        </w:rPr>
      </w:pPr>
    </w:p>
    <w:p w14:paraId="1B479F1F">
      <w:pPr>
        <w:overflowPunct w:val="0"/>
        <w:spacing w:line="578" w:lineRule="exact"/>
        <w:ind w:firstLine="632" w:firstLineChars="200"/>
        <w:rPr>
          <w:color w:val="auto"/>
        </w:rPr>
      </w:pPr>
      <w:r>
        <w:rPr>
          <w:rFonts w:hint="eastAsia" w:ascii="黑体" w:hAnsi="黑体" w:eastAsia="黑体"/>
          <w:color w:val="auto"/>
        </w:rPr>
        <w:t>第三十</w:t>
      </w:r>
      <w:r>
        <w:rPr>
          <w:rFonts w:hint="eastAsia" w:ascii="黑体" w:hAnsi="黑体" w:eastAsia="黑体"/>
          <w:color w:val="auto"/>
          <w:lang w:eastAsia="zh-CN"/>
        </w:rPr>
        <w:t>三</w:t>
      </w:r>
      <w:r>
        <w:rPr>
          <w:rFonts w:hint="eastAsia" w:ascii="黑体" w:hAnsi="黑体" w:eastAsia="黑体"/>
          <w:color w:val="auto"/>
        </w:rPr>
        <w:t>条【医疗救助政策衔接】</w:t>
      </w:r>
      <w:r>
        <w:rPr>
          <w:rFonts w:hint="eastAsia"/>
          <w:color w:val="auto"/>
        </w:rPr>
        <w:t xml:space="preserve">  暂停征收职工医疗救助保险费，对《合肥市基本医疗保险办法》实施前欠缴的职工医疗救助保险费应予以清缴，拒不缴纳的，职工基本医疗保险年度支付限额为6万元，不享受大病保险待遇。</w:t>
      </w:r>
    </w:p>
    <w:p w14:paraId="5642351D">
      <w:pPr>
        <w:overflowPunct w:val="0"/>
        <w:spacing w:line="578" w:lineRule="exact"/>
        <w:ind w:firstLine="632" w:firstLineChars="200"/>
        <w:rPr>
          <w:rFonts w:ascii="仿宋_GB2312" w:hAnsi="黑体"/>
          <w:color w:val="auto"/>
        </w:rPr>
      </w:pPr>
      <w:r>
        <w:rPr>
          <w:rFonts w:hint="eastAsia" w:ascii="黑体" w:hAnsi="黑体" w:eastAsia="黑体"/>
          <w:color w:val="auto"/>
        </w:rPr>
        <w:t>第三十</w:t>
      </w:r>
      <w:r>
        <w:rPr>
          <w:rFonts w:hint="eastAsia" w:ascii="黑体" w:hAnsi="黑体" w:eastAsia="黑体"/>
          <w:color w:val="auto"/>
          <w:lang w:eastAsia="zh-CN"/>
        </w:rPr>
        <w:t>四</w:t>
      </w:r>
      <w:r>
        <w:rPr>
          <w:rFonts w:hint="eastAsia" w:ascii="黑体" w:hAnsi="黑体" w:eastAsia="黑体"/>
          <w:color w:val="auto"/>
        </w:rPr>
        <w:t>条 【参照住院待遇的情形】</w:t>
      </w:r>
      <w:r>
        <w:rPr>
          <w:rFonts w:hint="eastAsia" w:ascii="仿宋_GB2312" w:hAnsi="黑体"/>
          <w:color w:val="auto"/>
        </w:rPr>
        <w:t>参保人员在定点医疗机构发生的日间手术、日间放化疗、器官捐献手术等，纳入普通住院管理，由医保统筹基金按规定支付。</w:t>
      </w:r>
    </w:p>
    <w:p w14:paraId="407A60B3">
      <w:pPr>
        <w:overflowPunct w:val="0"/>
        <w:spacing w:line="578" w:lineRule="exact"/>
        <w:ind w:firstLine="632" w:firstLineChars="200"/>
        <w:rPr>
          <w:rFonts w:ascii="仿宋_GB2312" w:hAnsi="黑体"/>
          <w:color w:val="auto"/>
        </w:rPr>
      </w:pPr>
      <w:r>
        <w:rPr>
          <w:rFonts w:hint="eastAsia" w:ascii="黑体" w:hAnsi="黑体" w:eastAsia="黑体"/>
          <w:color w:val="auto"/>
        </w:rPr>
        <w:t>第三十</w:t>
      </w:r>
      <w:r>
        <w:rPr>
          <w:rFonts w:hint="eastAsia" w:ascii="黑体" w:hAnsi="黑体" w:eastAsia="黑体"/>
          <w:color w:val="auto"/>
          <w:lang w:eastAsia="zh-CN"/>
        </w:rPr>
        <w:t>五</w:t>
      </w:r>
      <w:r>
        <w:rPr>
          <w:rFonts w:hint="eastAsia" w:ascii="黑体" w:hAnsi="黑体" w:eastAsia="黑体"/>
          <w:color w:val="auto"/>
        </w:rPr>
        <w:t>条【特殊情形】</w:t>
      </w:r>
      <w:r>
        <w:rPr>
          <w:rFonts w:hint="eastAsia" w:ascii="仿宋_GB2312" w:hAnsi="黑体"/>
          <w:color w:val="auto"/>
        </w:rPr>
        <w:t>经办机构应当依法依规支付参保人员在定点医疗机构发生的医疗费用，为参保人员提供医保政策咨询。除急诊和抢救外，参保人员在非定点医疗机构就医发生的费用医疗保障基金不予支付。</w:t>
      </w:r>
    </w:p>
    <w:p w14:paraId="30F532F8">
      <w:pPr>
        <w:overflowPunct w:val="0"/>
        <w:spacing w:line="578" w:lineRule="exact"/>
        <w:ind w:firstLine="632" w:firstLineChars="200"/>
        <w:rPr>
          <w:color w:val="auto"/>
        </w:rPr>
      </w:pPr>
      <w:r>
        <w:rPr>
          <w:rFonts w:hint="eastAsia" w:ascii="黑体" w:hAnsi="黑体" w:eastAsia="黑体"/>
          <w:color w:val="auto"/>
        </w:rPr>
        <w:t>第三十</w:t>
      </w:r>
      <w:r>
        <w:rPr>
          <w:rFonts w:hint="eastAsia" w:ascii="黑体" w:hAnsi="黑体" w:eastAsia="黑体"/>
          <w:color w:val="auto"/>
          <w:lang w:eastAsia="zh-CN"/>
        </w:rPr>
        <w:t>六</w:t>
      </w:r>
      <w:r>
        <w:rPr>
          <w:rFonts w:hint="eastAsia" w:ascii="黑体" w:hAnsi="黑体" w:eastAsia="黑体"/>
          <w:color w:val="auto"/>
        </w:rPr>
        <w:t>条【先行支付】</w:t>
      </w:r>
      <w:r>
        <w:rPr>
          <w:rFonts w:hint="eastAsia"/>
          <w:color w:val="auto"/>
        </w:rPr>
        <w:t>医疗费用依法应当由第三人负担，第三人不支付或者无法确定第三人的，由基本医疗保险基金先行支付。</w:t>
      </w:r>
    </w:p>
    <w:p w14:paraId="138AD766">
      <w:pPr>
        <w:overflowPunct w:val="0"/>
        <w:spacing w:line="578" w:lineRule="exact"/>
        <w:ind w:firstLine="632" w:firstLineChars="200"/>
        <w:rPr>
          <w:color w:val="auto"/>
        </w:rPr>
      </w:pPr>
      <w:r>
        <w:rPr>
          <w:rFonts w:hint="eastAsia"/>
          <w:color w:val="auto"/>
        </w:rPr>
        <w:t>参保人员由于第三人的侵权行为造成伤病的，基本医疗保险基金支付超过第三人责任部分的医疗费用，及先行支付应当由第三人支付但第三人不支付或者无法确定第三人的医疗费用，依据《社会保险基金先行支付暂行规定》等有关规定执行。</w:t>
      </w:r>
    </w:p>
    <w:p w14:paraId="111694B3">
      <w:pPr>
        <w:overflowPunct w:val="0"/>
        <w:spacing w:line="578" w:lineRule="exact"/>
        <w:ind w:firstLine="632" w:firstLineChars="200"/>
        <w:rPr>
          <w:color w:val="auto"/>
        </w:rPr>
      </w:pPr>
      <w:r>
        <w:rPr>
          <w:rFonts w:hint="eastAsia"/>
          <w:color w:val="auto"/>
        </w:rPr>
        <w:t>第三人责任大小、第三人不支付医疗费用、无法确定第三人等情形，依据人民法院或者有关部门出具的可以证明相应情形的相关生效的法律文书等予以认定。基本医疗保险基金按责任比例先行支付后，有权向第三人追偿。</w:t>
      </w:r>
    </w:p>
    <w:p w14:paraId="478D55AF">
      <w:pPr>
        <w:overflowPunct w:val="0"/>
        <w:spacing w:line="578" w:lineRule="exact"/>
        <w:ind w:firstLine="632" w:firstLineChars="200"/>
        <w:rPr>
          <w:rFonts w:ascii="仿宋_GB2312" w:hAnsi="黑体"/>
          <w:color w:val="auto"/>
        </w:rPr>
      </w:pPr>
      <w:r>
        <w:rPr>
          <w:rFonts w:hint="eastAsia" w:ascii="黑体" w:hAnsi="黑体" w:eastAsia="黑体"/>
          <w:color w:val="auto"/>
        </w:rPr>
        <w:t>第三十</w:t>
      </w:r>
      <w:r>
        <w:rPr>
          <w:rFonts w:hint="eastAsia" w:ascii="黑体" w:hAnsi="黑体" w:eastAsia="黑体"/>
          <w:color w:val="auto"/>
          <w:lang w:eastAsia="zh-CN"/>
        </w:rPr>
        <w:t>七</w:t>
      </w:r>
      <w:r>
        <w:rPr>
          <w:rFonts w:hint="eastAsia" w:ascii="黑体" w:hAnsi="黑体" w:eastAsia="黑体"/>
          <w:color w:val="auto"/>
        </w:rPr>
        <w:t>条【配套办法】</w:t>
      </w:r>
      <w:r>
        <w:rPr>
          <w:rFonts w:hint="eastAsia" w:ascii="仿宋_GB2312" w:hAnsi="黑体"/>
          <w:color w:val="auto"/>
        </w:rPr>
        <w:t>本细则涉及的职工普通门诊统筹、慢性特病（含居民医保“两病”）、异地就医、医养结合等配套管理办法另行制定。</w:t>
      </w:r>
    </w:p>
    <w:p w14:paraId="609AAC6A">
      <w:pPr>
        <w:overflowPunct w:val="0"/>
        <w:spacing w:line="578" w:lineRule="exact"/>
        <w:ind w:firstLine="632" w:firstLineChars="200"/>
        <w:rPr>
          <w:rFonts w:ascii="黑体" w:hAnsi="黑体" w:eastAsia="黑体"/>
          <w:color w:val="auto"/>
        </w:rPr>
      </w:pPr>
      <w:r>
        <w:rPr>
          <w:rFonts w:hint="eastAsia" w:ascii="黑体" w:hAnsi="黑体" w:eastAsia="黑体"/>
          <w:color w:val="auto"/>
        </w:rPr>
        <w:t>第三十</w:t>
      </w:r>
      <w:r>
        <w:rPr>
          <w:rFonts w:hint="eastAsia" w:ascii="黑体" w:hAnsi="黑体" w:eastAsia="黑体"/>
          <w:color w:val="auto"/>
          <w:lang w:eastAsia="zh-CN"/>
        </w:rPr>
        <w:t>八</w:t>
      </w:r>
      <w:r>
        <w:rPr>
          <w:rFonts w:hint="eastAsia" w:ascii="黑体" w:hAnsi="黑体" w:eastAsia="黑体"/>
          <w:color w:val="auto"/>
        </w:rPr>
        <w:t>条【经办规程】</w:t>
      </w:r>
      <w:r>
        <w:rPr>
          <w:rFonts w:hint="eastAsia" w:ascii="仿宋_GB2312" w:hAnsi="黑体"/>
          <w:color w:val="auto"/>
        </w:rPr>
        <w:t>市医疗保险经办机构根据本细则及相关配套管理办法制定相关的业务经办规程，并指导各县（市）经办机构优化服务流程。</w:t>
      </w:r>
    </w:p>
    <w:p w14:paraId="353B6C4C">
      <w:pPr>
        <w:overflowPunct w:val="0"/>
        <w:spacing w:line="578" w:lineRule="exact"/>
        <w:ind w:firstLine="632" w:firstLineChars="200"/>
        <w:rPr>
          <w:color w:val="auto"/>
        </w:rPr>
      </w:pPr>
      <w:r>
        <w:rPr>
          <w:rFonts w:hint="eastAsia" w:ascii="黑体" w:hAnsi="黑体" w:eastAsia="黑体"/>
          <w:color w:val="auto"/>
        </w:rPr>
        <w:t>第</w:t>
      </w:r>
      <w:r>
        <w:rPr>
          <w:rFonts w:hint="eastAsia" w:ascii="黑体" w:hAnsi="黑体" w:eastAsia="黑体"/>
          <w:color w:val="auto"/>
          <w:lang w:eastAsia="zh-CN"/>
        </w:rPr>
        <w:t>三十九</w:t>
      </w:r>
      <w:r>
        <w:rPr>
          <w:rFonts w:hint="eastAsia" w:ascii="黑体" w:hAnsi="黑体" w:eastAsia="黑体"/>
          <w:color w:val="auto"/>
        </w:rPr>
        <w:t>条【解释权限】</w:t>
      </w:r>
      <w:r>
        <w:rPr>
          <w:rFonts w:hint="eastAsia"/>
          <w:color w:val="auto"/>
        </w:rPr>
        <w:t>本细则由市医疗保障局负责解释。各县（市）区、开发区在实施过程中遇到的问题，及时向市医疗保障局报告。</w:t>
      </w:r>
    </w:p>
    <w:p w14:paraId="307EEFD6">
      <w:pPr>
        <w:overflowPunct w:val="0"/>
        <w:spacing w:line="578" w:lineRule="exact"/>
        <w:ind w:firstLine="632" w:firstLineChars="200"/>
        <w:rPr>
          <w:color w:val="auto"/>
        </w:rPr>
      </w:pPr>
      <w:r>
        <w:rPr>
          <w:rFonts w:hint="eastAsia" w:ascii="黑体" w:hAnsi="黑体" w:eastAsia="黑体"/>
          <w:color w:val="auto"/>
        </w:rPr>
        <w:t>第四十条【施行日期】</w:t>
      </w:r>
      <w:r>
        <w:rPr>
          <w:rFonts w:hint="eastAsia"/>
          <w:color w:val="auto"/>
        </w:rPr>
        <w:t xml:space="preserve"> 本办法自2022年1月1日起施行。原相关政策规定与本细则不一致的，以本细则规定为准。国家、省有新规定的，从其规定。</w:t>
      </w:r>
    </w:p>
    <w:sectPr>
      <w:footerReference r:id="rId3" w:type="default"/>
      <w:pgSz w:w="11900" w:h="16840"/>
      <w:pgMar w:top="2098" w:right="1474" w:bottom="1985" w:left="1588" w:header="720" w:footer="720" w:gutter="0"/>
      <w:cols w:space="425" w:num="1"/>
      <w:docGrid w:type="linesAndChars" w:linePitch="579" w:charSpace="-89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5432204"/>
      <w:docPartObj>
        <w:docPartGallery w:val="autotext"/>
      </w:docPartObj>
    </w:sdtPr>
    <w:sdtContent>
      <w:p w14:paraId="070395FA">
        <w:pPr>
          <w:pStyle w:val="4"/>
          <w:jc w:val="center"/>
        </w:pPr>
        <w:r>
          <w:fldChar w:fldCharType="begin"/>
        </w:r>
        <w:r>
          <w:instrText xml:space="preserve">PAGE   \* MERGEFORMAT</w:instrText>
        </w:r>
        <w:r>
          <w:fldChar w:fldCharType="separate"/>
        </w:r>
        <w:r>
          <w:rPr>
            <w:lang w:val="zh-CN"/>
          </w:rPr>
          <w:t>2</w:t>
        </w:r>
        <w:r>
          <w:fldChar w:fldCharType="end"/>
        </w:r>
      </w:p>
    </w:sdtContent>
  </w:sdt>
  <w:p w14:paraId="333995DF">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58"/>
  <w:drawingGridVerticalSpacing w:val="57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E7B"/>
    <w:rsid w:val="00000277"/>
    <w:rsid w:val="00006E61"/>
    <w:rsid w:val="00011B9C"/>
    <w:rsid w:val="000215D8"/>
    <w:rsid w:val="00023A82"/>
    <w:rsid w:val="00023D4C"/>
    <w:rsid w:val="000253CF"/>
    <w:rsid w:val="000468D7"/>
    <w:rsid w:val="000469BD"/>
    <w:rsid w:val="0005038E"/>
    <w:rsid w:val="0005131A"/>
    <w:rsid w:val="00055475"/>
    <w:rsid w:val="00060612"/>
    <w:rsid w:val="00063E95"/>
    <w:rsid w:val="0006472F"/>
    <w:rsid w:val="00065C47"/>
    <w:rsid w:val="00067A9B"/>
    <w:rsid w:val="00067DEE"/>
    <w:rsid w:val="000758BB"/>
    <w:rsid w:val="00085FE7"/>
    <w:rsid w:val="000960BB"/>
    <w:rsid w:val="00096BDD"/>
    <w:rsid w:val="000A2BC8"/>
    <w:rsid w:val="000B45BB"/>
    <w:rsid w:val="000D0592"/>
    <w:rsid w:val="000D21B7"/>
    <w:rsid w:val="000D6AE5"/>
    <w:rsid w:val="000E6CA4"/>
    <w:rsid w:val="000E7005"/>
    <w:rsid w:val="000F16FA"/>
    <w:rsid w:val="000F4BFF"/>
    <w:rsid w:val="00102969"/>
    <w:rsid w:val="00107308"/>
    <w:rsid w:val="00107369"/>
    <w:rsid w:val="00107BB4"/>
    <w:rsid w:val="001120F8"/>
    <w:rsid w:val="00115096"/>
    <w:rsid w:val="001174C7"/>
    <w:rsid w:val="001176D2"/>
    <w:rsid w:val="00126827"/>
    <w:rsid w:val="00131A1E"/>
    <w:rsid w:val="0013405F"/>
    <w:rsid w:val="001340D6"/>
    <w:rsid w:val="001508A2"/>
    <w:rsid w:val="00151165"/>
    <w:rsid w:val="001608EC"/>
    <w:rsid w:val="0016622C"/>
    <w:rsid w:val="00170F85"/>
    <w:rsid w:val="001849B8"/>
    <w:rsid w:val="00184E4D"/>
    <w:rsid w:val="00193DDC"/>
    <w:rsid w:val="00194BE4"/>
    <w:rsid w:val="00195C38"/>
    <w:rsid w:val="00196C8F"/>
    <w:rsid w:val="001A172D"/>
    <w:rsid w:val="001A24F6"/>
    <w:rsid w:val="001A585C"/>
    <w:rsid w:val="001B4FC6"/>
    <w:rsid w:val="001C1E0A"/>
    <w:rsid w:val="001C4522"/>
    <w:rsid w:val="001D7B18"/>
    <w:rsid w:val="001E2817"/>
    <w:rsid w:val="001E686A"/>
    <w:rsid w:val="001F2F3C"/>
    <w:rsid w:val="001F5937"/>
    <w:rsid w:val="001F6966"/>
    <w:rsid w:val="0020371C"/>
    <w:rsid w:val="0020552A"/>
    <w:rsid w:val="00205E1A"/>
    <w:rsid w:val="0020757D"/>
    <w:rsid w:val="002127CF"/>
    <w:rsid w:val="00213234"/>
    <w:rsid w:val="00215105"/>
    <w:rsid w:val="00227BF7"/>
    <w:rsid w:val="00231846"/>
    <w:rsid w:val="00233096"/>
    <w:rsid w:val="00237970"/>
    <w:rsid w:val="00243882"/>
    <w:rsid w:val="002516E4"/>
    <w:rsid w:val="002571AE"/>
    <w:rsid w:val="00262DE6"/>
    <w:rsid w:val="0026416E"/>
    <w:rsid w:val="0028627C"/>
    <w:rsid w:val="00296AE5"/>
    <w:rsid w:val="002A14C5"/>
    <w:rsid w:val="002A221B"/>
    <w:rsid w:val="002A2FAE"/>
    <w:rsid w:val="002A7F9B"/>
    <w:rsid w:val="002C2EAA"/>
    <w:rsid w:val="002C44B0"/>
    <w:rsid w:val="002C6EE5"/>
    <w:rsid w:val="002C72A9"/>
    <w:rsid w:val="002D131E"/>
    <w:rsid w:val="002D166C"/>
    <w:rsid w:val="002D6295"/>
    <w:rsid w:val="002E3329"/>
    <w:rsid w:val="002E3F05"/>
    <w:rsid w:val="002E6B60"/>
    <w:rsid w:val="002E6B69"/>
    <w:rsid w:val="002E6D39"/>
    <w:rsid w:val="002F066A"/>
    <w:rsid w:val="002F4F7B"/>
    <w:rsid w:val="003072F2"/>
    <w:rsid w:val="00310F94"/>
    <w:rsid w:val="003124FF"/>
    <w:rsid w:val="003153FC"/>
    <w:rsid w:val="003165C9"/>
    <w:rsid w:val="0031680F"/>
    <w:rsid w:val="00323697"/>
    <w:rsid w:val="00331D32"/>
    <w:rsid w:val="00352707"/>
    <w:rsid w:val="00353219"/>
    <w:rsid w:val="00354E9D"/>
    <w:rsid w:val="00357F7D"/>
    <w:rsid w:val="00362DEE"/>
    <w:rsid w:val="00363C6E"/>
    <w:rsid w:val="00367401"/>
    <w:rsid w:val="00370D3B"/>
    <w:rsid w:val="00377DD3"/>
    <w:rsid w:val="00380E6A"/>
    <w:rsid w:val="003912A5"/>
    <w:rsid w:val="003961A4"/>
    <w:rsid w:val="00396937"/>
    <w:rsid w:val="003A0412"/>
    <w:rsid w:val="003B3AE9"/>
    <w:rsid w:val="003B79C9"/>
    <w:rsid w:val="003C04E3"/>
    <w:rsid w:val="003C0E7B"/>
    <w:rsid w:val="003C3B05"/>
    <w:rsid w:val="003C612D"/>
    <w:rsid w:val="003C6713"/>
    <w:rsid w:val="003D0B00"/>
    <w:rsid w:val="003D1169"/>
    <w:rsid w:val="003D1D66"/>
    <w:rsid w:val="003D34CA"/>
    <w:rsid w:val="003E110D"/>
    <w:rsid w:val="003E5F42"/>
    <w:rsid w:val="003F1515"/>
    <w:rsid w:val="003F4416"/>
    <w:rsid w:val="003F622B"/>
    <w:rsid w:val="0041124F"/>
    <w:rsid w:val="00416CED"/>
    <w:rsid w:val="00424787"/>
    <w:rsid w:val="004303E3"/>
    <w:rsid w:val="004558FC"/>
    <w:rsid w:val="0045593B"/>
    <w:rsid w:val="00456412"/>
    <w:rsid w:val="00463508"/>
    <w:rsid w:val="00464F63"/>
    <w:rsid w:val="0047159F"/>
    <w:rsid w:val="0047233A"/>
    <w:rsid w:val="0047254B"/>
    <w:rsid w:val="00473659"/>
    <w:rsid w:val="004759C1"/>
    <w:rsid w:val="00477B3F"/>
    <w:rsid w:val="00480059"/>
    <w:rsid w:val="004812E8"/>
    <w:rsid w:val="004C0AD6"/>
    <w:rsid w:val="004E0386"/>
    <w:rsid w:val="004E19C1"/>
    <w:rsid w:val="004E4A31"/>
    <w:rsid w:val="004E630E"/>
    <w:rsid w:val="004E6C3A"/>
    <w:rsid w:val="004F02BC"/>
    <w:rsid w:val="004F1169"/>
    <w:rsid w:val="00501077"/>
    <w:rsid w:val="00501E56"/>
    <w:rsid w:val="005044C1"/>
    <w:rsid w:val="00506576"/>
    <w:rsid w:val="005119AF"/>
    <w:rsid w:val="00520151"/>
    <w:rsid w:val="0052063F"/>
    <w:rsid w:val="00537102"/>
    <w:rsid w:val="00537FB8"/>
    <w:rsid w:val="00540B64"/>
    <w:rsid w:val="00545540"/>
    <w:rsid w:val="00555695"/>
    <w:rsid w:val="00575175"/>
    <w:rsid w:val="00584A86"/>
    <w:rsid w:val="00586DBC"/>
    <w:rsid w:val="005924AB"/>
    <w:rsid w:val="005A07E9"/>
    <w:rsid w:val="005A09AE"/>
    <w:rsid w:val="005A1EE6"/>
    <w:rsid w:val="005D0DD9"/>
    <w:rsid w:val="005D3A5F"/>
    <w:rsid w:val="005D4A46"/>
    <w:rsid w:val="005F4FC9"/>
    <w:rsid w:val="006075B0"/>
    <w:rsid w:val="006103A5"/>
    <w:rsid w:val="00623002"/>
    <w:rsid w:val="00625B30"/>
    <w:rsid w:val="00626AEB"/>
    <w:rsid w:val="00636212"/>
    <w:rsid w:val="00650180"/>
    <w:rsid w:val="00657744"/>
    <w:rsid w:val="00657864"/>
    <w:rsid w:val="00660099"/>
    <w:rsid w:val="00660683"/>
    <w:rsid w:val="006665B2"/>
    <w:rsid w:val="0067614E"/>
    <w:rsid w:val="0068413E"/>
    <w:rsid w:val="00684BF9"/>
    <w:rsid w:val="00694EA1"/>
    <w:rsid w:val="006A165B"/>
    <w:rsid w:val="006A7D21"/>
    <w:rsid w:val="006B0895"/>
    <w:rsid w:val="006B2114"/>
    <w:rsid w:val="006C03D3"/>
    <w:rsid w:val="006C3281"/>
    <w:rsid w:val="006D4268"/>
    <w:rsid w:val="006D43EE"/>
    <w:rsid w:val="006D4EC2"/>
    <w:rsid w:val="006E0E8B"/>
    <w:rsid w:val="006E36AA"/>
    <w:rsid w:val="006E77E9"/>
    <w:rsid w:val="006F1747"/>
    <w:rsid w:val="00700491"/>
    <w:rsid w:val="00702142"/>
    <w:rsid w:val="00711711"/>
    <w:rsid w:val="00716D8A"/>
    <w:rsid w:val="00717A3D"/>
    <w:rsid w:val="00720F6A"/>
    <w:rsid w:val="007325D6"/>
    <w:rsid w:val="0074250B"/>
    <w:rsid w:val="00751499"/>
    <w:rsid w:val="00764B19"/>
    <w:rsid w:val="007654D0"/>
    <w:rsid w:val="00770016"/>
    <w:rsid w:val="007815EC"/>
    <w:rsid w:val="00783C40"/>
    <w:rsid w:val="0079188A"/>
    <w:rsid w:val="007918BE"/>
    <w:rsid w:val="00792775"/>
    <w:rsid w:val="00793585"/>
    <w:rsid w:val="007939C6"/>
    <w:rsid w:val="00794949"/>
    <w:rsid w:val="00796EDE"/>
    <w:rsid w:val="007B1F52"/>
    <w:rsid w:val="007B4581"/>
    <w:rsid w:val="007B5847"/>
    <w:rsid w:val="007B6257"/>
    <w:rsid w:val="007C0BBA"/>
    <w:rsid w:val="007C1265"/>
    <w:rsid w:val="007C12E3"/>
    <w:rsid w:val="007C27AF"/>
    <w:rsid w:val="007C5F32"/>
    <w:rsid w:val="007D595F"/>
    <w:rsid w:val="007E183A"/>
    <w:rsid w:val="007E26C4"/>
    <w:rsid w:val="007E32B0"/>
    <w:rsid w:val="007E4671"/>
    <w:rsid w:val="007F2D53"/>
    <w:rsid w:val="007F4CAA"/>
    <w:rsid w:val="007F5785"/>
    <w:rsid w:val="00801C92"/>
    <w:rsid w:val="00806993"/>
    <w:rsid w:val="008208D6"/>
    <w:rsid w:val="00821A70"/>
    <w:rsid w:val="00834DB7"/>
    <w:rsid w:val="0083504B"/>
    <w:rsid w:val="00835587"/>
    <w:rsid w:val="00837790"/>
    <w:rsid w:val="008378B0"/>
    <w:rsid w:val="008409CF"/>
    <w:rsid w:val="0084367F"/>
    <w:rsid w:val="00844F09"/>
    <w:rsid w:val="008523B5"/>
    <w:rsid w:val="008536FA"/>
    <w:rsid w:val="00861F2E"/>
    <w:rsid w:val="00870D70"/>
    <w:rsid w:val="00873F57"/>
    <w:rsid w:val="00876FF4"/>
    <w:rsid w:val="008772D2"/>
    <w:rsid w:val="00884460"/>
    <w:rsid w:val="008867CD"/>
    <w:rsid w:val="008A11C3"/>
    <w:rsid w:val="008C0477"/>
    <w:rsid w:val="008C65CB"/>
    <w:rsid w:val="008C730C"/>
    <w:rsid w:val="008D11E3"/>
    <w:rsid w:val="008D5A99"/>
    <w:rsid w:val="008D7DE9"/>
    <w:rsid w:val="008E4A0B"/>
    <w:rsid w:val="00904B56"/>
    <w:rsid w:val="0091035C"/>
    <w:rsid w:val="00910760"/>
    <w:rsid w:val="00912E72"/>
    <w:rsid w:val="00912EDA"/>
    <w:rsid w:val="00913B3A"/>
    <w:rsid w:val="00917EEB"/>
    <w:rsid w:val="00924D5C"/>
    <w:rsid w:val="009273F1"/>
    <w:rsid w:val="00937CAE"/>
    <w:rsid w:val="0094083D"/>
    <w:rsid w:val="0094256F"/>
    <w:rsid w:val="00957046"/>
    <w:rsid w:val="0095787F"/>
    <w:rsid w:val="00964697"/>
    <w:rsid w:val="00966B4F"/>
    <w:rsid w:val="00967765"/>
    <w:rsid w:val="009726C5"/>
    <w:rsid w:val="00973FA7"/>
    <w:rsid w:val="00986A54"/>
    <w:rsid w:val="00987C75"/>
    <w:rsid w:val="009907E2"/>
    <w:rsid w:val="00992BF1"/>
    <w:rsid w:val="00996C78"/>
    <w:rsid w:val="009A4703"/>
    <w:rsid w:val="009A7231"/>
    <w:rsid w:val="009B281E"/>
    <w:rsid w:val="009C4B16"/>
    <w:rsid w:val="009D33CB"/>
    <w:rsid w:val="009D75C8"/>
    <w:rsid w:val="009E0A64"/>
    <w:rsid w:val="009E7B8D"/>
    <w:rsid w:val="009F10B1"/>
    <w:rsid w:val="009F1183"/>
    <w:rsid w:val="009F780D"/>
    <w:rsid w:val="00A02A8C"/>
    <w:rsid w:val="00A12722"/>
    <w:rsid w:val="00A13932"/>
    <w:rsid w:val="00A1492A"/>
    <w:rsid w:val="00A14DDA"/>
    <w:rsid w:val="00A24FA0"/>
    <w:rsid w:val="00A279F1"/>
    <w:rsid w:val="00A3298B"/>
    <w:rsid w:val="00A346FF"/>
    <w:rsid w:val="00A36E31"/>
    <w:rsid w:val="00A42506"/>
    <w:rsid w:val="00A52753"/>
    <w:rsid w:val="00A61F93"/>
    <w:rsid w:val="00A64D3E"/>
    <w:rsid w:val="00A73E53"/>
    <w:rsid w:val="00A97A74"/>
    <w:rsid w:val="00AA098E"/>
    <w:rsid w:val="00AA1D15"/>
    <w:rsid w:val="00AA53C7"/>
    <w:rsid w:val="00AA63B3"/>
    <w:rsid w:val="00AA6AEE"/>
    <w:rsid w:val="00AB2458"/>
    <w:rsid w:val="00AB66EC"/>
    <w:rsid w:val="00AC2632"/>
    <w:rsid w:val="00AC48BD"/>
    <w:rsid w:val="00AC53FC"/>
    <w:rsid w:val="00AC54E9"/>
    <w:rsid w:val="00AC5500"/>
    <w:rsid w:val="00AD1FDB"/>
    <w:rsid w:val="00AD514F"/>
    <w:rsid w:val="00AD517A"/>
    <w:rsid w:val="00AE24A0"/>
    <w:rsid w:val="00AF2CDA"/>
    <w:rsid w:val="00AF3308"/>
    <w:rsid w:val="00AF355D"/>
    <w:rsid w:val="00AF63C8"/>
    <w:rsid w:val="00AF658B"/>
    <w:rsid w:val="00B2638D"/>
    <w:rsid w:val="00B31E1D"/>
    <w:rsid w:val="00B37B7C"/>
    <w:rsid w:val="00B470F4"/>
    <w:rsid w:val="00B66226"/>
    <w:rsid w:val="00B71039"/>
    <w:rsid w:val="00B86562"/>
    <w:rsid w:val="00B9336B"/>
    <w:rsid w:val="00B9440E"/>
    <w:rsid w:val="00B97BAF"/>
    <w:rsid w:val="00B97E27"/>
    <w:rsid w:val="00BA07B4"/>
    <w:rsid w:val="00BA0917"/>
    <w:rsid w:val="00BA370F"/>
    <w:rsid w:val="00BA415E"/>
    <w:rsid w:val="00BA5709"/>
    <w:rsid w:val="00BD6EAD"/>
    <w:rsid w:val="00BD7CF4"/>
    <w:rsid w:val="00BE1AA9"/>
    <w:rsid w:val="00BE58E2"/>
    <w:rsid w:val="00BF64D4"/>
    <w:rsid w:val="00C00A6F"/>
    <w:rsid w:val="00C11284"/>
    <w:rsid w:val="00C301C1"/>
    <w:rsid w:val="00C314A5"/>
    <w:rsid w:val="00C361EA"/>
    <w:rsid w:val="00C468EF"/>
    <w:rsid w:val="00C47824"/>
    <w:rsid w:val="00C47E0E"/>
    <w:rsid w:val="00C51AE1"/>
    <w:rsid w:val="00C57D82"/>
    <w:rsid w:val="00C63413"/>
    <w:rsid w:val="00C649BC"/>
    <w:rsid w:val="00C746F6"/>
    <w:rsid w:val="00C77457"/>
    <w:rsid w:val="00C816F3"/>
    <w:rsid w:val="00C83A54"/>
    <w:rsid w:val="00C864AA"/>
    <w:rsid w:val="00C86A33"/>
    <w:rsid w:val="00C90B02"/>
    <w:rsid w:val="00C94AD9"/>
    <w:rsid w:val="00CA4C29"/>
    <w:rsid w:val="00CA74B3"/>
    <w:rsid w:val="00CD0673"/>
    <w:rsid w:val="00CD1D2E"/>
    <w:rsid w:val="00CD1FB7"/>
    <w:rsid w:val="00CE74A8"/>
    <w:rsid w:val="00CE7727"/>
    <w:rsid w:val="00CF1E2E"/>
    <w:rsid w:val="00CF42AB"/>
    <w:rsid w:val="00CF45BD"/>
    <w:rsid w:val="00CF7E37"/>
    <w:rsid w:val="00D062CB"/>
    <w:rsid w:val="00D124D2"/>
    <w:rsid w:val="00D139C4"/>
    <w:rsid w:val="00D14127"/>
    <w:rsid w:val="00D433FA"/>
    <w:rsid w:val="00D44ED5"/>
    <w:rsid w:val="00D51F94"/>
    <w:rsid w:val="00D71B5E"/>
    <w:rsid w:val="00D821C1"/>
    <w:rsid w:val="00D83279"/>
    <w:rsid w:val="00D85643"/>
    <w:rsid w:val="00D9445E"/>
    <w:rsid w:val="00DA32D9"/>
    <w:rsid w:val="00DA63FE"/>
    <w:rsid w:val="00DA7DE6"/>
    <w:rsid w:val="00DC73CD"/>
    <w:rsid w:val="00DD129A"/>
    <w:rsid w:val="00DD47A8"/>
    <w:rsid w:val="00DD4F6D"/>
    <w:rsid w:val="00DD5659"/>
    <w:rsid w:val="00DE65A7"/>
    <w:rsid w:val="00DE6D09"/>
    <w:rsid w:val="00DF2ABC"/>
    <w:rsid w:val="00E0249E"/>
    <w:rsid w:val="00E055FD"/>
    <w:rsid w:val="00E0639B"/>
    <w:rsid w:val="00E06FCD"/>
    <w:rsid w:val="00E1430A"/>
    <w:rsid w:val="00E14FFC"/>
    <w:rsid w:val="00E22286"/>
    <w:rsid w:val="00E3364E"/>
    <w:rsid w:val="00E3652C"/>
    <w:rsid w:val="00E401AE"/>
    <w:rsid w:val="00E664E3"/>
    <w:rsid w:val="00E80F00"/>
    <w:rsid w:val="00E8126B"/>
    <w:rsid w:val="00E929C9"/>
    <w:rsid w:val="00E95A20"/>
    <w:rsid w:val="00EA0EE4"/>
    <w:rsid w:val="00EA784F"/>
    <w:rsid w:val="00EB5334"/>
    <w:rsid w:val="00EB5691"/>
    <w:rsid w:val="00EB781F"/>
    <w:rsid w:val="00EC2A99"/>
    <w:rsid w:val="00EC3D64"/>
    <w:rsid w:val="00EC5866"/>
    <w:rsid w:val="00EC6856"/>
    <w:rsid w:val="00EC7B6A"/>
    <w:rsid w:val="00ED32A9"/>
    <w:rsid w:val="00ED47E2"/>
    <w:rsid w:val="00ED4A35"/>
    <w:rsid w:val="00ED7899"/>
    <w:rsid w:val="00EE22FF"/>
    <w:rsid w:val="00EE6281"/>
    <w:rsid w:val="00EE780B"/>
    <w:rsid w:val="00EE7F5E"/>
    <w:rsid w:val="00EF0E86"/>
    <w:rsid w:val="00EF11DC"/>
    <w:rsid w:val="00EF6934"/>
    <w:rsid w:val="00EF69DA"/>
    <w:rsid w:val="00F11881"/>
    <w:rsid w:val="00F20FD9"/>
    <w:rsid w:val="00F32B47"/>
    <w:rsid w:val="00F4599F"/>
    <w:rsid w:val="00F46776"/>
    <w:rsid w:val="00F559DD"/>
    <w:rsid w:val="00F60442"/>
    <w:rsid w:val="00F60EA7"/>
    <w:rsid w:val="00F63F41"/>
    <w:rsid w:val="00F72E66"/>
    <w:rsid w:val="00F74FBE"/>
    <w:rsid w:val="00F87658"/>
    <w:rsid w:val="00F90A37"/>
    <w:rsid w:val="00F9131F"/>
    <w:rsid w:val="00F965A2"/>
    <w:rsid w:val="00F9714C"/>
    <w:rsid w:val="00FA6B63"/>
    <w:rsid w:val="00FA7C40"/>
    <w:rsid w:val="00FB0636"/>
    <w:rsid w:val="00FB5FE1"/>
    <w:rsid w:val="00FC0E0C"/>
    <w:rsid w:val="00FC412F"/>
    <w:rsid w:val="00FC629C"/>
    <w:rsid w:val="00FC6E46"/>
    <w:rsid w:val="00FD1DAF"/>
    <w:rsid w:val="00FD2CB1"/>
    <w:rsid w:val="00FF78B8"/>
    <w:rsid w:val="00FF7BDC"/>
    <w:rsid w:val="24956B74"/>
    <w:rsid w:val="288C26C6"/>
    <w:rsid w:val="556139AE"/>
    <w:rsid w:val="77A61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3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link w:val="13"/>
    <w:unhideWhenUsed/>
    <w:uiPriority w:val="99"/>
    <w:pPr>
      <w:adjustRightInd w:val="0"/>
      <w:snapToGrid w:val="0"/>
      <w:spacing w:line="280" w:lineRule="exact"/>
    </w:pPr>
    <w:rPr>
      <w:rFonts w:ascii="Times New Roman" w:hAnsi="Times New Roman" w:eastAsia="宋体" w:cstheme="minorBidi"/>
      <w:snapToGrid w:val="0"/>
      <w:kern w:val="26"/>
      <w:sz w:val="26"/>
      <w:szCs w:val="32"/>
      <w:lang w:val="en-US" w:eastAsia="zh-CN" w:bidi="ar-SA"/>
    </w:rPr>
  </w:style>
  <w:style w:type="paragraph" w:styleId="3">
    <w:name w:val="Balloon Text"/>
    <w:basedOn w:val="1"/>
    <w:link w:val="15"/>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文字 字符"/>
    <w:basedOn w:val="8"/>
    <w:link w:val="2"/>
    <w:qFormat/>
    <w:uiPriority w:val="99"/>
    <w:rPr>
      <w:rFonts w:eastAsia="宋体"/>
      <w:snapToGrid w:val="0"/>
      <w:kern w:val="26"/>
      <w:sz w:val="26"/>
    </w:rPr>
  </w:style>
  <w:style w:type="character" w:customStyle="1" w:styleId="14">
    <w:name w:val="批注主题 字符"/>
    <w:basedOn w:val="13"/>
    <w:link w:val="6"/>
    <w:semiHidden/>
    <w:uiPriority w:val="99"/>
    <w:rPr>
      <w:rFonts w:eastAsia="宋体"/>
      <w:b/>
      <w:bCs/>
      <w:snapToGrid w:val="0"/>
      <w:kern w:val="26"/>
      <w:sz w:val="26"/>
    </w:rPr>
  </w:style>
  <w:style w:type="character" w:customStyle="1" w:styleId="15">
    <w:name w:val="批注框文本 字符"/>
    <w:basedOn w:val="8"/>
    <w:link w:val="3"/>
    <w:semiHidden/>
    <w:qFormat/>
    <w:uiPriority w:val="99"/>
    <w:rPr>
      <w:sz w:val="18"/>
      <w:szCs w:val="18"/>
    </w:rPr>
  </w:style>
  <w:style w:type="paragraph" w:styleId="16">
    <w:name w:val="Quote"/>
    <w:basedOn w:val="1"/>
    <w:next w:val="1"/>
    <w:link w:val="17"/>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7">
    <w:name w:val="引用 字符"/>
    <w:basedOn w:val="8"/>
    <w:link w:val="16"/>
    <w:qFormat/>
    <w:uiPriority w:val="29"/>
    <w:rPr>
      <w:i/>
      <w:iCs/>
      <w:color w:val="404040" w:themeColor="text1" w:themeTint="BF"/>
      <w14:textFill>
        <w14:solidFill>
          <w14:schemeClr w14:val="tx1">
            <w14:lumMod w14:val="75000"/>
            <w14:lumOff w14:val="25000"/>
          </w14:schemeClr>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2C578-D8D8-4841-80DF-A1E8D965684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8695</Words>
  <Characters>8883</Characters>
  <Lines>208</Lines>
  <Paragraphs>146</Paragraphs>
  <TotalTime>1251</TotalTime>
  <ScaleCrop>false</ScaleCrop>
  <LinksUpToDate>false</LinksUpToDate>
  <CharactersWithSpaces>8922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2021-09-10T09:01:00Z</dcterms:created>
  <dc:creator>bingz</dc:creator>
  <cp:lastModifiedBy>米格子花裙子</cp:lastModifiedBy>
  <dcterms:modified xsi:type="dcterms:W3CDTF">2025-02-19T01:26:09Z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eyJoZGlkIjoiMTlkNDNhOWVhODE3ZjNhMzhlZWQ3ZmJjYzVkMGYxNDgiLCJ1c2VySWQiOiI3NDIwNDIwODQifQ==</vt:lpwstr>
  </property>
  <property fmtid="{D5CDD505-2E9C-101B-9397-08002B2CF9AE}" pid="4" name="ICV">
    <vt:lpwstr>C05CCF79599D4DBC9576FA401739D596_12</vt:lpwstr>
  </property>
</Properties>
</file>