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F69BF">
      <w:pPr>
        <w:adjustRightInd w:val="0"/>
        <w:snapToGrid w:val="0"/>
        <w:spacing w:line="592" w:lineRule="exact"/>
        <w:jc w:val="center"/>
        <w:rPr>
          <w:rFonts w:eastAsia="方正小标宋简体"/>
          <w:color w:val="000000" w:themeColor="text1"/>
          <w:sz w:val="44"/>
          <w:szCs w:val="44"/>
          <w14:textFill>
            <w14:solidFill>
              <w14:schemeClr w14:val="tx1"/>
            </w14:solidFill>
          </w14:textFill>
        </w:rPr>
      </w:pPr>
      <w:bookmarkStart w:id="0" w:name="_GoBack"/>
      <w:r>
        <w:rPr>
          <w:rFonts w:eastAsia="方正小标宋简体"/>
          <w:color w:val="000000" w:themeColor="text1"/>
          <w:sz w:val="44"/>
          <w:szCs w:val="44"/>
          <w14:textFill>
            <w14:solidFill>
              <w14:schemeClr w14:val="tx1"/>
            </w14:solidFill>
          </w14:textFill>
        </w:rPr>
        <w:t>合肥市高水平孵化器建设实施方案</w:t>
      </w:r>
    </w:p>
    <w:p w14:paraId="396DFCED">
      <w:pPr>
        <w:adjustRightInd w:val="0"/>
        <w:snapToGrid w:val="0"/>
        <w:spacing w:line="592" w:lineRule="exact"/>
        <w:jc w:val="center"/>
        <w:rPr>
          <w:rFonts w:eastAsia="楷体_GB2312"/>
          <w:color w:val="000000" w:themeColor="text1"/>
          <w:sz w:val="32"/>
          <w:szCs w:val="32"/>
          <w14:textFill>
            <w14:solidFill>
              <w14:schemeClr w14:val="tx1"/>
            </w14:solidFill>
          </w14:textFill>
        </w:rPr>
      </w:pPr>
    </w:p>
    <w:p w14:paraId="2E58127E">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为进一步推动科技成果“三就地”，发挥孵化器在全过程创新、全要素集聚、全链条加速等方面的作用，助力硬科技企业培育和未来产业高质量发展，加快形成新质生产力，制定本实施方案。</w:t>
      </w:r>
    </w:p>
    <w:p w14:paraId="21CCB807">
      <w:pPr>
        <w:adjustRightInd w:val="0"/>
        <w:snapToGrid w:val="0"/>
        <w:spacing w:line="592"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一、总体要求</w:t>
      </w:r>
    </w:p>
    <w:p w14:paraId="55CD03E1">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（一）工作思路</w:t>
      </w:r>
    </w:p>
    <w:p w14:paraId="5293CAB0">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对标世界一流，以重点产业链强链、补链、延链为引领，以科技成果转化、科技招商为主线，打造一批高水平孵化器，推动科技创新与产业创新深度融合，带动全市孵化器从基础服务向专业服务、从集聚企业向孕育产业、从孵化链条向厚植生态转变。</w:t>
      </w:r>
    </w:p>
    <w:p w14:paraId="3A7B4F83">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（二）主要目标</w:t>
      </w:r>
    </w:p>
    <w:p w14:paraId="6BA76CC9">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到2029年，通过招引市外优秀孵化机构，提升本地孵化机构能级的方式，新培育不少于20家高水平孵化器，联动引育10000家科技型企业在肥落地，孵化1000家高新技术企业和10家上市企业，力争实现国家级孵化器县（市）区、开发区全覆盖，成为全市战新产业、未来产业强链、补链、延链的重要支撑。</w:t>
      </w:r>
    </w:p>
    <w:p w14:paraId="1F2B107B">
      <w:pPr>
        <w:adjustRightInd w:val="0"/>
        <w:snapToGrid w:val="0"/>
        <w:spacing w:line="592"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二、高水平孵化器建设条件</w:t>
      </w:r>
    </w:p>
    <w:p w14:paraId="02149B63">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（一）建设主体基础条件</w:t>
      </w:r>
    </w:p>
    <w:p w14:paraId="4C10A59D">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高水平孵化器建设主体应同时具备以下条件：</w:t>
      </w:r>
    </w:p>
    <w:p w14:paraId="2E510CC5">
      <w:pPr>
        <w:adjustRightInd w:val="0"/>
        <w:snapToGrid w:val="0"/>
        <w:spacing w:line="592" w:lineRule="exact"/>
        <w:ind w:firstLine="643"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1.具备专业视野。</w:t>
      </w:r>
      <w:r>
        <w:rPr>
          <w:rFonts w:eastAsia="仿宋_GB2312"/>
          <w:color w:val="000000" w:themeColor="text1"/>
          <w:sz w:val="32"/>
          <w:szCs w:val="32"/>
          <w14:textFill>
            <w14:solidFill>
              <w14:schemeClr w14:val="tx1"/>
            </w14:solidFill>
          </w14:textFill>
        </w:rPr>
        <w:t>聚焦新能源汽车、新一代信息技术、生物医药、量子信息、下一代人工智能等“6+5+X”战略性新兴产业和未来产业集群体系发展前沿方向和重大需求，特色鲜明，专业化程度高。</w:t>
      </w:r>
    </w:p>
    <w:p w14:paraId="329B8E61">
      <w:pPr>
        <w:adjustRightInd w:val="0"/>
        <w:snapToGrid w:val="0"/>
        <w:spacing w:line="592" w:lineRule="exact"/>
        <w:ind w:firstLine="643"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2.具备领军人物。</w:t>
      </w:r>
      <w:r>
        <w:rPr>
          <w:rFonts w:eastAsia="仿宋_GB2312"/>
          <w:color w:val="000000" w:themeColor="text1"/>
          <w:sz w:val="32"/>
          <w:szCs w:val="32"/>
          <w14:textFill>
            <w14:solidFill>
              <w14:schemeClr w14:val="tx1"/>
            </w14:solidFill>
          </w14:textFill>
        </w:rPr>
        <w:t>孵化器建设领军人物长期从事孵化、管理、投资等相关领域工作，熟悉技术创新特点、产业发展规律、投融资情况等，且具有较高的行业影响力和号召力。</w:t>
      </w:r>
    </w:p>
    <w:p w14:paraId="59408848">
      <w:pPr>
        <w:adjustRightInd w:val="0"/>
        <w:snapToGrid w:val="0"/>
        <w:spacing w:line="592" w:lineRule="exact"/>
        <w:ind w:firstLine="643"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3.具备投资能力。</w:t>
      </w:r>
      <w:r>
        <w:rPr>
          <w:rFonts w:eastAsia="仿宋_GB2312"/>
          <w:color w:val="000000" w:themeColor="text1"/>
          <w:sz w:val="32"/>
          <w:szCs w:val="32"/>
          <w14:textFill>
            <w14:solidFill>
              <w14:schemeClr w14:val="tx1"/>
            </w14:solidFill>
          </w14:textFill>
        </w:rPr>
        <w:t>具备管理运营基金的实际经验和能力。</w:t>
      </w:r>
    </w:p>
    <w:p w14:paraId="7CCCDF20">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（二）高水平孵化器“精准画像”</w:t>
      </w:r>
    </w:p>
    <w:p w14:paraId="19BA8530">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经过5年建设，高水平孵化器应达到以下要求：</w:t>
      </w:r>
    </w:p>
    <w:p w14:paraId="3A8F5EF7">
      <w:pPr>
        <w:adjustRightInd w:val="0"/>
        <w:snapToGrid w:val="0"/>
        <w:spacing w:line="592"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1.资源密集</w:t>
      </w:r>
    </w:p>
    <w:p w14:paraId="5F5B6AB1">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产业赋能能力强。专注1-2个产业领域，具备产业链上下游资源垂直整合能力的专业型孵化器。具备发现、筛选一批前沿性、颠覆性、关键核心、“卡脖子”技术和人才的能力。与产业链上下游企业、高校院所、科技服务机构等紧密合作，能提供专业化、品牌化的孵化服务，在孵化培育创新型科技企业方面具备丰富成效和经验。</w:t>
      </w:r>
    </w:p>
    <w:p w14:paraId="6E1A17B1">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孵投联动能力强。单独或与市科创投资基金、天使基金等政府基金，社会基金合作设立早期硬科技投资基金，基金应在建设期前2年内完成设立，总规模不低于5000万元，风险容忍度不低于50%。基金投向应为入孵企业，孵化器依协议约定或章程规定对基金投资项目具备一票否决权。入孵企业获得孵化器投资基金投资的总额不低于4000万元。</w:t>
      </w:r>
    </w:p>
    <w:p w14:paraId="7C509122">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企业服务能力强。搭建开放共享的专业技术服务平台，或与现有专业技术服务平台合作，可提供技术研发、概念验证、小试中试、检验检测等“硬”服务及高水平技术筛选、工业设计、创意设计、供应链和产业链资源链接等“软”服务，鼓励孵化器将服务资源向全市企业开放。从入孵企业中获取的服务收入不少于孵化器年度营收的10%或入孵企业获得服务比例不低于50%。</w:t>
      </w:r>
    </w:p>
    <w:p w14:paraId="4914248A">
      <w:pPr>
        <w:adjustRightInd w:val="0"/>
        <w:snapToGrid w:val="0"/>
        <w:spacing w:line="592" w:lineRule="exact"/>
        <w:ind w:firstLine="643" w:firstLineChars="200"/>
        <w:rPr>
          <w:rFonts w:eastAsia="仿宋_GB2312"/>
          <w:b/>
          <w:bCs/>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2.专业高产</w:t>
      </w:r>
    </w:p>
    <w:p w14:paraId="2953ED2C">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（1）必选指标：至少围绕专注领域引育企业60家，其中国家高企不低于30家、专精特新企业（包括专精特新中小企业和“小巨人”企业）不低于5家。</w:t>
      </w:r>
    </w:p>
    <w:p w14:paraId="6C3E9785">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（2）可选指标：1家企业上市或3家企业进入上市流程（若高水平孵化器建设之初未约定此可选指标，则资金和基金支持额度上限降低30%）。</w:t>
      </w:r>
    </w:p>
    <w:p w14:paraId="0CAE8101">
      <w:pPr>
        <w:adjustRightInd w:val="0"/>
        <w:snapToGrid w:val="0"/>
        <w:spacing w:line="592"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三、建设流程</w:t>
      </w:r>
    </w:p>
    <w:p w14:paraId="2A98EC1C">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（一）遴选推荐。</w:t>
      </w:r>
      <w:r>
        <w:rPr>
          <w:rFonts w:eastAsia="仿宋_GB2312"/>
          <w:color w:val="000000" w:themeColor="text1"/>
          <w:sz w:val="32"/>
          <w:szCs w:val="32"/>
          <w14:textFill>
            <w14:solidFill>
              <w14:schemeClr w14:val="tx1"/>
            </w14:solidFill>
          </w14:textFill>
        </w:rPr>
        <w:t>市科技局，县（市）区、开发区，科大硅谷公司可单独或联合作为推荐主体，对照高水平孵化器条件、重点建设任务、考核指标表（附件），与孵化器建设主体围绕建设目标、具体任务、支持政策等内容进行协商，形成高水平孵化器建设方案及合作协议。</w:t>
      </w:r>
    </w:p>
    <w:p w14:paraId="50F8E1AF">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（二）属地承接。</w:t>
      </w:r>
      <w:r>
        <w:rPr>
          <w:rFonts w:eastAsia="仿宋_GB2312"/>
          <w:color w:val="000000" w:themeColor="text1"/>
          <w:sz w:val="32"/>
          <w:szCs w:val="32"/>
          <w14:textFill>
            <w14:solidFill>
              <w14:schemeClr w14:val="tx1"/>
            </w14:solidFill>
          </w14:textFill>
        </w:rPr>
        <w:t>对非县（市）区、开发区推荐的高水平孵化器建设项目，</w:t>
      </w:r>
      <w:r>
        <w:rPr>
          <w:rFonts w:eastAsia="仿宋_GB2312"/>
          <w:color w:val="000000" w:themeColor="text1"/>
          <w:spacing w:val="-4"/>
          <w:sz w:val="32"/>
          <w:szCs w:val="32"/>
          <w14:textFill>
            <w14:solidFill>
              <w14:schemeClr w14:val="tx1"/>
            </w14:solidFill>
          </w14:textFill>
        </w:rPr>
        <w:t>根据产业契合度、落地及承接意愿等因素，提前摸排意向承接县区。</w:t>
      </w:r>
    </w:p>
    <w:p w14:paraId="31A8E21D">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（三）会商论证。</w:t>
      </w:r>
      <w:r>
        <w:rPr>
          <w:rFonts w:eastAsia="仿宋_GB2312"/>
          <w:color w:val="000000" w:themeColor="text1"/>
          <w:sz w:val="32"/>
          <w:szCs w:val="32"/>
          <w14:textFill>
            <w14:solidFill>
              <w14:schemeClr w14:val="tx1"/>
            </w14:solidFill>
          </w14:textFill>
        </w:rPr>
        <w:t>市科技局会同市产投集团下属市科创集团，县（市）区、开发区对高水平孵化器建设方案、合作协议开展论证，形成论证意见，提请市委科技委工作会议研究。</w:t>
      </w:r>
    </w:p>
    <w:p w14:paraId="540547F8">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（四）签约建设。</w:t>
      </w:r>
      <w:r>
        <w:rPr>
          <w:rFonts w:eastAsia="仿宋_GB2312"/>
          <w:color w:val="000000" w:themeColor="text1"/>
          <w:sz w:val="32"/>
          <w:szCs w:val="32"/>
          <w14:textFill>
            <w14:solidFill>
              <w14:schemeClr w14:val="tx1"/>
            </w14:solidFill>
          </w14:textFill>
        </w:rPr>
        <w:t>县（市）区、开发区与建设主体按照规定签约建设。签约完成后，将建设方案、论证意见、合作协议等材料统一报送市科技局，由市科技局纳入高水平孵化器建设布局。</w:t>
      </w:r>
    </w:p>
    <w:p w14:paraId="21BE6CDF">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（五）管理考核。</w:t>
      </w:r>
      <w:r>
        <w:rPr>
          <w:rFonts w:eastAsia="仿宋_GB2312"/>
          <w:color w:val="000000" w:themeColor="text1"/>
          <w:sz w:val="32"/>
          <w:szCs w:val="32"/>
          <w14:textFill>
            <w14:solidFill>
              <w14:schemeClr w14:val="tx1"/>
            </w14:solidFill>
          </w14:textFill>
        </w:rPr>
        <w:t>县（市）区、开发区会同市科技企业孵化协会持续做好高水平孵化器日常管理、绩效考核工作，定期向市科技局报送建设进展情况。</w:t>
      </w:r>
    </w:p>
    <w:p w14:paraId="67B0239A">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（六）相关要求</w:t>
      </w:r>
    </w:p>
    <w:p w14:paraId="1562929B">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高水平孵化器建设内容（指标等）一般不进行调整。如发生名称、场地位置、实际控制人等重大事项变更的情形，应提前</w:t>
      </w:r>
      <w:r>
        <w:rPr>
          <w:rFonts w:hint="eastAsia" w:eastAsia="仿宋_GB2312"/>
          <w:color w:val="000000" w:themeColor="text1"/>
          <w:sz w:val="32"/>
          <w:szCs w:val="32"/>
          <w14:textFill>
            <w14:solidFill>
              <w14:schemeClr w14:val="tx1"/>
            </w14:solidFill>
          </w14:textFill>
        </w:rPr>
        <w:t>1个月</w:t>
      </w:r>
      <w:r>
        <w:rPr>
          <w:rFonts w:eastAsia="仿宋_GB2312"/>
          <w:color w:val="000000" w:themeColor="text1"/>
          <w:sz w:val="32"/>
          <w:szCs w:val="32"/>
          <w14:textFill>
            <w14:solidFill>
              <w14:schemeClr w14:val="tx1"/>
            </w14:solidFill>
          </w14:textFill>
        </w:rPr>
        <w:t>向市科技局，县（市）区、开发区报告。</w:t>
      </w:r>
    </w:p>
    <w:p w14:paraId="618A529C">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高水平孵化器应当根据要求定期汇总孵化企业情况、孵化器经营情况、重要变动等信息数据，编制季度、年度报告并及时报送市科技局及县（市）区、开发区。高水平孵化器应当遵守国家法律法规和有关管理制度，持续提升运营能力，自觉接受专项审计、绩效评价。</w:t>
      </w:r>
    </w:p>
    <w:p w14:paraId="4D4212F1">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3.高水平孵化器存在违反法律法规、管理制度、合作协议、建设方案等的情形，应当依法依规以及合同约定追究其责任。</w:t>
      </w:r>
    </w:p>
    <w:p w14:paraId="56F5B8D8">
      <w:pPr>
        <w:adjustRightInd w:val="0"/>
        <w:snapToGrid w:val="0"/>
        <w:spacing w:line="592"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四、支持政策</w:t>
      </w:r>
    </w:p>
    <w:p w14:paraId="09CF93C8">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对每家纳入高水平孵化器建设布局的载体给予如下支持：</w:t>
      </w:r>
    </w:p>
    <w:p w14:paraId="0BFFBEC5">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（一）市级层面支持</w:t>
      </w:r>
    </w:p>
    <w:p w14:paraId="7D6B8688">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（1）市财政给予连续5年总计不超过3000万元经费支持，按照资金支持与参股基金支持各不超过1500万元标准安排，每年资金具体金额在合作协议中明确。</w:t>
      </w:r>
    </w:p>
    <w:p w14:paraId="0ADD147A">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（2）参股基金支持由市科创投资基金、市天使投资基金</w:t>
      </w:r>
      <w:r>
        <w:rPr>
          <w:rFonts w:hint="eastAsia" w:eastAsia="仿宋_GB2312"/>
          <w:color w:val="000000" w:themeColor="text1"/>
          <w:sz w:val="32"/>
          <w:szCs w:val="32"/>
          <w14:textFill>
            <w14:solidFill>
              <w14:schemeClr w14:val="tx1"/>
            </w14:solidFill>
          </w14:textFill>
        </w:rPr>
        <w:t>等</w:t>
      </w:r>
      <w:r>
        <w:rPr>
          <w:rFonts w:eastAsia="仿宋_GB2312"/>
          <w:color w:val="000000" w:themeColor="text1"/>
          <w:sz w:val="32"/>
          <w:szCs w:val="32"/>
          <w14:textFill>
            <w14:solidFill>
              <w14:schemeClr w14:val="tx1"/>
            </w14:solidFill>
          </w14:textFill>
        </w:rPr>
        <w:t>按照不超过孵化器设立基金规模50%参股。相关市级基金、孵化器建设主体应密切配合，按照要求完成基金设立。</w:t>
      </w:r>
    </w:p>
    <w:p w14:paraId="64EC52AE">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（3）各级财政资金包干使用。</w:t>
      </w:r>
    </w:p>
    <w:p w14:paraId="113A08BA">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（二）属地、科大硅谷层面支持</w:t>
      </w:r>
    </w:p>
    <w:p w14:paraId="18AC3C23">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县（市）区、开发区在市级支持政策基础上，结合实际给予高水平孵化器资金、政策、服务等要素支持，其中对市级资金</w:t>
      </w:r>
      <w:r>
        <w:rPr>
          <w:rFonts w:hint="eastAsia" w:eastAsia="仿宋_GB2312"/>
          <w:color w:val="000000" w:themeColor="text1"/>
          <w:sz w:val="32"/>
          <w:szCs w:val="32"/>
          <w14:textFill>
            <w14:solidFill>
              <w14:schemeClr w14:val="tx1"/>
            </w14:solidFill>
          </w14:textFill>
        </w:rPr>
        <w:t>支持</w:t>
      </w:r>
      <w:r>
        <w:rPr>
          <w:rFonts w:eastAsia="仿宋_GB2312"/>
          <w:color w:val="000000" w:themeColor="text1"/>
          <w:sz w:val="32"/>
          <w:szCs w:val="32"/>
          <w14:textFill>
            <w14:solidFill>
              <w14:schemeClr w14:val="tx1"/>
            </w14:solidFill>
          </w14:textFill>
        </w:rPr>
        <w:t>按1:1配套。纳入高水平孵化器建设布局的载体可直接纳入科大硅谷建设范围，依规定享受科大硅谷政策支持，按就高不重复原则执行。</w:t>
      </w:r>
    </w:p>
    <w:p w14:paraId="57F87014">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（三）建设主体自有资金投入</w:t>
      </w:r>
    </w:p>
    <w:p w14:paraId="6CD5A582">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在协议约定的建设期内，建设主体每年须以自有资金投入高水平孵化器建设（不含基金投入），投入额度应不低于各级财政资金支持额度。</w:t>
      </w:r>
    </w:p>
    <w:p w14:paraId="159D2E40">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（四）具体支持方式</w:t>
      </w:r>
    </w:p>
    <w:p w14:paraId="2BD2EFD3">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根据协议</w:t>
      </w:r>
      <w:r>
        <w:rPr>
          <w:rFonts w:hint="eastAsia" w:eastAsia="仿宋_GB2312"/>
          <w:color w:val="000000" w:themeColor="text1"/>
          <w:sz w:val="32"/>
          <w:szCs w:val="32"/>
          <w14:textFill>
            <w14:solidFill>
              <w14:schemeClr w14:val="tx1"/>
            </w14:solidFill>
          </w14:textFill>
        </w:rPr>
        <w:t>约定</w:t>
      </w:r>
      <w:r>
        <w:rPr>
          <w:rFonts w:eastAsia="仿宋_GB2312"/>
          <w:color w:val="000000" w:themeColor="text1"/>
          <w:sz w:val="32"/>
          <w:szCs w:val="32"/>
          <w14:textFill>
            <w14:solidFill>
              <w14:schemeClr w14:val="tx1"/>
            </w14:solidFill>
          </w14:textFill>
        </w:rPr>
        <w:t>确定资金支持</w:t>
      </w:r>
      <w:r>
        <w:rPr>
          <w:rFonts w:hint="eastAsia" w:eastAsia="仿宋_GB2312"/>
          <w:color w:val="000000" w:themeColor="text1"/>
          <w:sz w:val="32"/>
          <w:szCs w:val="32"/>
          <w14:textFill>
            <w14:solidFill>
              <w14:schemeClr w14:val="tx1"/>
            </w14:solidFill>
          </w14:textFill>
        </w:rPr>
        <w:t>方式和</w:t>
      </w:r>
      <w:r>
        <w:rPr>
          <w:rFonts w:eastAsia="仿宋_GB2312"/>
          <w:color w:val="000000" w:themeColor="text1"/>
          <w:sz w:val="32"/>
          <w:szCs w:val="32"/>
          <w14:textFill>
            <w14:solidFill>
              <w14:schemeClr w14:val="tx1"/>
            </w14:solidFill>
          </w14:textFill>
        </w:rPr>
        <w:t>力度</w:t>
      </w:r>
      <w:r>
        <w:rPr>
          <w:rFonts w:hint="eastAsia" w:eastAsia="仿宋_GB2312"/>
          <w:color w:val="000000" w:themeColor="text1"/>
          <w:sz w:val="32"/>
          <w:szCs w:val="32"/>
          <w14:textFill>
            <w14:solidFill>
              <w14:schemeClr w14:val="tx1"/>
            </w14:solidFill>
          </w14:textFill>
        </w:rPr>
        <w:t>，根据目标任务完成情况确定每年具体兑现金额。</w:t>
      </w:r>
    </w:p>
    <w:p w14:paraId="2AB4840B">
      <w:pPr>
        <w:adjustRightInd w:val="0"/>
        <w:snapToGrid w:val="0"/>
        <w:spacing w:line="592"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五、绩效评价</w:t>
      </w:r>
    </w:p>
    <w:p w14:paraId="68222E4F">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县（市）区、开发区会同市科技企业孵化协会等对高水平孵化器的建设运行情况进行年度绩效评价。具体包括：</w:t>
      </w:r>
    </w:p>
    <w:p w14:paraId="2B211AA9">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（一）评价原则。</w:t>
      </w:r>
      <w:r>
        <w:rPr>
          <w:rFonts w:eastAsia="仿宋_GB2312"/>
          <w:color w:val="000000" w:themeColor="text1"/>
          <w:sz w:val="32"/>
          <w:szCs w:val="32"/>
          <w14:textFill>
            <w14:solidFill>
              <w14:schemeClr w14:val="tx1"/>
            </w14:solidFill>
          </w14:textFill>
        </w:rPr>
        <w:t>根据协议约定指标，制定相应的评价方案并组织实施。</w:t>
      </w:r>
    </w:p>
    <w:p w14:paraId="33C4287C">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（二）评价程序。</w:t>
      </w:r>
      <w:r>
        <w:rPr>
          <w:rFonts w:eastAsia="仿宋_GB2312"/>
          <w:color w:val="000000" w:themeColor="text1"/>
          <w:sz w:val="32"/>
          <w:szCs w:val="32"/>
          <w14:textFill>
            <w14:solidFill>
              <w14:schemeClr w14:val="tx1"/>
            </w14:solidFill>
          </w14:textFill>
        </w:rPr>
        <w:t>高水平孵化器按要求提交年度绩效评价报告，相关县（市）区、开发区会同市科技企业孵化协会等开展绩效评价并向市科技局通报评价结果。</w:t>
      </w:r>
    </w:p>
    <w:p w14:paraId="04CA56F5">
      <w:pPr>
        <w:adjustRightInd w:val="0"/>
        <w:snapToGrid w:val="0"/>
        <w:spacing w:line="592" w:lineRule="exact"/>
        <w:ind w:firstLine="640" w:firstLineChars="200"/>
        <w:rPr>
          <w:rFonts w:eastAsia="楷体_GB2312"/>
          <w:bCs/>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（三）评价结果及运用</w:t>
      </w:r>
    </w:p>
    <w:p w14:paraId="4815AA45">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根据合同约定的年度指标综合得分情况，确定高水平孵化器年度评价等级，除控制项外不拘泥于单项指标是否达标。具体分为：</w:t>
      </w:r>
    </w:p>
    <w:p w14:paraId="76E21B5B">
      <w:pPr>
        <w:adjustRightInd w:val="0"/>
        <w:snapToGrid w:val="0"/>
        <w:spacing w:line="592" w:lineRule="exact"/>
        <w:ind w:firstLine="643"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1.继续支持</w:t>
      </w:r>
      <w:r>
        <w:rPr>
          <w:rFonts w:eastAsia="仿宋_GB2312"/>
          <w:color w:val="000000" w:themeColor="text1"/>
          <w:sz w:val="32"/>
          <w:szCs w:val="32"/>
          <w14:textFill>
            <w14:solidFill>
              <w14:schemeClr w14:val="tx1"/>
            </w14:solidFill>
          </w14:textFill>
        </w:rPr>
        <w:t>。得分≥70，按照实际完成百分比兑现当年度资金（实际兑现金额=年度资金×年度考核评分/100）；</w:t>
      </w:r>
    </w:p>
    <w:p w14:paraId="07E7C0AA">
      <w:pPr>
        <w:adjustRightInd w:val="0"/>
        <w:snapToGrid w:val="0"/>
        <w:spacing w:line="592" w:lineRule="exact"/>
        <w:ind w:firstLine="643" w:firstLineChars="200"/>
        <w:rPr>
          <w:rFonts w:eastAsia="仿宋_GB2312"/>
          <w:color w:val="000000" w:themeColor="text1"/>
          <w:sz w:val="32"/>
          <w:szCs w:val="32"/>
          <w14:textFill>
            <w14:solidFill>
              <w14:schemeClr w14:val="tx1"/>
            </w14:solidFill>
          </w14:textFill>
        </w:rPr>
      </w:pPr>
      <w:r>
        <w:rPr>
          <w:rFonts w:eastAsia="仿宋_GB2312"/>
          <w:b/>
          <w:bCs/>
          <w:color w:val="000000" w:themeColor="text1"/>
          <w:sz w:val="32"/>
          <w:szCs w:val="32"/>
          <w14:textFill>
            <w14:solidFill>
              <w14:schemeClr w14:val="tx1"/>
            </w14:solidFill>
          </w14:textFill>
        </w:rPr>
        <w:t>2.关注督导</w:t>
      </w:r>
      <w:r>
        <w:rPr>
          <w:rFonts w:eastAsia="仿宋_GB2312"/>
          <w:color w:val="000000" w:themeColor="text1"/>
          <w:sz w:val="32"/>
          <w:szCs w:val="32"/>
          <w14:textFill>
            <w14:solidFill>
              <w14:schemeClr w14:val="tx1"/>
            </w14:solidFill>
          </w14:textFill>
        </w:rPr>
        <w:t>。得分</w:t>
      </w:r>
      <w:r>
        <w:rPr>
          <w:rFonts w:eastAsia="方正书宋_GBK"/>
          <w:color w:val="000000" w:themeColor="text1"/>
          <w:sz w:val="32"/>
          <w:szCs w:val="32"/>
          <w14:textFill>
            <w14:solidFill>
              <w14:schemeClr w14:val="tx1"/>
            </w14:solidFill>
          </w14:textFill>
        </w:rPr>
        <w:t>&lt;</w:t>
      </w:r>
      <w:r>
        <w:rPr>
          <w:rFonts w:eastAsia="仿宋_GB2312"/>
          <w:color w:val="000000" w:themeColor="text1"/>
          <w:sz w:val="32"/>
          <w:szCs w:val="32"/>
          <w14:textFill>
            <w14:solidFill>
              <w14:schemeClr w14:val="tx1"/>
            </w14:solidFill>
          </w14:textFill>
        </w:rPr>
        <w:t>70，</w:t>
      </w:r>
      <w:r>
        <w:rPr>
          <w:rFonts w:hint="eastAsia" w:eastAsia="仿宋_GB2312"/>
          <w:color w:val="000000" w:themeColor="text1"/>
          <w:sz w:val="32"/>
          <w:szCs w:val="32"/>
          <w14:textFill>
            <w14:solidFill>
              <w14:schemeClr w14:val="tx1"/>
            </w14:solidFill>
          </w14:textFill>
        </w:rPr>
        <w:t>根据协议约定处理</w:t>
      </w:r>
      <w:r>
        <w:rPr>
          <w:rFonts w:eastAsia="仿宋_GB2312"/>
          <w:color w:val="000000" w:themeColor="text1"/>
          <w:sz w:val="32"/>
          <w:szCs w:val="32"/>
          <w14:textFill>
            <w14:solidFill>
              <w14:schemeClr w14:val="tx1"/>
            </w14:solidFill>
          </w14:textFill>
        </w:rPr>
        <w:t>。连续两年得分</w:t>
      </w:r>
      <w:r>
        <w:rPr>
          <w:rFonts w:eastAsia="方正书宋_GBK"/>
          <w:color w:val="000000" w:themeColor="text1"/>
          <w:sz w:val="32"/>
          <w:szCs w:val="32"/>
          <w14:textFill>
            <w14:solidFill>
              <w14:schemeClr w14:val="tx1"/>
            </w14:solidFill>
          </w14:textFill>
        </w:rPr>
        <w:t>&lt;</w:t>
      </w:r>
      <w:r>
        <w:rPr>
          <w:rFonts w:eastAsia="仿宋_GB2312"/>
          <w:color w:val="000000" w:themeColor="text1"/>
          <w:sz w:val="32"/>
          <w:szCs w:val="32"/>
          <w14:textFill>
            <w14:solidFill>
              <w14:schemeClr w14:val="tx1"/>
            </w14:solidFill>
          </w14:textFill>
        </w:rPr>
        <w:t>70的，退出高水平孵化器建设布局，依法解除建设协议。</w:t>
      </w:r>
    </w:p>
    <w:p w14:paraId="4189F72C">
      <w:pPr>
        <w:adjustRightInd w:val="0"/>
        <w:snapToGrid w:val="0"/>
        <w:spacing w:line="592"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六、保障措施</w:t>
      </w:r>
    </w:p>
    <w:p w14:paraId="29B8FB80">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（一）加强统筹推进。</w:t>
      </w:r>
      <w:r>
        <w:rPr>
          <w:rFonts w:eastAsia="仿宋_GB2312"/>
          <w:color w:val="000000" w:themeColor="text1"/>
          <w:sz w:val="32"/>
          <w:szCs w:val="32"/>
          <w14:textFill>
            <w14:solidFill>
              <w14:schemeClr w14:val="tx1"/>
            </w14:solidFill>
          </w14:textFill>
        </w:rPr>
        <w:t>由市委科技委统筹协调高水平孵化器建设各项工作，研究解决工作中遇到的困难和问题。市委科技委办公室（市科技局）负责牵头推进日常具体工作落实。各县（市）区、开发区以及市直有关部门、有关单位要根据本实施方案提出的总体目标和具体举措，结合自身工作任务和实际，制定具体工作方案，抓好有效落实。</w:t>
      </w:r>
    </w:p>
    <w:p w14:paraId="1CAB7B45">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（二）强化政策扶持。</w:t>
      </w:r>
      <w:r>
        <w:rPr>
          <w:rFonts w:eastAsia="仿宋_GB2312"/>
          <w:color w:val="000000" w:themeColor="text1"/>
          <w:sz w:val="32"/>
          <w:szCs w:val="32"/>
          <w14:textFill>
            <w14:solidFill>
              <w14:schemeClr w14:val="tx1"/>
            </w14:solidFill>
          </w14:textFill>
        </w:rPr>
        <w:t>市财政局要统筹资金支持高水平孵化器建设发展。各县（市）区、开发区要结合自身产业和资源特色，按照“一区一策”的原则，做好高水平孵化器建设工作。相关市属平台公司要围绕“硬核”技术、初创企业等，会同高水平孵化器创新开发股权、债权类金融产品和服务，降低硬科技企业融资成本。鼓励</w:t>
      </w:r>
      <w:r>
        <w:rPr>
          <w:rFonts w:eastAsia="仿宋_GB2312"/>
          <w:color w:val="000000" w:themeColor="text1"/>
          <w:spacing w:val="-4"/>
          <w:sz w:val="32"/>
          <w:szCs w:val="32"/>
          <w14:textFill>
            <w14:solidFill>
              <w14:schemeClr w14:val="tx1"/>
            </w14:solidFill>
          </w14:textFill>
        </w:rPr>
        <w:t>国资高水平孵化器创新模式，畅通利益共享机制，允许国有孵化团队或建设主体持股孵化，优化投资审批流程，试点退出与容错机制。</w:t>
      </w:r>
    </w:p>
    <w:p w14:paraId="68BD1056">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楷体_GB2312"/>
          <w:bCs/>
          <w:color w:val="000000" w:themeColor="text1"/>
          <w:sz w:val="32"/>
          <w:szCs w:val="32"/>
          <w14:textFill>
            <w14:solidFill>
              <w14:schemeClr w14:val="tx1"/>
            </w14:solidFill>
          </w14:textFill>
        </w:rPr>
        <w:t>（三）严格评估考核。</w:t>
      </w:r>
      <w:r>
        <w:rPr>
          <w:rFonts w:eastAsia="仿宋_GB2312"/>
          <w:color w:val="000000" w:themeColor="text1"/>
          <w:sz w:val="32"/>
          <w:szCs w:val="32"/>
          <w14:textFill>
            <w14:solidFill>
              <w14:schemeClr w14:val="tx1"/>
            </w14:solidFill>
          </w14:textFill>
        </w:rPr>
        <w:t>将高水平孵化器建设发展工作纳入年度科技创新工作考核指标体系，定期督查落实工作目标和任务完成情况并通报。</w:t>
      </w:r>
    </w:p>
    <w:p w14:paraId="5C469732">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本实施方案由市委科技委办公室（市科技局）负责解释，自202</w:t>
      </w:r>
      <w:r>
        <w:rPr>
          <w:rFonts w:hint="eastAsia"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日起施行，有效期5年。国家、省新出台有关规定，按照国家、省政策调整执行。</w:t>
      </w:r>
    </w:p>
    <w:p w14:paraId="0CDC0376">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p>
    <w:p w14:paraId="129C2306">
      <w:pPr>
        <w:adjustRightInd w:val="0"/>
        <w:snapToGrid w:val="0"/>
        <w:spacing w:line="59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附件：高水平孵化器考核指标表</w:t>
      </w:r>
    </w:p>
    <w:p w14:paraId="0F4C41D6">
      <w:pPr>
        <w:widowControl/>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br w:type="page"/>
      </w:r>
    </w:p>
    <w:p w14:paraId="23B9E576">
      <w:pPr>
        <w:widowControl/>
        <w:jc w:val="left"/>
        <w:rPr>
          <w:rFonts w:hint="eastAsia" w:eastAsia="仿宋_GB2312"/>
          <w:color w:val="000000" w:themeColor="text1"/>
          <w:sz w:val="32"/>
          <w:szCs w:val="32"/>
          <w14:textFill>
            <w14:solidFill>
              <w14:schemeClr w14:val="tx1"/>
            </w14:solidFill>
          </w14:textFill>
        </w:rPr>
        <w:sectPr>
          <w:footerReference r:id="rId3" w:type="default"/>
          <w:pgSz w:w="11906" w:h="16838"/>
          <w:pgMar w:top="1871" w:right="1503" w:bottom="1871" w:left="1503" w:header="851" w:footer="1644" w:gutter="0"/>
          <w:cols w:space="0" w:num="1"/>
          <w:docGrid w:type="lines" w:linePitch="312" w:charSpace="0"/>
        </w:sectPr>
      </w:pPr>
    </w:p>
    <w:p w14:paraId="56CE5354">
      <w:pPr>
        <w:widowControl/>
        <w:jc w:val="lef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p>
    <w:p w14:paraId="3F016C0D">
      <w:pPr>
        <w:widowControl/>
        <w:jc w:val="center"/>
        <w:rPr>
          <w:rFonts w:eastAsia="方正小标宋简体"/>
          <w:bCs/>
          <w:color w:val="000000" w:themeColor="text1"/>
          <w:sz w:val="44"/>
          <w:szCs w:val="44"/>
          <w14:textFill>
            <w14:solidFill>
              <w14:schemeClr w14:val="tx1"/>
            </w14:solidFill>
          </w14:textFill>
        </w:rPr>
      </w:pPr>
      <w:r>
        <w:rPr>
          <w:rFonts w:eastAsia="方正小标宋简体"/>
          <w:bCs/>
          <w:color w:val="000000" w:themeColor="text1"/>
          <w:sz w:val="44"/>
          <w:szCs w:val="44"/>
          <w14:textFill>
            <w14:solidFill>
              <w14:schemeClr w14:val="tx1"/>
            </w14:solidFill>
          </w14:textFill>
        </w:rPr>
        <w:t>高水平孵化器考核指标表</w:t>
      </w:r>
    </w:p>
    <w:p w14:paraId="0112E138">
      <w:pPr>
        <w:spacing w:line="56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下表为高水平孵化器考核样表，分项指标（分数）可根据实际情况在协议中调整。</w:t>
      </w:r>
    </w:p>
    <w:tbl>
      <w:tblPr>
        <w:tblStyle w:val="10"/>
        <w:tblW w:w="13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6152"/>
        <w:gridCol w:w="2199"/>
        <w:gridCol w:w="3792"/>
      </w:tblGrid>
      <w:tr w14:paraId="3268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244" w:type="dxa"/>
            <w:shd w:val="clear" w:color="auto" w:fill="auto"/>
            <w:vAlign w:val="center"/>
          </w:tcPr>
          <w:p w14:paraId="17A7E0AC">
            <w:pPr>
              <w:spacing w:line="300" w:lineRule="exact"/>
              <w:jc w:val="center"/>
              <w:rPr>
                <w:rFonts w:eastAsia="方正黑体_GBK"/>
                <w:color w:val="000000" w:themeColor="text1"/>
                <w:sz w:val="24"/>
                <w14:textFill>
                  <w14:solidFill>
                    <w14:schemeClr w14:val="tx1"/>
                  </w14:solidFill>
                </w14:textFill>
              </w:rPr>
            </w:pPr>
            <w:r>
              <w:rPr>
                <w:rFonts w:eastAsia="方正黑体_GBK"/>
                <w:color w:val="000000" w:themeColor="text1"/>
                <w:sz w:val="24"/>
                <w14:textFill>
                  <w14:solidFill>
                    <w14:schemeClr w14:val="tx1"/>
                  </w14:solidFill>
                </w14:textFill>
              </w:rPr>
              <w:t>考核项目</w:t>
            </w:r>
          </w:p>
        </w:tc>
        <w:tc>
          <w:tcPr>
            <w:tcW w:w="6152" w:type="dxa"/>
            <w:shd w:val="clear" w:color="auto" w:fill="auto"/>
            <w:vAlign w:val="center"/>
          </w:tcPr>
          <w:p w14:paraId="3F54A60F">
            <w:pPr>
              <w:spacing w:line="300" w:lineRule="exact"/>
              <w:jc w:val="center"/>
              <w:rPr>
                <w:rFonts w:eastAsia="方正黑体_GBK"/>
                <w:color w:val="000000" w:themeColor="text1"/>
                <w:sz w:val="24"/>
                <w14:textFill>
                  <w14:solidFill>
                    <w14:schemeClr w14:val="tx1"/>
                  </w14:solidFill>
                </w14:textFill>
              </w:rPr>
            </w:pPr>
            <w:r>
              <w:rPr>
                <w:rFonts w:eastAsia="方正黑体_GBK"/>
                <w:color w:val="000000" w:themeColor="text1"/>
                <w:sz w:val="24"/>
                <w14:textFill>
                  <w14:solidFill>
                    <w14:schemeClr w14:val="tx1"/>
                  </w14:solidFill>
                </w14:textFill>
              </w:rPr>
              <w:t>指    标</w:t>
            </w:r>
          </w:p>
        </w:tc>
        <w:tc>
          <w:tcPr>
            <w:tcW w:w="2199" w:type="dxa"/>
            <w:shd w:val="clear" w:color="auto" w:fill="auto"/>
            <w:vAlign w:val="center"/>
          </w:tcPr>
          <w:p w14:paraId="7B6F9060">
            <w:pPr>
              <w:spacing w:line="300" w:lineRule="exact"/>
              <w:jc w:val="center"/>
              <w:rPr>
                <w:rFonts w:eastAsia="方正黑体_GBK"/>
                <w:color w:val="000000" w:themeColor="text1"/>
                <w:sz w:val="24"/>
                <w14:textFill>
                  <w14:solidFill>
                    <w14:schemeClr w14:val="tx1"/>
                  </w14:solidFill>
                </w14:textFill>
              </w:rPr>
            </w:pPr>
            <w:r>
              <w:rPr>
                <w:rFonts w:eastAsia="方正黑体_GBK"/>
                <w:color w:val="000000" w:themeColor="text1"/>
                <w:sz w:val="24"/>
                <w14:textFill>
                  <w14:solidFill>
                    <w14:schemeClr w14:val="tx1"/>
                  </w14:solidFill>
                </w14:textFill>
              </w:rPr>
              <w:t>分  值</w:t>
            </w:r>
          </w:p>
        </w:tc>
        <w:tc>
          <w:tcPr>
            <w:tcW w:w="3792" w:type="dxa"/>
            <w:shd w:val="clear" w:color="auto" w:fill="auto"/>
            <w:vAlign w:val="center"/>
          </w:tcPr>
          <w:p w14:paraId="032B1D6E">
            <w:pPr>
              <w:spacing w:line="300" w:lineRule="exact"/>
              <w:jc w:val="center"/>
              <w:rPr>
                <w:rFonts w:eastAsia="方正黑体_GBK"/>
                <w:color w:val="000000" w:themeColor="text1"/>
                <w:sz w:val="24"/>
                <w14:textFill>
                  <w14:solidFill>
                    <w14:schemeClr w14:val="tx1"/>
                  </w14:solidFill>
                </w14:textFill>
              </w:rPr>
            </w:pPr>
            <w:r>
              <w:rPr>
                <w:rFonts w:eastAsia="方正黑体_GBK"/>
                <w:color w:val="000000" w:themeColor="text1"/>
                <w:sz w:val="24"/>
                <w14:textFill>
                  <w14:solidFill>
                    <w14:schemeClr w14:val="tx1"/>
                  </w14:solidFill>
                </w14:textFill>
              </w:rPr>
              <w:t>验 收 标 准</w:t>
            </w:r>
          </w:p>
        </w:tc>
      </w:tr>
      <w:tr w14:paraId="20E4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8" w:hRule="atLeast"/>
          <w:jc w:val="center"/>
        </w:trPr>
        <w:tc>
          <w:tcPr>
            <w:tcW w:w="1244" w:type="dxa"/>
            <w:shd w:val="clear" w:color="auto" w:fill="auto"/>
            <w:vAlign w:val="center"/>
          </w:tcPr>
          <w:p w14:paraId="1753243E">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一、科技企业孵化服务能力（35分）</w:t>
            </w:r>
          </w:p>
        </w:tc>
        <w:tc>
          <w:tcPr>
            <w:tcW w:w="6152" w:type="dxa"/>
            <w:shd w:val="clear" w:color="auto" w:fill="auto"/>
            <w:vAlign w:val="center"/>
          </w:tcPr>
          <w:p w14:paraId="2182A4D0">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1.围绕孵化器主导产业，培育企业数量。</w:t>
            </w:r>
          </w:p>
          <w:p w14:paraId="5E406E25">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总量：**个；</w:t>
            </w:r>
          </w:p>
          <w:p w14:paraId="44CFED77">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第1-5年：**个，分年度分别列出。</w:t>
            </w:r>
          </w:p>
          <w:p w14:paraId="5EA8480C">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2.招引高水平科技企业来肥落地数量。</w:t>
            </w:r>
          </w:p>
          <w:p w14:paraId="3ABA4447">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总量：**个；</w:t>
            </w:r>
          </w:p>
          <w:p w14:paraId="28F496F7">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第1-5年：**个，分年度分别列出。</w:t>
            </w:r>
          </w:p>
          <w:p w14:paraId="210D4CBF">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3.引育企业发展水平。</w:t>
            </w:r>
          </w:p>
          <w:p w14:paraId="6AA3C19E">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总量：高企**个，专精特新企业**个；</w:t>
            </w:r>
          </w:p>
          <w:p w14:paraId="7BFC70F1">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第1-5年：高企**个，专精特新企业**个，分年度分别列出。</w:t>
            </w:r>
          </w:p>
          <w:p w14:paraId="3308D465">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4.可选指标（上市企业）。</w:t>
            </w:r>
          </w:p>
          <w:p w14:paraId="2C1E23F2">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*家企业上市或*家企业进入上市流程（仅第四年结束时考核）；</w:t>
            </w:r>
          </w:p>
          <w:p w14:paraId="7E5EBB4D">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1家企业上市或3家企业进入上市流程（仅第五年结束时考核）。</w:t>
            </w:r>
          </w:p>
        </w:tc>
        <w:tc>
          <w:tcPr>
            <w:tcW w:w="2199" w:type="dxa"/>
            <w:shd w:val="clear" w:color="auto" w:fill="auto"/>
            <w:vAlign w:val="center"/>
          </w:tcPr>
          <w:p w14:paraId="6B934B74">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（1）20分。</w:t>
            </w:r>
          </w:p>
          <w:p w14:paraId="5FCE4408">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（2）5分。</w:t>
            </w:r>
          </w:p>
          <w:p w14:paraId="35626874">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（3）10分。</w:t>
            </w:r>
          </w:p>
          <w:p w14:paraId="55DFABFD">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（4）本指标为控制项，若不符合，当年度考核不合格。</w:t>
            </w:r>
          </w:p>
        </w:tc>
        <w:tc>
          <w:tcPr>
            <w:tcW w:w="3792" w:type="dxa"/>
            <w:shd w:val="clear" w:color="auto" w:fill="auto"/>
            <w:vAlign w:val="center"/>
          </w:tcPr>
          <w:p w14:paraId="4D8F73E9">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1.符合《合肥市科技企业孵化器认定、众创空间备案及绩效评价管理办法（2021年修订）》条件的在孵和毕业企业，经营范围须涵盖孵化器主导产业，满分指标为70家。</w:t>
            </w:r>
          </w:p>
          <w:p w14:paraId="2790AD93">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2.招引市外国家高企、专精特新中小企业、专精特新“小巨人”企业等来肥落地，企业经营范围须涵盖孵化器主导产业，满分指标为30家，此类企业可视同入孵企业。</w:t>
            </w:r>
          </w:p>
          <w:p w14:paraId="37D3A518">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3.满分指标为高企50家，专精特新企业10家，包括专精特新中小企业和“小巨人”企业。</w:t>
            </w:r>
          </w:p>
          <w:p w14:paraId="02AF5976">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4.参照《合肥市推进企业上市五年倍增行动计划》，上市指境内上交所、深交所、北交所及境外主要交易所上市。上市流程指完成股份制改造、在安徽证监局辅导备案、获证监会或交易所受理等流程。</w:t>
            </w:r>
          </w:p>
        </w:tc>
      </w:tr>
      <w:tr w14:paraId="65B8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1244" w:type="dxa"/>
            <w:shd w:val="clear" w:color="auto" w:fill="auto"/>
            <w:vAlign w:val="center"/>
          </w:tcPr>
          <w:p w14:paraId="5C177DAE">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二、公共技术服务能力（10分）</w:t>
            </w:r>
          </w:p>
        </w:tc>
        <w:tc>
          <w:tcPr>
            <w:tcW w:w="6152" w:type="dxa"/>
            <w:shd w:val="clear" w:color="auto" w:fill="auto"/>
            <w:vAlign w:val="center"/>
          </w:tcPr>
          <w:p w14:paraId="61FA1790">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专业公共技术服务平台服务成效。</w:t>
            </w:r>
          </w:p>
          <w:p w14:paraId="221F1AF2">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1.服务入孵企业数量：**家。</w:t>
            </w:r>
          </w:p>
          <w:p w14:paraId="18096029">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第1-5年：**家，分年度分别列出。</w:t>
            </w:r>
          </w:p>
          <w:p w14:paraId="43C5539E">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2.第4年时，从入孵企业中获取的服务收入不少于孵化器年度营收的**%或入孵企业获得服务比例不低于**%（仅第四年结束时考核）。</w:t>
            </w:r>
          </w:p>
          <w:p w14:paraId="304A76DA">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3.第5年时，从入孵企业中获取的服务收入不少于孵化器年度营收的10%或入孵企业获得服务比例不低于50%（仅第五年结束时考核）。</w:t>
            </w:r>
          </w:p>
        </w:tc>
        <w:tc>
          <w:tcPr>
            <w:tcW w:w="2199" w:type="dxa"/>
            <w:shd w:val="clear" w:color="auto" w:fill="auto"/>
            <w:vAlign w:val="center"/>
          </w:tcPr>
          <w:p w14:paraId="6D67A243">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（1）10分，满分指标为60家。</w:t>
            </w:r>
          </w:p>
          <w:p w14:paraId="275996B5">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（2）本指标为扣分项，若不符合，扣5分。</w:t>
            </w:r>
          </w:p>
          <w:p w14:paraId="76818C7B">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（3）本指标为扣分项，若不符合，扣5分。</w:t>
            </w:r>
          </w:p>
        </w:tc>
        <w:tc>
          <w:tcPr>
            <w:tcW w:w="3792" w:type="dxa"/>
            <w:shd w:val="clear" w:color="auto" w:fill="auto"/>
            <w:vAlign w:val="center"/>
          </w:tcPr>
          <w:p w14:paraId="5E8E8E6D">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入孵企业含在孵、毕业及招引企业，下同。</w:t>
            </w:r>
          </w:p>
        </w:tc>
      </w:tr>
      <w:tr w14:paraId="7915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jc w:val="center"/>
        </w:trPr>
        <w:tc>
          <w:tcPr>
            <w:tcW w:w="1244" w:type="dxa"/>
            <w:shd w:val="clear" w:color="auto" w:fill="auto"/>
            <w:vAlign w:val="center"/>
          </w:tcPr>
          <w:p w14:paraId="56AF9561">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三、科技金融能力（20分）</w:t>
            </w:r>
          </w:p>
        </w:tc>
        <w:tc>
          <w:tcPr>
            <w:tcW w:w="6152" w:type="dxa"/>
            <w:shd w:val="clear" w:color="auto" w:fill="auto"/>
            <w:vAlign w:val="center"/>
          </w:tcPr>
          <w:p w14:paraId="43D430E5">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孵化器基金设立及运转情况。</w:t>
            </w:r>
          </w:p>
          <w:p w14:paraId="79F4A0C6">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1.基金设立情况</w:t>
            </w:r>
          </w:p>
          <w:p w14:paraId="2A20818B">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第**年时，基金规模不低于5000万元，风险容忍度不低于50%。</w:t>
            </w:r>
          </w:p>
          <w:p w14:paraId="425DF50A">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2.投资入孵企业数量：**家；</w:t>
            </w:r>
          </w:p>
          <w:p w14:paraId="0BBEBD8C">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第1-5年：**家，分年度分别列出。</w:t>
            </w:r>
          </w:p>
          <w:p w14:paraId="03C10E11">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3.投资入孵企业金额：**万元；</w:t>
            </w:r>
          </w:p>
          <w:p w14:paraId="62C6B8EA">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第1-5年：**万元，分年度分别列出。</w:t>
            </w:r>
          </w:p>
          <w:p w14:paraId="6FD37EDF">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4.孵化器对基金投向须具备一票否决权。</w:t>
            </w:r>
          </w:p>
        </w:tc>
        <w:tc>
          <w:tcPr>
            <w:tcW w:w="2199" w:type="dxa"/>
            <w:shd w:val="clear" w:color="auto" w:fill="auto"/>
            <w:vAlign w:val="center"/>
          </w:tcPr>
          <w:p w14:paraId="5D7BEEC1">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（1）本指标为扣分项，若不符合，“科技金融能力”当年整项不得分。</w:t>
            </w:r>
          </w:p>
          <w:p w14:paraId="2C47C5CB">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（2）5分，满分指标为30家。</w:t>
            </w:r>
          </w:p>
          <w:p w14:paraId="28BC1804">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（3）15分，满分指标为5000万元。</w:t>
            </w:r>
          </w:p>
          <w:p w14:paraId="1D9BEDB9">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（4）本指标为扣分项，若不符合，“科技金融能力”当年整项不得分。</w:t>
            </w:r>
          </w:p>
        </w:tc>
        <w:tc>
          <w:tcPr>
            <w:tcW w:w="3792" w:type="dxa"/>
            <w:shd w:val="clear" w:color="auto" w:fill="auto"/>
            <w:vAlign w:val="center"/>
          </w:tcPr>
          <w:p w14:paraId="18561334">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基金设立应于前2年内完成。</w:t>
            </w:r>
          </w:p>
        </w:tc>
      </w:tr>
      <w:tr w14:paraId="6506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244" w:type="dxa"/>
            <w:shd w:val="clear" w:color="auto" w:fill="auto"/>
            <w:vAlign w:val="center"/>
          </w:tcPr>
          <w:p w14:paraId="77F98BB5">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四、产业融通能力（15分）</w:t>
            </w:r>
          </w:p>
        </w:tc>
        <w:tc>
          <w:tcPr>
            <w:tcW w:w="6152" w:type="dxa"/>
            <w:shd w:val="clear" w:color="auto" w:fill="auto"/>
            <w:vAlign w:val="center"/>
          </w:tcPr>
          <w:p w14:paraId="575B3AF7">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帮助孵化企业融入产业链情况。</w:t>
            </w:r>
          </w:p>
          <w:p w14:paraId="5F5BBDE1">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帮助企业解决下游场景、市场拓展需求数量：**项；</w:t>
            </w:r>
          </w:p>
          <w:p w14:paraId="701A1557">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第1-5年：**项，分年度分别列出。</w:t>
            </w:r>
          </w:p>
        </w:tc>
        <w:tc>
          <w:tcPr>
            <w:tcW w:w="2199" w:type="dxa"/>
            <w:shd w:val="clear" w:color="auto" w:fill="auto"/>
            <w:vAlign w:val="center"/>
          </w:tcPr>
          <w:p w14:paraId="5F9CDBA1">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15分，满分指标为50项。</w:t>
            </w:r>
          </w:p>
        </w:tc>
        <w:tc>
          <w:tcPr>
            <w:tcW w:w="3792" w:type="dxa"/>
            <w:shd w:val="clear" w:color="auto" w:fill="auto"/>
            <w:vAlign w:val="center"/>
          </w:tcPr>
          <w:p w14:paraId="5F15D968">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须相关企业提供详细需求及解决过程盖章说明、企业产品应用或销售相关证明材料。</w:t>
            </w:r>
          </w:p>
        </w:tc>
      </w:tr>
      <w:tr w14:paraId="00E9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244" w:type="dxa"/>
            <w:shd w:val="clear" w:color="auto" w:fill="auto"/>
            <w:vAlign w:val="center"/>
          </w:tcPr>
          <w:p w14:paraId="30806CE9">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五、区域带动能力（15分）</w:t>
            </w:r>
          </w:p>
        </w:tc>
        <w:tc>
          <w:tcPr>
            <w:tcW w:w="6152" w:type="dxa"/>
            <w:shd w:val="clear" w:color="auto" w:fill="auto"/>
            <w:vAlign w:val="center"/>
          </w:tcPr>
          <w:p w14:paraId="74CD2E16">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1.毕业企业持续服务率；</w:t>
            </w:r>
          </w:p>
          <w:p w14:paraId="63C859F0">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第4年时，毕业企业持续服务率**%；</w:t>
            </w:r>
          </w:p>
          <w:p w14:paraId="1B8A30F6">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第5年时，毕业企业持续服务率**%。</w:t>
            </w:r>
          </w:p>
          <w:p w14:paraId="04F887D8">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2.属地发展贡献度。</w:t>
            </w:r>
          </w:p>
          <w:p w14:paraId="6B553DE9">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第4年时，属地发展贡献度**%；</w:t>
            </w:r>
          </w:p>
          <w:p w14:paraId="15179EBD">
            <w:pPr>
              <w:spacing w:line="300" w:lineRule="exact"/>
              <w:rPr>
                <w:color w:val="000000" w:themeColor="text1"/>
                <w14:textFill>
                  <w14:solidFill>
                    <w14:schemeClr w14:val="tx1"/>
                  </w14:solidFill>
                </w14:textFill>
              </w:rPr>
            </w:pPr>
            <w:r>
              <w:rPr>
                <w:color w:val="000000" w:themeColor="text1"/>
                <w:sz w:val="24"/>
                <w14:textFill>
                  <w14:solidFill>
                    <w14:schemeClr w14:val="tx1"/>
                  </w14:solidFill>
                </w14:textFill>
              </w:rPr>
              <w:t>第5年时，属地发展贡献度**%。</w:t>
            </w:r>
          </w:p>
        </w:tc>
        <w:tc>
          <w:tcPr>
            <w:tcW w:w="2199" w:type="dxa"/>
            <w:shd w:val="clear" w:color="auto" w:fill="auto"/>
            <w:vAlign w:val="center"/>
          </w:tcPr>
          <w:p w14:paraId="74827DFA">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（1）10分，满分指标为100%。</w:t>
            </w:r>
          </w:p>
          <w:p w14:paraId="3D84C5D5">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（2）5分，满分指标为90%。</w:t>
            </w:r>
          </w:p>
        </w:tc>
        <w:tc>
          <w:tcPr>
            <w:tcW w:w="3792" w:type="dxa"/>
            <w:shd w:val="clear" w:color="auto" w:fill="auto"/>
            <w:vAlign w:val="center"/>
          </w:tcPr>
          <w:p w14:paraId="132154CA">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前3年不考核此项指标，视为满分。</w:t>
            </w:r>
          </w:p>
        </w:tc>
      </w:tr>
      <w:tr w14:paraId="1542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44" w:type="dxa"/>
            <w:shd w:val="clear" w:color="auto" w:fill="auto"/>
            <w:vAlign w:val="center"/>
          </w:tcPr>
          <w:p w14:paraId="23DEE0C2">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六、经费投入和使用情况（5分）</w:t>
            </w:r>
          </w:p>
        </w:tc>
        <w:tc>
          <w:tcPr>
            <w:tcW w:w="6152" w:type="dxa"/>
            <w:shd w:val="clear" w:color="auto" w:fill="auto"/>
            <w:vAlign w:val="center"/>
          </w:tcPr>
          <w:p w14:paraId="14D0251E">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经费投入和使用情况。</w:t>
            </w:r>
          </w:p>
          <w:p w14:paraId="5F69FF53">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1.每年获得的</w:t>
            </w:r>
            <w:r>
              <w:rPr>
                <w:rFonts w:hint="eastAsia"/>
                <w:color w:val="000000" w:themeColor="text1"/>
                <w:sz w:val="24"/>
                <w14:textFill>
                  <w14:solidFill>
                    <w14:schemeClr w14:val="tx1"/>
                  </w14:solidFill>
                </w14:textFill>
              </w:rPr>
              <w:t>财政</w:t>
            </w:r>
            <w:r>
              <w:rPr>
                <w:color w:val="000000" w:themeColor="text1"/>
                <w:sz w:val="24"/>
                <w14:textFill>
                  <w14:solidFill>
                    <w14:schemeClr w14:val="tx1"/>
                  </w14:solidFill>
                </w14:textFill>
              </w:rPr>
              <w:t>资金须用于孵化器建设运营。</w:t>
            </w:r>
          </w:p>
          <w:p w14:paraId="372CCC1B">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2.每年孵化器自有资金投入量不低于各级财政资金支持金额。</w:t>
            </w:r>
          </w:p>
        </w:tc>
        <w:tc>
          <w:tcPr>
            <w:tcW w:w="2199" w:type="dxa"/>
            <w:shd w:val="clear" w:color="auto" w:fill="auto"/>
            <w:vAlign w:val="center"/>
          </w:tcPr>
          <w:p w14:paraId="031FFB57">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（1）5分。</w:t>
            </w:r>
          </w:p>
          <w:p w14:paraId="57E3DDB9">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（2）本指标为控制项，若不符合，当年度考核不合格。</w:t>
            </w:r>
          </w:p>
        </w:tc>
        <w:tc>
          <w:tcPr>
            <w:tcW w:w="3792" w:type="dxa"/>
            <w:shd w:val="clear" w:color="auto" w:fill="auto"/>
            <w:vAlign w:val="center"/>
          </w:tcPr>
          <w:p w14:paraId="6AAFD1C3">
            <w:pPr>
              <w:spacing w:line="3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通过列明相关资金使用方向及使用量的审计报告确定。</w:t>
            </w:r>
          </w:p>
        </w:tc>
      </w:tr>
    </w:tbl>
    <w:p w14:paraId="7DEA46FB">
      <w:pPr>
        <w:widowControl/>
        <w:spacing w:line="300" w:lineRule="exact"/>
        <w:jc w:val="left"/>
        <w:rPr>
          <w:rFonts w:eastAsia="仿宋_GB2312"/>
          <w:color w:val="000000" w:themeColor="text1"/>
          <w:sz w:val="32"/>
          <w:szCs w:val="32"/>
          <w14:textFill>
            <w14:solidFill>
              <w14:schemeClr w14:val="tx1"/>
            </w14:solidFill>
          </w14:textFill>
        </w:rPr>
      </w:pPr>
    </w:p>
    <w:p w14:paraId="11C5580F">
      <w:pPr>
        <w:widowControl/>
        <w:spacing w:line="560" w:lineRule="exact"/>
        <w:ind w:left="1600" w:hanging="1600" w:hangingChars="500"/>
        <w:jc w:val="left"/>
        <w:rPr>
          <w:rFonts w:hint="eastAsia"/>
        </w:rPr>
      </w:pPr>
      <w:r>
        <w:rPr>
          <w:rFonts w:eastAsia="仿宋_GB2312"/>
          <w:color w:val="000000" w:themeColor="text1"/>
          <w:sz w:val="32"/>
          <w:szCs w:val="32"/>
          <w14:textFill>
            <w14:solidFill>
              <w14:schemeClr w14:val="tx1"/>
            </w14:solidFill>
          </w14:textFill>
        </w:rPr>
        <w:t>打分说明：企业单项实际得分=当年实际完成指标/当年指标额*分值（当年实际完成指标&gt;当年指标额时，当年实际完成指标/当年指标额=1，超出部分可计入下一年考核指标）</w:t>
      </w:r>
    </w:p>
    <w:bookmarkEnd w:id="0"/>
    <w:sectPr>
      <w:headerReference r:id="rId4" w:type="default"/>
      <w:footerReference r:id="rId5" w:type="default"/>
      <w:pgSz w:w="16838" w:h="11906" w:orient="landscape"/>
      <w:pgMar w:top="1587" w:right="2098" w:bottom="1474" w:left="19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D4FCEE-C33E-4667-8FC6-7B05C1F03E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D2EE5311-DB6B-447A-9C7C-CB57106915EE}"/>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3" w:fontKey="{EDB1C2BA-E412-499D-AE28-C7D6666AEA25}"/>
  </w:font>
  <w:font w:name="仿宋_GB2312">
    <w:panose1 w:val="02010609030101010101"/>
    <w:charset w:val="86"/>
    <w:family w:val="modern"/>
    <w:pitch w:val="default"/>
    <w:sig w:usb0="00000001" w:usb1="080E0000" w:usb2="00000000" w:usb3="00000000" w:csb0="00040000" w:csb1="00000000"/>
    <w:embedRegular r:id="rId4" w:fontKey="{7251AFB9-0B62-420E-B1CF-7E7602D7CD6D}"/>
  </w:font>
  <w:font w:name="方正书宋_GBK">
    <w:altName w:val="微软雅黑"/>
    <w:panose1 w:val="00000000000000000000"/>
    <w:charset w:val="86"/>
    <w:family w:val="script"/>
    <w:pitch w:val="default"/>
    <w:sig w:usb0="00000000" w:usb1="00000000" w:usb2="00000000" w:usb3="00000000" w:csb0="00040000" w:csb1="00000000"/>
    <w:embedRegular r:id="rId5" w:fontKey="{C72C2E00-8C75-4974-9684-9E2448C972D2}"/>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6" w:fontKey="{88EDF2AD-7437-4D48-85E1-4FE13DF1DD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0F70">
    <w:pPr>
      <w:pStyle w:val="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E0DE8">
                          <w:pPr>
                            <w:pStyle w:val="8"/>
                            <w:adjustRightInd w:val="0"/>
                            <w:ind w:left="210" w:leftChars="100" w:right="210" w:rightChars="100"/>
                            <w:rPr>
                              <w:rStyle w:val="12"/>
                              <w:rFonts w:ascii="宋体" w:hAnsi="宋体" w:eastAsia="仿宋_GB2312"/>
                              <w:sz w:val="28"/>
                              <w:szCs w:val="28"/>
                            </w:rPr>
                          </w:pPr>
                          <w:r>
                            <w:rPr>
                              <w:rStyle w:val="12"/>
                              <w:rFonts w:ascii="宋体" w:hAnsi="宋体" w:eastAsia="仿宋_GB2312"/>
                              <w:sz w:val="28"/>
                              <w:szCs w:val="28"/>
                            </w:rPr>
                            <w:t xml:space="preserve">— </w:t>
                          </w:r>
                          <w:r>
                            <w:rPr>
                              <w:rStyle w:val="12"/>
                              <w:rFonts w:ascii="宋体" w:hAnsi="宋体" w:eastAsia="仿宋_GB2312"/>
                              <w:sz w:val="28"/>
                              <w:szCs w:val="28"/>
                            </w:rPr>
                            <w:fldChar w:fldCharType="begin"/>
                          </w:r>
                          <w:r>
                            <w:rPr>
                              <w:rStyle w:val="12"/>
                              <w:rFonts w:ascii="宋体" w:hAnsi="宋体" w:eastAsia="仿宋_GB2312"/>
                              <w:sz w:val="28"/>
                              <w:szCs w:val="28"/>
                            </w:rPr>
                            <w:instrText xml:space="preserve"> PAGE  \* MERGEFORMAT </w:instrText>
                          </w:r>
                          <w:r>
                            <w:rPr>
                              <w:rStyle w:val="12"/>
                              <w:rFonts w:ascii="宋体" w:hAnsi="宋体" w:eastAsia="仿宋_GB2312"/>
                              <w:sz w:val="28"/>
                              <w:szCs w:val="28"/>
                            </w:rPr>
                            <w:fldChar w:fldCharType="separate"/>
                          </w:r>
                          <w:r>
                            <w:rPr>
                              <w:rStyle w:val="12"/>
                              <w:rFonts w:ascii="宋体" w:hAnsi="宋体" w:eastAsia="仿宋_GB2312"/>
                              <w:sz w:val="28"/>
                              <w:szCs w:val="28"/>
                            </w:rPr>
                            <w:t>2</w:t>
                          </w:r>
                          <w:r>
                            <w:rPr>
                              <w:rStyle w:val="12"/>
                              <w:rFonts w:ascii="宋体" w:hAnsi="宋体" w:eastAsia="仿宋_GB2312"/>
                              <w:sz w:val="28"/>
                              <w:szCs w:val="28"/>
                            </w:rPr>
                            <w:fldChar w:fldCharType="end"/>
                          </w:r>
                          <w:r>
                            <w:rPr>
                              <w:rStyle w:val="12"/>
                              <w:rFonts w:ascii="宋体" w:hAnsi="宋体"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E0DE8">
                    <w:pPr>
                      <w:pStyle w:val="8"/>
                      <w:adjustRightInd w:val="0"/>
                      <w:ind w:left="210" w:leftChars="100" w:right="210" w:rightChars="100"/>
                      <w:rPr>
                        <w:rStyle w:val="12"/>
                        <w:rFonts w:ascii="宋体" w:hAnsi="宋体" w:eastAsia="仿宋_GB2312"/>
                        <w:sz w:val="28"/>
                        <w:szCs w:val="28"/>
                      </w:rPr>
                    </w:pPr>
                    <w:r>
                      <w:rPr>
                        <w:rStyle w:val="12"/>
                        <w:rFonts w:ascii="宋体" w:hAnsi="宋体" w:eastAsia="仿宋_GB2312"/>
                        <w:sz w:val="28"/>
                        <w:szCs w:val="28"/>
                      </w:rPr>
                      <w:t xml:space="preserve">— </w:t>
                    </w:r>
                    <w:r>
                      <w:rPr>
                        <w:rStyle w:val="12"/>
                        <w:rFonts w:ascii="宋体" w:hAnsi="宋体" w:eastAsia="仿宋_GB2312"/>
                        <w:sz w:val="28"/>
                        <w:szCs w:val="28"/>
                      </w:rPr>
                      <w:fldChar w:fldCharType="begin"/>
                    </w:r>
                    <w:r>
                      <w:rPr>
                        <w:rStyle w:val="12"/>
                        <w:rFonts w:ascii="宋体" w:hAnsi="宋体" w:eastAsia="仿宋_GB2312"/>
                        <w:sz w:val="28"/>
                        <w:szCs w:val="28"/>
                      </w:rPr>
                      <w:instrText xml:space="preserve"> PAGE  \* MERGEFORMAT </w:instrText>
                    </w:r>
                    <w:r>
                      <w:rPr>
                        <w:rStyle w:val="12"/>
                        <w:rFonts w:ascii="宋体" w:hAnsi="宋体" w:eastAsia="仿宋_GB2312"/>
                        <w:sz w:val="28"/>
                        <w:szCs w:val="28"/>
                      </w:rPr>
                      <w:fldChar w:fldCharType="separate"/>
                    </w:r>
                    <w:r>
                      <w:rPr>
                        <w:rStyle w:val="12"/>
                        <w:rFonts w:ascii="宋体" w:hAnsi="宋体" w:eastAsia="仿宋_GB2312"/>
                        <w:sz w:val="28"/>
                        <w:szCs w:val="28"/>
                      </w:rPr>
                      <w:t>2</w:t>
                    </w:r>
                    <w:r>
                      <w:rPr>
                        <w:rStyle w:val="12"/>
                        <w:rFonts w:ascii="宋体" w:hAnsi="宋体" w:eastAsia="仿宋_GB2312"/>
                        <w:sz w:val="28"/>
                        <w:szCs w:val="28"/>
                      </w:rPr>
                      <w:fldChar w:fldCharType="end"/>
                    </w:r>
                    <w:r>
                      <w:rPr>
                        <w:rStyle w:val="12"/>
                        <w:rFonts w:ascii="宋体" w:hAnsi="宋体"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A3D8">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52501">
                          <w:pPr>
                            <w:pStyle w:val="8"/>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D852501">
                    <w:pPr>
                      <w:pStyle w:val="8"/>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p w14:paraId="5EFDE32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F96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135E9"/>
    <w:rsid w:val="00162C1A"/>
    <w:rsid w:val="0075766B"/>
    <w:rsid w:val="00AC3C73"/>
    <w:rsid w:val="00C7636D"/>
    <w:rsid w:val="025130C9"/>
    <w:rsid w:val="039C1689"/>
    <w:rsid w:val="054A27E7"/>
    <w:rsid w:val="06062648"/>
    <w:rsid w:val="094268EA"/>
    <w:rsid w:val="0A0C3321"/>
    <w:rsid w:val="0B806357"/>
    <w:rsid w:val="0CD84049"/>
    <w:rsid w:val="0DFC734A"/>
    <w:rsid w:val="0FC70574"/>
    <w:rsid w:val="11C71BCC"/>
    <w:rsid w:val="121021CD"/>
    <w:rsid w:val="12B945AE"/>
    <w:rsid w:val="15A66053"/>
    <w:rsid w:val="188F3C5A"/>
    <w:rsid w:val="1A312BED"/>
    <w:rsid w:val="1D6135E9"/>
    <w:rsid w:val="1FF13500"/>
    <w:rsid w:val="20DA787E"/>
    <w:rsid w:val="23044F2A"/>
    <w:rsid w:val="233E38D5"/>
    <w:rsid w:val="23E949A5"/>
    <w:rsid w:val="2486409C"/>
    <w:rsid w:val="267E7446"/>
    <w:rsid w:val="26BB2D53"/>
    <w:rsid w:val="270E7DB3"/>
    <w:rsid w:val="28384951"/>
    <w:rsid w:val="2B6C7FAF"/>
    <w:rsid w:val="2C205E15"/>
    <w:rsid w:val="2C715B0B"/>
    <w:rsid w:val="2CE93CCD"/>
    <w:rsid w:val="2DC9572C"/>
    <w:rsid w:val="304D39CE"/>
    <w:rsid w:val="32207695"/>
    <w:rsid w:val="32675668"/>
    <w:rsid w:val="34EA42D3"/>
    <w:rsid w:val="37242B1B"/>
    <w:rsid w:val="37FA7AED"/>
    <w:rsid w:val="38AC16A8"/>
    <w:rsid w:val="38BD38B5"/>
    <w:rsid w:val="391C407F"/>
    <w:rsid w:val="3BCC2061"/>
    <w:rsid w:val="3DD86A9B"/>
    <w:rsid w:val="3FB337E9"/>
    <w:rsid w:val="3FF058AB"/>
    <w:rsid w:val="40A636F2"/>
    <w:rsid w:val="42FC322C"/>
    <w:rsid w:val="4342653C"/>
    <w:rsid w:val="44FF44CD"/>
    <w:rsid w:val="45D80FDF"/>
    <w:rsid w:val="468E2A63"/>
    <w:rsid w:val="4789798F"/>
    <w:rsid w:val="47C10CB0"/>
    <w:rsid w:val="47E80D8F"/>
    <w:rsid w:val="48AC12DC"/>
    <w:rsid w:val="4ABE7F0D"/>
    <w:rsid w:val="4D3161C8"/>
    <w:rsid w:val="4E7A2902"/>
    <w:rsid w:val="50907436"/>
    <w:rsid w:val="51082EE5"/>
    <w:rsid w:val="51213E65"/>
    <w:rsid w:val="51436FAF"/>
    <w:rsid w:val="51F72D3F"/>
    <w:rsid w:val="52F65464"/>
    <w:rsid w:val="53CE4770"/>
    <w:rsid w:val="54B43A0A"/>
    <w:rsid w:val="58796D16"/>
    <w:rsid w:val="58894CCC"/>
    <w:rsid w:val="589778BF"/>
    <w:rsid w:val="5950785A"/>
    <w:rsid w:val="5B25157C"/>
    <w:rsid w:val="5B27447B"/>
    <w:rsid w:val="5CCF855F"/>
    <w:rsid w:val="5DA87E9E"/>
    <w:rsid w:val="5E3D1F20"/>
    <w:rsid w:val="64B43435"/>
    <w:rsid w:val="64E63FF4"/>
    <w:rsid w:val="6653084F"/>
    <w:rsid w:val="68D87220"/>
    <w:rsid w:val="6D212045"/>
    <w:rsid w:val="6D462D55"/>
    <w:rsid w:val="6DFB186A"/>
    <w:rsid w:val="6EB64A32"/>
    <w:rsid w:val="70096E04"/>
    <w:rsid w:val="709D6073"/>
    <w:rsid w:val="719F18A4"/>
    <w:rsid w:val="7226710E"/>
    <w:rsid w:val="72CA1362"/>
    <w:rsid w:val="731D58A5"/>
    <w:rsid w:val="734C7D07"/>
    <w:rsid w:val="74BB61F3"/>
    <w:rsid w:val="76D0570F"/>
    <w:rsid w:val="784F55D0"/>
    <w:rsid w:val="78B77906"/>
    <w:rsid w:val="7E660CF1"/>
    <w:rsid w:val="7EB46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2"/>
    <w:basedOn w:val="1"/>
    <w:next w:val="1"/>
    <w:qFormat/>
    <w:uiPriority w:val="99"/>
    <w:pPr>
      <w:keepNext/>
      <w:keepLines/>
      <w:widowControl/>
      <w:adjustRightInd w:val="0"/>
      <w:snapToGrid w:val="0"/>
      <w:spacing w:before="120" w:beforeLines="50" w:after="120" w:afterLines="50" w:line="360" w:lineRule="auto"/>
      <w:ind w:firstLine="643" w:firstLineChars="200"/>
      <w:jc w:val="left"/>
      <w:outlineLvl w:val="1"/>
    </w:pPr>
    <w:rPr>
      <w:rFonts w:ascii="楷体_GB2312" w:eastAsia="楷体_GB2312"/>
      <w:b/>
      <w:kern w:val="0"/>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楷体_GB2312" w:hAnsi="Calibri" w:eastAsia="楷体_GB2312"/>
      <w:sz w:val="32"/>
      <w:szCs w:val="24"/>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List"/>
    <w:basedOn w:val="1"/>
    <w:qFormat/>
    <w:uiPriority w:val="0"/>
    <w:pPr>
      <w:ind w:left="200" w:hanging="200" w:hangingChars="200"/>
    </w:pPr>
  </w:style>
  <w:style w:type="paragraph" w:styleId="7">
    <w:name w:val="Body Text Indent 2"/>
    <w:basedOn w:val="1"/>
    <w:next w:val="1"/>
    <w:unhideWhenUsed/>
    <w:qFormat/>
    <w:uiPriority w:val="99"/>
    <w:pPr>
      <w:spacing w:after="120" w:line="480" w:lineRule="auto"/>
      <w:ind w:left="420" w:leftChars="200"/>
    </w:pPr>
    <w:rPr>
      <w:szCs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1723</Words>
  <Characters>1765</Characters>
  <Lines>35</Lines>
  <Paragraphs>10</Paragraphs>
  <TotalTime>2</TotalTime>
  <ScaleCrop>false</ScaleCrop>
  <LinksUpToDate>false</LinksUpToDate>
  <CharactersWithSpaces>1765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2025-02-18T07:57:00Z</dcterms:created>
  <dc:creator>yk</dc:creator>
  <cp:lastModifiedBy>游游</cp:lastModifiedBy>
  <cp:lastPrinted>2025-02-17T15:09:00Z</cp:lastPrinted>
  <dcterms:modified xsi:type="dcterms:W3CDTF">2025-02-27T06:51:12Z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eyJoZGlkIjoiMDIzMTk0OTEwZWUzODZiNWM5MmFlNjBlNTdmMWEzZTciLCJ1c2VySWQiOiIyMjAwNjMzNTQifQ==</vt:lpwstr>
  </property>
  <property fmtid="{D5CDD505-2E9C-101B-9397-08002B2CF9AE}" pid="4" name="ICV">
    <vt:lpwstr>C8407FEBC2F04FFC812656A4D0E0FD76_13</vt:lpwstr>
  </property>
</Properties>
</file>