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4C9C6">
      <w:pPr>
        <w:ind w:right="109"/>
        <w:jc w:val="center"/>
        <w:rPr>
          <w:rFonts w:ascii="Times New Roman" w:hAnsi="Times New Roman" w:eastAsia="方正小标宋_GBK" w:cs="Times New Roman"/>
          <w:sz w:val="48"/>
          <w:szCs w:val="24"/>
        </w:rPr>
      </w:pPr>
      <w:bookmarkStart w:id="0" w:name="_Hlk156377233"/>
    </w:p>
    <w:p w14:paraId="1EFD8933">
      <w:pPr>
        <w:ind w:right="109"/>
        <w:jc w:val="center"/>
        <w:rPr>
          <w:rFonts w:ascii="Times New Roman" w:hAnsi="Times New Roman" w:eastAsia="方正小标宋_GBK" w:cs="Times New Roman"/>
          <w:sz w:val="48"/>
          <w:szCs w:val="24"/>
        </w:rPr>
      </w:pPr>
    </w:p>
    <w:p w14:paraId="0E658F4B">
      <w:pPr>
        <w:ind w:right="109"/>
        <w:jc w:val="center"/>
        <w:rPr>
          <w:rFonts w:ascii="Times New Roman" w:hAnsi="Times New Roman" w:eastAsia="方正小标宋_GBK" w:cs="Times New Roman"/>
          <w:sz w:val="48"/>
          <w:szCs w:val="24"/>
        </w:rPr>
      </w:pPr>
    </w:p>
    <w:p w14:paraId="376D1781">
      <w:pPr>
        <w:ind w:right="109"/>
        <w:jc w:val="center"/>
        <w:rPr>
          <w:rFonts w:ascii="Times New Roman" w:hAnsi="Times New Roman" w:eastAsia="方正小标宋_GBK" w:cs="Times New Roman"/>
          <w:sz w:val="48"/>
          <w:szCs w:val="24"/>
        </w:rPr>
      </w:pPr>
    </w:p>
    <w:p w14:paraId="7F851BF3">
      <w:pPr>
        <w:jc w:val="center"/>
        <w:rPr>
          <w:rFonts w:ascii="Times New Roman" w:hAnsi="Times New Roman" w:eastAsia="华文中宋" w:cs="Times New Roman"/>
          <w:b/>
          <w:bCs/>
          <w:sz w:val="52"/>
          <w:szCs w:val="52"/>
        </w:rPr>
      </w:pPr>
      <w:r>
        <w:rPr>
          <w:rFonts w:hint="eastAsia" w:ascii="Times New Roman" w:hAnsi="Times New Roman" w:eastAsia="华文中宋" w:cs="Times New Roman"/>
          <w:b/>
          <w:bCs/>
          <w:sz w:val="52"/>
          <w:szCs w:val="52"/>
        </w:rPr>
        <w:t>瑶海区“无废城市”建设实施方案</w:t>
      </w:r>
    </w:p>
    <w:p w14:paraId="4C98EE63">
      <w:pPr>
        <w:tabs>
          <w:tab w:val="left" w:pos="1318"/>
        </w:tabs>
        <w:jc w:val="center"/>
        <w:rPr>
          <w:rFonts w:hint="eastAsia" w:ascii="Times New Roman" w:hAnsi="Times New Roman" w:eastAsia="华文中宋" w:cs="Times New Roman"/>
          <w:b/>
          <w:bCs/>
          <w:sz w:val="52"/>
          <w:szCs w:val="52"/>
          <w:lang w:val="en-US" w:eastAsia="zh-CN"/>
        </w:rPr>
      </w:pPr>
      <w:r>
        <w:rPr>
          <w:rFonts w:hint="eastAsia" w:ascii="Times New Roman" w:hAnsi="Times New Roman" w:eastAsia="华文中宋" w:cs="Times New Roman"/>
          <w:b/>
          <w:bCs/>
          <w:sz w:val="52"/>
          <w:szCs w:val="52"/>
          <w:lang w:val="en-US" w:eastAsia="zh-CN"/>
        </w:rPr>
        <w:t>(征求意见稿）</w:t>
      </w:r>
    </w:p>
    <w:p w14:paraId="4C49258F">
      <w:pPr>
        <w:jc w:val="center"/>
        <w:rPr>
          <w:rFonts w:ascii="Times New Roman" w:hAnsi="Times New Roman" w:eastAsia="黑体" w:cs="Times New Roman"/>
          <w:spacing w:val="16"/>
          <w:sz w:val="48"/>
          <w:szCs w:val="48"/>
        </w:rPr>
      </w:pPr>
    </w:p>
    <w:p w14:paraId="2CCC6F38">
      <w:pPr>
        <w:jc w:val="center"/>
        <w:rPr>
          <w:rFonts w:ascii="Times New Roman" w:hAnsi="Times New Roman" w:eastAsia="黑体" w:cs="Times New Roman"/>
          <w:spacing w:val="16"/>
          <w:sz w:val="48"/>
          <w:szCs w:val="48"/>
        </w:rPr>
      </w:pPr>
    </w:p>
    <w:p w14:paraId="00DDB322">
      <w:pPr>
        <w:jc w:val="center"/>
        <w:rPr>
          <w:rFonts w:ascii="Times New Roman" w:hAnsi="Times New Roman" w:eastAsia="黑体" w:cs="Times New Roman"/>
          <w:spacing w:val="16"/>
          <w:sz w:val="48"/>
          <w:szCs w:val="48"/>
        </w:rPr>
      </w:pPr>
    </w:p>
    <w:p w14:paraId="7F1488A1">
      <w:pPr>
        <w:jc w:val="center"/>
        <w:rPr>
          <w:rFonts w:ascii="Times New Roman" w:hAnsi="Times New Roman" w:eastAsia="黑体" w:cs="Times New Roman"/>
          <w:spacing w:val="16"/>
          <w:sz w:val="48"/>
          <w:szCs w:val="48"/>
        </w:rPr>
      </w:pPr>
    </w:p>
    <w:p w14:paraId="63AE0BAB">
      <w:pPr>
        <w:jc w:val="center"/>
        <w:rPr>
          <w:rFonts w:ascii="Times New Roman" w:hAnsi="Times New Roman" w:eastAsia="黑体" w:cs="Times New Roman"/>
          <w:spacing w:val="16"/>
          <w:sz w:val="48"/>
          <w:szCs w:val="48"/>
        </w:rPr>
      </w:pPr>
    </w:p>
    <w:p w14:paraId="1243852F">
      <w:pPr>
        <w:jc w:val="center"/>
        <w:rPr>
          <w:rFonts w:ascii="Times New Roman" w:hAnsi="Times New Roman" w:eastAsia="黑体" w:cs="Times New Roman"/>
          <w:spacing w:val="16"/>
          <w:sz w:val="48"/>
          <w:szCs w:val="48"/>
        </w:rPr>
      </w:pPr>
    </w:p>
    <w:p w14:paraId="49DBEFB9">
      <w:pPr>
        <w:jc w:val="center"/>
        <w:rPr>
          <w:rFonts w:ascii="Times New Roman" w:hAnsi="Times New Roman" w:eastAsia="黑体" w:cs="Times New Roman"/>
          <w:spacing w:val="16"/>
          <w:sz w:val="48"/>
          <w:szCs w:val="48"/>
        </w:rPr>
      </w:pPr>
    </w:p>
    <w:p w14:paraId="2D9FE1F2">
      <w:pPr>
        <w:jc w:val="center"/>
        <w:rPr>
          <w:rFonts w:ascii="Times New Roman" w:hAnsi="Times New Roman" w:eastAsia="黑体" w:cs="Times New Roman"/>
          <w:spacing w:val="16"/>
          <w:sz w:val="48"/>
          <w:szCs w:val="48"/>
        </w:rPr>
      </w:pPr>
    </w:p>
    <w:p w14:paraId="7EB509A6">
      <w:pPr>
        <w:jc w:val="center"/>
        <w:rPr>
          <w:rFonts w:ascii="Times New Roman" w:hAnsi="Times New Roman" w:eastAsia="黑体" w:cs="Times New Roman"/>
          <w:spacing w:val="16"/>
          <w:sz w:val="48"/>
          <w:szCs w:val="48"/>
        </w:rPr>
      </w:pPr>
    </w:p>
    <w:p w14:paraId="6EE3A0E4">
      <w:pPr>
        <w:jc w:val="center"/>
        <w:rPr>
          <w:rFonts w:ascii="Times New Roman" w:hAnsi="Times New Roman" w:eastAsia="黑体" w:cs="Times New Roman"/>
          <w:spacing w:val="16"/>
          <w:sz w:val="48"/>
          <w:szCs w:val="48"/>
        </w:rPr>
      </w:pPr>
    </w:p>
    <w:p w14:paraId="74AB715C">
      <w:pPr>
        <w:jc w:val="center"/>
        <w:rPr>
          <w:rFonts w:ascii="Times New Roman" w:hAnsi="Times New Roman" w:eastAsia="黑体" w:cs="Times New Roman"/>
          <w:spacing w:val="16"/>
          <w:sz w:val="48"/>
          <w:szCs w:val="48"/>
        </w:rPr>
      </w:pPr>
    </w:p>
    <w:p w14:paraId="6623D375">
      <w:pPr>
        <w:jc w:val="center"/>
        <w:rPr>
          <w:rFonts w:ascii="Times New Roman" w:hAnsi="Times New Roman" w:eastAsia="黑体" w:cs="Times New Roman"/>
          <w:spacing w:val="16"/>
          <w:sz w:val="48"/>
          <w:szCs w:val="48"/>
        </w:rPr>
      </w:pPr>
    </w:p>
    <w:p w14:paraId="67E97EF1">
      <w:pPr>
        <w:jc w:val="center"/>
        <w:rPr>
          <w:rFonts w:ascii="Times New Roman" w:hAnsi="Times New Roman" w:eastAsia="华文中宋" w:cs="Times New Roman"/>
          <w:b/>
          <w:bCs/>
          <w:sz w:val="40"/>
          <w:szCs w:val="40"/>
        </w:rPr>
      </w:pPr>
      <w:r>
        <w:rPr>
          <w:rFonts w:hint="eastAsia" w:ascii="Times New Roman" w:hAnsi="Times New Roman" w:eastAsia="华文中宋" w:cs="Times New Roman"/>
          <w:b/>
          <w:bCs/>
          <w:sz w:val="40"/>
          <w:szCs w:val="40"/>
        </w:rPr>
        <w:t>2</w:t>
      </w:r>
      <w:r>
        <w:rPr>
          <w:rFonts w:ascii="Times New Roman" w:hAnsi="Times New Roman" w:eastAsia="华文中宋" w:cs="Times New Roman"/>
          <w:b/>
          <w:bCs/>
          <w:sz w:val="40"/>
          <w:szCs w:val="40"/>
        </w:rPr>
        <w:t>024</w:t>
      </w:r>
      <w:r>
        <w:rPr>
          <w:rFonts w:hint="eastAsia" w:ascii="Times New Roman" w:hAnsi="Times New Roman" w:eastAsia="华文中宋" w:cs="Times New Roman"/>
          <w:b/>
          <w:bCs/>
          <w:sz w:val="40"/>
          <w:szCs w:val="40"/>
        </w:rPr>
        <w:t>年2月</w:t>
      </w:r>
      <w:bookmarkEnd w:id="0"/>
    </w:p>
    <w:p w14:paraId="0BB0EF10">
      <w:pPr>
        <w:rPr>
          <w:rFonts w:ascii="Times New Roman" w:hAnsi="Times New Roman"/>
        </w:rPr>
        <w:sectPr>
          <w:footerReference r:id="rId3" w:type="default"/>
          <w:pgSz w:w="11906" w:h="16838"/>
          <w:pgMar w:top="1440" w:right="1800" w:bottom="1440" w:left="1800" w:header="851" w:footer="992" w:gutter="0"/>
          <w:cols w:space="425" w:num="1"/>
          <w:docGrid w:type="lines" w:linePitch="312" w:charSpace="0"/>
        </w:sectPr>
      </w:pPr>
    </w:p>
    <w:p w14:paraId="2830C46D">
      <w:pPr>
        <w:pStyle w:val="25"/>
        <w:ind w:firstLine="0" w:firstLineChars="0"/>
        <w:jc w:val="center"/>
        <w:rPr>
          <w:rFonts w:ascii="华文中宋" w:hAnsi="华文中宋" w:eastAsia="华文中宋"/>
          <w:sz w:val="48"/>
          <w:szCs w:val="48"/>
        </w:rPr>
      </w:pPr>
      <w:bookmarkStart w:id="1" w:name="_Toc155617282"/>
      <w:r>
        <w:rPr>
          <w:rFonts w:hint="eastAsia" w:ascii="华文中宋" w:hAnsi="华文中宋" w:eastAsia="华文中宋"/>
          <w:sz w:val="48"/>
          <w:szCs w:val="48"/>
        </w:rPr>
        <w:t xml:space="preserve">前 </w:t>
      </w:r>
      <w:r>
        <w:rPr>
          <w:rFonts w:ascii="华文中宋" w:hAnsi="华文中宋" w:eastAsia="华文中宋"/>
          <w:sz w:val="48"/>
          <w:szCs w:val="48"/>
        </w:rPr>
        <w:t xml:space="preserve"> </w:t>
      </w:r>
      <w:r>
        <w:rPr>
          <w:rFonts w:hint="eastAsia" w:ascii="华文中宋" w:hAnsi="华文中宋" w:eastAsia="华文中宋"/>
          <w:sz w:val="48"/>
          <w:szCs w:val="48"/>
        </w:rPr>
        <w:t>言</w:t>
      </w:r>
      <w:bookmarkEnd w:id="1"/>
    </w:p>
    <w:p w14:paraId="36B926C2">
      <w:pPr>
        <w:pStyle w:val="21"/>
        <w:ind w:firstLine="640"/>
      </w:pPr>
      <w:r>
        <w:rPr>
          <w:rFonts w:hint="eastAsia"/>
        </w:rPr>
        <w:t>习近平总书记对固体废物污染防治工作高度重视，</w:t>
      </w:r>
      <w:r>
        <w:t>亲自部署推动固体废物进口管理制度改革、生活垃圾分类、塑料污染治理等工作。开</w:t>
      </w:r>
      <w:r>
        <w:rPr>
          <w:rFonts w:hint="eastAsia"/>
        </w:rPr>
        <w:t>展“无废城市”建</w:t>
      </w:r>
      <w:r>
        <w:t>设，是深入贯彻落实习近平生态文明思想的具体行动，是推动减污降碳协同增效的重要举措，是实现美丽中国建设目标的内在要求。2018年，中央全面深化改革委员会</w:t>
      </w:r>
      <w:r>
        <w:rPr>
          <w:rFonts w:hint="eastAsia"/>
        </w:rPr>
        <w:t>将“无废城市”建</w:t>
      </w:r>
      <w:r>
        <w:t>设试点工作列入年度工作要点。2019年，生态环境部遴选</w:t>
      </w:r>
      <w:r>
        <w:rPr>
          <w:rFonts w:hint="eastAsia"/>
        </w:rPr>
        <w:t>“</w:t>
      </w:r>
      <w:r>
        <w:t>11+5</w:t>
      </w:r>
      <w:r>
        <w:rPr>
          <w:rFonts w:hint="eastAsia"/>
        </w:rPr>
        <w:t>”</w:t>
      </w:r>
      <w:r>
        <w:t>个城市和地区开展</w:t>
      </w:r>
      <w:r>
        <w:rPr>
          <w:rFonts w:hint="eastAsia"/>
        </w:rPr>
        <w:t>“无废城市”试</w:t>
      </w:r>
      <w:r>
        <w:t>点工作。2021年11月，《中共中央国务院关于深入打好污</w:t>
      </w:r>
      <w:r>
        <w:rPr>
          <w:rFonts w:hint="eastAsia"/>
        </w:rPr>
        <w:t>染防治攻坚战的意见》</w:t>
      </w:r>
      <w:r>
        <w:t>提出要稳步推进</w:t>
      </w:r>
      <w:r>
        <w:rPr>
          <w:rFonts w:hint="eastAsia"/>
        </w:rPr>
        <w:t>“无废城市”</w:t>
      </w:r>
      <w:r>
        <w:t>建设。2021年12月，生态环境部等18个部委联合发布</w:t>
      </w:r>
      <w:r>
        <w:rPr>
          <w:rFonts w:hint="eastAsia"/>
        </w:rPr>
        <w:t>《“十四五”时期“无废城市”建</w:t>
      </w:r>
      <w:r>
        <w:t>设工作方案》，提出推动100个左右地级及以上城市开</w:t>
      </w:r>
      <w:r>
        <w:rPr>
          <w:rFonts w:hint="eastAsia"/>
        </w:rPr>
        <w:t>展“无废城市”建</w:t>
      </w:r>
      <w:r>
        <w:t>设。《合肥市国民经济和社会发展第十四个五年规划和2035年远景目标纲要》提出</w:t>
      </w:r>
      <w:r>
        <w:rPr>
          <w:rFonts w:hint="eastAsia"/>
        </w:rPr>
        <w:t>“</w:t>
      </w:r>
      <w:r>
        <w:t>加快全面绿色转型，打造美丽中国的合肥样板</w:t>
      </w:r>
      <w:r>
        <w:rPr>
          <w:rFonts w:hint="eastAsia"/>
        </w:rPr>
        <w:t>”</w:t>
      </w:r>
      <w:r>
        <w:t>，加快建设</w:t>
      </w:r>
      <w:r>
        <w:rPr>
          <w:rFonts w:hint="eastAsia"/>
        </w:rPr>
        <w:t>“</w:t>
      </w:r>
      <w:r>
        <w:t>无废城市</w:t>
      </w:r>
      <w:r>
        <w:rPr>
          <w:rFonts w:hint="eastAsia"/>
        </w:rPr>
        <w:t>”</w:t>
      </w:r>
      <w:r>
        <w:t>。2022年4月，合肥市入</w:t>
      </w:r>
      <w:r>
        <w:rPr>
          <w:rFonts w:hint="eastAsia"/>
        </w:rPr>
        <w:t>选“十四五”时期“无废城市”</w:t>
      </w:r>
      <w:r>
        <w:t>建设名单</w:t>
      </w:r>
      <w:r>
        <w:rPr>
          <w:rFonts w:hint="eastAsia"/>
        </w:rPr>
        <w:t>，瑶海区作为合肥市主城区之一，正处于绿色转型升级发展的关键时期，构筑固体废物综合利用体系、稳步推进“无废城市”建设，是从城市整体层面深化固体废物综合管理改革的有力抓手，也是践行新发展理念的题中之义。</w:t>
      </w:r>
    </w:p>
    <w:p w14:paraId="4FAF89E2">
      <w:pPr>
        <w:pStyle w:val="21"/>
        <w:ind w:firstLine="640"/>
        <w:sectPr>
          <w:footerReference r:id="rId4" w:type="default"/>
          <w:pgSz w:w="11906" w:h="16838"/>
          <w:pgMar w:top="1440" w:right="1800" w:bottom="1440" w:left="1800" w:header="851" w:footer="992" w:gutter="0"/>
          <w:pgNumType w:fmt="lowerRoman" w:start="1"/>
          <w:cols w:space="425" w:num="1"/>
          <w:docGrid w:type="lines" w:linePitch="312" w:charSpace="0"/>
        </w:sectPr>
      </w:pPr>
      <w:r>
        <w:rPr>
          <w:rFonts w:hint="eastAsia"/>
        </w:rPr>
        <w:t>《瑶海区“无废城市”</w:t>
      </w:r>
      <w:r>
        <w:t>建设实施方案》（以下简称《实施方案》）在分析梳理</w:t>
      </w:r>
      <w:r>
        <w:rPr>
          <w:rFonts w:hint="eastAsia"/>
        </w:rPr>
        <w:t>瑶海“无废城市”</w:t>
      </w:r>
      <w:r>
        <w:t>建设现状、短板不足的基础上，聚焦人与自然和谐共生美丽</w:t>
      </w:r>
      <w:r>
        <w:rPr>
          <w:rFonts w:hint="eastAsia"/>
        </w:rPr>
        <w:t>瑶海</w:t>
      </w:r>
      <w:r>
        <w:t>的战略目标，以一般工业固体废物、危险废物、生活源固体废物、建筑垃圾、农业固体废物</w:t>
      </w:r>
      <w:r>
        <w:rPr>
          <w:rFonts w:hint="eastAsia"/>
        </w:rPr>
        <w:t>、污染土壤</w:t>
      </w:r>
      <w:r>
        <w:t>为重点，大力推进减量化、资源化、无害化，促进减污降碳协同增效，推动固体废物治理体系和治理能力现代化，提出制度、技术、市场、监管四大体系33项重点建设任务和8项工程项目，着力打</w:t>
      </w:r>
      <w:r>
        <w:rPr>
          <w:rFonts w:hint="eastAsia"/>
        </w:rPr>
        <w:t>造“分类施策、多元共治、创新驱动、产业支撑”的固体废</w:t>
      </w:r>
      <w:r>
        <w:t>物综合治理新模式。《实施方案》</w:t>
      </w:r>
      <w:r>
        <w:rPr>
          <w:rFonts w:hint="eastAsia"/>
        </w:rPr>
        <w:t>是“十四五”</w:t>
      </w:r>
      <w:r>
        <w:t>时期指导</w:t>
      </w:r>
      <w:r>
        <w:rPr>
          <w:rFonts w:hint="eastAsia"/>
        </w:rPr>
        <w:t>瑶海区</w:t>
      </w:r>
      <w:r>
        <w:t>推</w:t>
      </w:r>
      <w:r>
        <w:rPr>
          <w:rFonts w:hint="eastAsia"/>
        </w:rPr>
        <w:t>进“无废城市”</w:t>
      </w:r>
      <w:r>
        <w:t>建设的纲领性文件。</w:t>
      </w:r>
    </w:p>
    <w:sdt>
      <w:sdtPr>
        <w:rPr>
          <w:rFonts w:asciiTheme="minorHAnsi" w:hAnsiTheme="minorHAnsi" w:eastAsiaTheme="minorEastAsia"/>
          <w:sz w:val="21"/>
          <w:lang w:val="zh-CN"/>
        </w:rPr>
        <w:id w:val="-1772384277"/>
        <w:docPartObj>
          <w:docPartGallery w:val="Table of Contents"/>
          <w:docPartUnique/>
        </w:docPartObj>
      </w:sdtPr>
      <w:sdtEndPr>
        <w:rPr>
          <w:rFonts w:ascii="Times New Roman" w:hAnsi="Times New Roman" w:eastAsia="黑体"/>
          <w:b/>
          <w:bCs/>
          <w:sz w:val="32"/>
          <w:lang w:val="zh-CN"/>
        </w:rPr>
      </w:sdtEndPr>
      <w:sdtContent>
        <w:p w14:paraId="2C93A21E">
          <w:pPr>
            <w:pStyle w:val="9"/>
            <w:tabs>
              <w:tab w:val="right" w:leader="dot" w:pos="8296"/>
            </w:tabs>
            <w:rPr>
              <w:rFonts w:asciiTheme="minorHAnsi" w:hAnsiTheme="minorHAnsi" w:eastAsiaTheme="minorEastAsia"/>
              <w:sz w:val="21"/>
              <w14:ligatures w14:val="standardContextual"/>
            </w:rPr>
          </w:pPr>
          <w:r>
            <w:rPr>
              <w:rStyle w:val="16"/>
            </w:rPr>
            <w:fldChar w:fldCharType="begin"/>
          </w:r>
          <w:r>
            <w:rPr>
              <w:rStyle w:val="16"/>
            </w:rPr>
            <w:instrText xml:space="preserve"> TOC \o "2-3" \h \z \t "标题 1,1,一、,1,表格标题,2" </w:instrText>
          </w:r>
          <w:r>
            <w:rPr>
              <w:rStyle w:val="16"/>
            </w:rPr>
            <w:fldChar w:fldCharType="separate"/>
          </w:r>
          <w:r>
            <w:fldChar w:fldCharType="begin"/>
          </w:r>
          <w:r>
            <w:instrText xml:space="preserve"> HYPERLINK \l "_Toc155617282" </w:instrText>
          </w:r>
          <w:r>
            <w:fldChar w:fldCharType="separate"/>
          </w:r>
          <w:r>
            <w:rPr>
              <w:rStyle w:val="16"/>
              <w:rFonts w:ascii="华文中宋" w:hAnsi="华文中宋" w:eastAsia="华文中宋"/>
            </w:rPr>
            <w:t>前  言</w:t>
          </w:r>
          <w:r>
            <w:tab/>
          </w:r>
          <w:r>
            <w:fldChar w:fldCharType="begin"/>
          </w:r>
          <w:r>
            <w:instrText xml:space="preserve"> PAGEREF _Toc155617282 \h </w:instrText>
          </w:r>
          <w:r>
            <w:fldChar w:fldCharType="separate"/>
          </w:r>
          <w:r>
            <w:t>i</w:t>
          </w:r>
          <w:r>
            <w:fldChar w:fldCharType="end"/>
          </w:r>
          <w:r>
            <w:fldChar w:fldCharType="end"/>
          </w:r>
        </w:p>
        <w:p w14:paraId="36BF1930">
          <w:pPr>
            <w:pStyle w:val="9"/>
            <w:tabs>
              <w:tab w:val="right" w:leader="dot" w:pos="8296"/>
            </w:tabs>
            <w:rPr>
              <w:rFonts w:asciiTheme="minorHAnsi" w:hAnsiTheme="minorHAnsi" w:eastAsiaTheme="minorEastAsia"/>
              <w:sz w:val="21"/>
              <w14:ligatures w14:val="standardContextual"/>
            </w:rPr>
          </w:pPr>
          <w:r>
            <w:fldChar w:fldCharType="begin"/>
          </w:r>
          <w:r>
            <w:instrText xml:space="preserve"> HYPERLINK \l "_Toc155617283" </w:instrText>
          </w:r>
          <w:r>
            <w:fldChar w:fldCharType="separate"/>
          </w:r>
          <w:r>
            <w:rPr>
              <w:rStyle w:val="16"/>
            </w:rPr>
            <w:t>一、建设基础</w:t>
          </w:r>
          <w:r>
            <w:tab/>
          </w:r>
          <w:r>
            <w:fldChar w:fldCharType="begin"/>
          </w:r>
          <w:r>
            <w:instrText xml:space="preserve"> PAGEREF _Toc155617283 \h </w:instrText>
          </w:r>
          <w:r>
            <w:fldChar w:fldCharType="separate"/>
          </w:r>
          <w:r>
            <w:t>1</w:t>
          </w:r>
          <w:r>
            <w:fldChar w:fldCharType="end"/>
          </w:r>
          <w:r>
            <w:fldChar w:fldCharType="end"/>
          </w:r>
        </w:p>
        <w:p w14:paraId="5C361A6E">
          <w:pPr>
            <w:pStyle w:val="10"/>
            <w:tabs>
              <w:tab w:val="right" w:leader="dot" w:pos="8296"/>
            </w:tabs>
            <w:rPr>
              <w:rFonts w:asciiTheme="minorHAnsi" w:hAnsiTheme="minorHAnsi" w:eastAsiaTheme="minorEastAsia"/>
              <w:sz w:val="21"/>
              <w14:ligatures w14:val="standardContextual"/>
            </w:rPr>
          </w:pPr>
          <w:r>
            <w:fldChar w:fldCharType="begin"/>
          </w:r>
          <w:r>
            <w:instrText xml:space="preserve"> HYPERLINK \l "_Toc155617284" </w:instrText>
          </w:r>
          <w:r>
            <w:fldChar w:fldCharType="separate"/>
          </w:r>
          <w:r>
            <w:rPr>
              <w:rStyle w:val="16"/>
            </w:rPr>
            <w:t>（一）工作进展及成效</w:t>
          </w:r>
          <w:r>
            <w:tab/>
          </w:r>
          <w:r>
            <w:fldChar w:fldCharType="begin"/>
          </w:r>
          <w:r>
            <w:instrText xml:space="preserve"> PAGEREF _Toc155617284 \h </w:instrText>
          </w:r>
          <w:r>
            <w:fldChar w:fldCharType="separate"/>
          </w:r>
          <w:r>
            <w:t>1</w:t>
          </w:r>
          <w:r>
            <w:fldChar w:fldCharType="end"/>
          </w:r>
          <w:r>
            <w:fldChar w:fldCharType="end"/>
          </w:r>
        </w:p>
        <w:p w14:paraId="22A0DF8E">
          <w:pPr>
            <w:pStyle w:val="10"/>
            <w:tabs>
              <w:tab w:val="right" w:leader="dot" w:pos="8296"/>
            </w:tabs>
            <w:rPr>
              <w:rFonts w:asciiTheme="minorHAnsi" w:hAnsiTheme="minorHAnsi" w:eastAsiaTheme="minorEastAsia"/>
              <w:sz w:val="21"/>
              <w14:ligatures w14:val="standardContextual"/>
            </w:rPr>
          </w:pPr>
          <w:r>
            <w:fldChar w:fldCharType="begin"/>
          </w:r>
          <w:r>
            <w:instrText xml:space="preserve"> HYPERLINK \l "_Toc155617285" </w:instrText>
          </w:r>
          <w:r>
            <w:fldChar w:fldCharType="separate"/>
          </w:r>
          <w:r>
            <w:rPr>
              <w:rStyle w:val="16"/>
            </w:rPr>
            <w:t>（二）存在的主要问题</w:t>
          </w:r>
          <w:r>
            <w:tab/>
          </w:r>
          <w:r>
            <w:fldChar w:fldCharType="begin"/>
          </w:r>
          <w:r>
            <w:instrText xml:space="preserve"> PAGEREF _Toc155617285 \h </w:instrText>
          </w:r>
          <w:r>
            <w:fldChar w:fldCharType="separate"/>
          </w:r>
          <w:r>
            <w:t>5</w:t>
          </w:r>
          <w:r>
            <w:fldChar w:fldCharType="end"/>
          </w:r>
          <w:r>
            <w:fldChar w:fldCharType="end"/>
          </w:r>
        </w:p>
        <w:p w14:paraId="10AD0C27">
          <w:pPr>
            <w:pStyle w:val="10"/>
            <w:tabs>
              <w:tab w:val="right" w:leader="dot" w:pos="8296"/>
            </w:tabs>
            <w:rPr>
              <w:rFonts w:asciiTheme="minorHAnsi" w:hAnsiTheme="minorHAnsi" w:eastAsiaTheme="minorEastAsia"/>
              <w:sz w:val="21"/>
              <w14:ligatures w14:val="standardContextual"/>
            </w:rPr>
          </w:pPr>
          <w:r>
            <w:fldChar w:fldCharType="begin"/>
          </w:r>
          <w:r>
            <w:instrText xml:space="preserve"> HYPERLINK \l "_Toc155617286" </w:instrText>
          </w:r>
          <w:r>
            <w:fldChar w:fldCharType="separate"/>
          </w:r>
          <w:r>
            <w:rPr>
              <w:rStyle w:val="16"/>
            </w:rPr>
            <w:t>（三）面临的机遇与挑战</w:t>
          </w:r>
          <w:r>
            <w:tab/>
          </w:r>
          <w:r>
            <w:fldChar w:fldCharType="begin"/>
          </w:r>
          <w:r>
            <w:instrText xml:space="preserve"> PAGEREF _Toc155617286 \h </w:instrText>
          </w:r>
          <w:r>
            <w:fldChar w:fldCharType="separate"/>
          </w:r>
          <w:r>
            <w:t>6</w:t>
          </w:r>
          <w:r>
            <w:fldChar w:fldCharType="end"/>
          </w:r>
          <w:r>
            <w:fldChar w:fldCharType="end"/>
          </w:r>
        </w:p>
        <w:p w14:paraId="59B7E52B">
          <w:pPr>
            <w:pStyle w:val="9"/>
            <w:tabs>
              <w:tab w:val="right" w:leader="dot" w:pos="8296"/>
            </w:tabs>
            <w:rPr>
              <w:rFonts w:asciiTheme="minorHAnsi" w:hAnsiTheme="minorHAnsi" w:eastAsiaTheme="minorEastAsia"/>
              <w:sz w:val="21"/>
              <w14:ligatures w14:val="standardContextual"/>
            </w:rPr>
          </w:pPr>
          <w:r>
            <w:fldChar w:fldCharType="begin"/>
          </w:r>
          <w:r>
            <w:instrText xml:space="preserve"> HYPERLINK \l "_Toc155617287" </w:instrText>
          </w:r>
          <w:r>
            <w:fldChar w:fldCharType="separate"/>
          </w:r>
          <w:r>
            <w:rPr>
              <w:rStyle w:val="16"/>
            </w:rPr>
            <w:t>二、建设思路</w:t>
          </w:r>
          <w:r>
            <w:tab/>
          </w:r>
          <w:r>
            <w:fldChar w:fldCharType="begin"/>
          </w:r>
          <w:r>
            <w:instrText xml:space="preserve"> PAGEREF _Toc155617287 \h </w:instrText>
          </w:r>
          <w:r>
            <w:fldChar w:fldCharType="separate"/>
          </w:r>
          <w:r>
            <w:t>9</w:t>
          </w:r>
          <w:r>
            <w:fldChar w:fldCharType="end"/>
          </w:r>
          <w:r>
            <w:fldChar w:fldCharType="end"/>
          </w:r>
        </w:p>
        <w:p w14:paraId="7EDF9AE1">
          <w:pPr>
            <w:pStyle w:val="10"/>
            <w:tabs>
              <w:tab w:val="right" w:leader="dot" w:pos="8296"/>
            </w:tabs>
            <w:rPr>
              <w:rFonts w:asciiTheme="minorHAnsi" w:hAnsiTheme="minorHAnsi" w:eastAsiaTheme="minorEastAsia"/>
              <w:sz w:val="21"/>
              <w14:ligatures w14:val="standardContextual"/>
            </w:rPr>
          </w:pPr>
          <w:r>
            <w:fldChar w:fldCharType="begin"/>
          </w:r>
          <w:r>
            <w:instrText xml:space="preserve"> HYPERLINK \l "_Toc155617288" </w:instrText>
          </w:r>
          <w:r>
            <w:fldChar w:fldCharType="separate"/>
          </w:r>
          <w:r>
            <w:rPr>
              <w:rStyle w:val="16"/>
            </w:rPr>
            <w:t>（一）指导思想</w:t>
          </w:r>
          <w:r>
            <w:tab/>
          </w:r>
          <w:r>
            <w:fldChar w:fldCharType="begin"/>
          </w:r>
          <w:r>
            <w:instrText xml:space="preserve"> PAGEREF _Toc155617288 \h </w:instrText>
          </w:r>
          <w:r>
            <w:fldChar w:fldCharType="separate"/>
          </w:r>
          <w:r>
            <w:t>9</w:t>
          </w:r>
          <w:r>
            <w:fldChar w:fldCharType="end"/>
          </w:r>
          <w:r>
            <w:fldChar w:fldCharType="end"/>
          </w:r>
        </w:p>
        <w:p w14:paraId="63459808">
          <w:pPr>
            <w:pStyle w:val="10"/>
            <w:tabs>
              <w:tab w:val="right" w:leader="dot" w:pos="8296"/>
            </w:tabs>
            <w:rPr>
              <w:rFonts w:asciiTheme="minorHAnsi" w:hAnsiTheme="minorHAnsi" w:eastAsiaTheme="minorEastAsia"/>
              <w:sz w:val="21"/>
              <w14:ligatures w14:val="standardContextual"/>
            </w:rPr>
          </w:pPr>
          <w:r>
            <w:fldChar w:fldCharType="begin"/>
          </w:r>
          <w:r>
            <w:instrText xml:space="preserve"> HYPERLINK \l "_Toc155617289" </w:instrText>
          </w:r>
          <w:r>
            <w:fldChar w:fldCharType="separate"/>
          </w:r>
          <w:r>
            <w:rPr>
              <w:rStyle w:val="16"/>
            </w:rPr>
            <w:t>（二）基本原则</w:t>
          </w:r>
          <w:r>
            <w:tab/>
          </w:r>
          <w:r>
            <w:fldChar w:fldCharType="begin"/>
          </w:r>
          <w:r>
            <w:instrText xml:space="preserve"> PAGEREF _Toc155617289 \h </w:instrText>
          </w:r>
          <w:r>
            <w:fldChar w:fldCharType="separate"/>
          </w:r>
          <w:r>
            <w:t>10</w:t>
          </w:r>
          <w:r>
            <w:fldChar w:fldCharType="end"/>
          </w:r>
          <w:r>
            <w:fldChar w:fldCharType="end"/>
          </w:r>
        </w:p>
        <w:p w14:paraId="7FE65321">
          <w:pPr>
            <w:pStyle w:val="10"/>
            <w:tabs>
              <w:tab w:val="right" w:leader="dot" w:pos="8296"/>
            </w:tabs>
            <w:rPr>
              <w:rFonts w:asciiTheme="minorHAnsi" w:hAnsiTheme="minorHAnsi" w:eastAsiaTheme="minorEastAsia"/>
              <w:sz w:val="21"/>
              <w14:ligatures w14:val="standardContextual"/>
            </w:rPr>
          </w:pPr>
          <w:r>
            <w:fldChar w:fldCharType="begin"/>
          </w:r>
          <w:r>
            <w:instrText xml:space="preserve"> HYPERLINK \l "_Toc155617290" </w:instrText>
          </w:r>
          <w:r>
            <w:fldChar w:fldCharType="separate"/>
          </w:r>
          <w:r>
            <w:rPr>
              <w:rStyle w:val="16"/>
            </w:rPr>
            <w:t>（三）实施期限和范围</w:t>
          </w:r>
          <w:r>
            <w:tab/>
          </w:r>
          <w:r>
            <w:fldChar w:fldCharType="begin"/>
          </w:r>
          <w:r>
            <w:instrText xml:space="preserve"> PAGEREF _Toc155617290 \h </w:instrText>
          </w:r>
          <w:r>
            <w:fldChar w:fldCharType="separate"/>
          </w:r>
          <w:r>
            <w:t>11</w:t>
          </w:r>
          <w:r>
            <w:fldChar w:fldCharType="end"/>
          </w:r>
          <w:r>
            <w:fldChar w:fldCharType="end"/>
          </w:r>
        </w:p>
        <w:p w14:paraId="42100C3A">
          <w:pPr>
            <w:pStyle w:val="9"/>
            <w:tabs>
              <w:tab w:val="right" w:leader="dot" w:pos="8296"/>
            </w:tabs>
            <w:rPr>
              <w:rFonts w:asciiTheme="minorHAnsi" w:hAnsiTheme="minorHAnsi" w:eastAsiaTheme="minorEastAsia"/>
              <w:sz w:val="21"/>
              <w14:ligatures w14:val="standardContextual"/>
            </w:rPr>
          </w:pPr>
          <w:r>
            <w:fldChar w:fldCharType="begin"/>
          </w:r>
          <w:r>
            <w:instrText xml:space="preserve"> HYPERLINK \l "_Toc155617291" </w:instrText>
          </w:r>
          <w:r>
            <w:fldChar w:fldCharType="separate"/>
          </w:r>
          <w:r>
            <w:rPr>
              <w:rStyle w:val="16"/>
            </w:rPr>
            <w:t>三、建设目标和指标</w:t>
          </w:r>
          <w:r>
            <w:tab/>
          </w:r>
          <w:r>
            <w:fldChar w:fldCharType="begin"/>
          </w:r>
          <w:r>
            <w:instrText xml:space="preserve"> PAGEREF _Toc155617291 \h </w:instrText>
          </w:r>
          <w:r>
            <w:fldChar w:fldCharType="separate"/>
          </w:r>
          <w:r>
            <w:t>11</w:t>
          </w:r>
          <w:r>
            <w:fldChar w:fldCharType="end"/>
          </w:r>
          <w:r>
            <w:fldChar w:fldCharType="end"/>
          </w:r>
        </w:p>
        <w:p w14:paraId="7CB1F4FE">
          <w:pPr>
            <w:pStyle w:val="10"/>
            <w:tabs>
              <w:tab w:val="right" w:leader="dot" w:pos="8296"/>
            </w:tabs>
            <w:rPr>
              <w:rFonts w:asciiTheme="minorHAnsi" w:hAnsiTheme="minorHAnsi" w:eastAsiaTheme="minorEastAsia"/>
              <w:sz w:val="21"/>
              <w14:ligatures w14:val="standardContextual"/>
            </w:rPr>
          </w:pPr>
          <w:r>
            <w:fldChar w:fldCharType="begin"/>
          </w:r>
          <w:r>
            <w:instrText xml:space="preserve"> HYPERLINK \l "_Toc155617292" </w:instrText>
          </w:r>
          <w:r>
            <w:fldChar w:fldCharType="separate"/>
          </w:r>
          <w:r>
            <w:rPr>
              <w:rStyle w:val="16"/>
            </w:rPr>
            <w:t>（一）建设目标</w:t>
          </w:r>
          <w:r>
            <w:tab/>
          </w:r>
          <w:r>
            <w:fldChar w:fldCharType="begin"/>
          </w:r>
          <w:r>
            <w:instrText xml:space="preserve"> PAGEREF _Toc155617292 \h </w:instrText>
          </w:r>
          <w:r>
            <w:fldChar w:fldCharType="separate"/>
          </w:r>
          <w:r>
            <w:t>11</w:t>
          </w:r>
          <w:r>
            <w:fldChar w:fldCharType="end"/>
          </w:r>
          <w:r>
            <w:fldChar w:fldCharType="end"/>
          </w:r>
        </w:p>
        <w:p w14:paraId="5210B201">
          <w:pPr>
            <w:pStyle w:val="10"/>
            <w:tabs>
              <w:tab w:val="right" w:leader="dot" w:pos="8296"/>
            </w:tabs>
            <w:rPr>
              <w:rFonts w:asciiTheme="minorHAnsi" w:hAnsiTheme="minorHAnsi" w:eastAsiaTheme="minorEastAsia"/>
              <w:sz w:val="21"/>
              <w14:ligatures w14:val="standardContextual"/>
            </w:rPr>
          </w:pPr>
          <w:r>
            <w:fldChar w:fldCharType="begin"/>
          </w:r>
          <w:r>
            <w:instrText xml:space="preserve"> HYPERLINK \l "_Toc155617293" </w:instrText>
          </w:r>
          <w:r>
            <w:fldChar w:fldCharType="separate"/>
          </w:r>
          <w:r>
            <w:rPr>
              <w:rStyle w:val="16"/>
            </w:rPr>
            <w:t>（二）建设指标</w:t>
          </w:r>
          <w:r>
            <w:tab/>
          </w:r>
          <w:r>
            <w:fldChar w:fldCharType="begin"/>
          </w:r>
          <w:r>
            <w:instrText xml:space="preserve"> PAGEREF _Toc155617293 \h </w:instrText>
          </w:r>
          <w:r>
            <w:fldChar w:fldCharType="separate"/>
          </w:r>
          <w:r>
            <w:t>12</w:t>
          </w:r>
          <w:r>
            <w:fldChar w:fldCharType="end"/>
          </w:r>
          <w:r>
            <w:fldChar w:fldCharType="end"/>
          </w:r>
        </w:p>
        <w:p w14:paraId="6589A268">
          <w:pPr>
            <w:pStyle w:val="9"/>
            <w:tabs>
              <w:tab w:val="right" w:leader="dot" w:pos="8296"/>
            </w:tabs>
            <w:rPr>
              <w:rFonts w:asciiTheme="minorHAnsi" w:hAnsiTheme="minorHAnsi" w:eastAsiaTheme="minorEastAsia"/>
              <w:sz w:val="21"/>
              <w14:ligatures w14:val="standardContextual"/>
            </w:rPr>
          </w:pPr>
          <w:r>
            <w:fldChar w:fldCharType="begin"/>
          </w:r>
          <w:r>
            <w:instrText xml:space="preserve"> HYPERLINK \l "_Toc155617294" </w:instrText>
          </w:r>
          <w:r>
            <w:fldChar w:fldCharType="separate"/>
          </w:r>
          <w:r>
            <w:rPr>
              <w:rStyle w:val="16"/>
            </w:rPr>
            <w:t>四、重点任务</w:t>
          </w:r>
          <w:r>
            <w:tab/>
          </w:r>
          <w:r>
            <w:fldChar w:fldCharType="begin"/>
          </w:r>
          <w:r>
            <w:instrText xml:space="preserve"> PAGEREF _Toc155617294 \h </w:instrText>
          </w:r>
          <w:r>
            <w:fldChar w:fldCharType="separate"/>
          </w:r>
          <w:r>
            <w:t>19</w:t>
          </w:r>
          <w:r>
            <w:fldChar w:fldCharType="end"/>
          </w:r>
          <w:r>
            <w:fldChar w:fldCharType="end"/>
          </w:r>
        </w:p>
        <w:p w14:paraId="6C286C03">
          <w:pPr>
            <w:pStyle w:val="10"/>
            <w:tabs>
              <w:tab w:val="right" w:leader="dot" w:pos="8296"/>
            </w:tabs>
            <w:rPr>
              <w:rFonts w:asciiTheme="minorHAnsi" w:hAnsiTheme="minorHAnsi" w:eastAsiaTheme="minorEastAsia"/>
              <w:sz w:val="21"/>
              <w14:ligatures w14:val="standardContextual"/>
            </w:rPr>
          </w:pPr>
          <w:r>
            <w:fldChar w:fldCharType="begin"/>
          </w:r>
          <w:r>
            <w:instrText xml:space="preserve"> HYPERLINK \l "_Toc155617295" </w:instrText>
          </w:r>
          <w:r>
            <w:fldChar w:fldCharType="separate"/>
          </w:r>
          <w:r>
            <w:rPr>
              <w:rStyle w:val="16"/>
            </w:rPr>
            <w:t>（一）坚持创新引领，健全一般工业固废全过程治理体系</w:t>
          </w:r>
          <w:r>
            <w:tab/>
          </w:r>
          <w:r>
            <w:fldChar w:fldCharType="begin"/>
          </w:r>
          <w:r>
            <w:instrText xml:space="preserve"> PAGEREF _Toc155617295 \h </w:instrText>
          </w:r>
          <w:r>
            <w:fldChar w:fldCharType="separate"/>
          </w:r>
          <w:r>
            <w:t>19</w:t>
          </w:r>
          <w:r>
            <w:fldChar w:fldCharType="end"/>
          </w:r>
          <w:r>
            <w:fldChar w:fldCharType="end"/>
          </w:r>
        </w:p>
        <w:p w14:paraId="65C48F12">
          <w:pPr>
            <w:pStyle w:val="6"/>
            <w:tabs>
              <w:tab w:val="right" w:leader="dot" w:pos="8296"/>
            </w:tabs>
            <w:rPr>
              <w:rFonts w:asciiTheme="minorHAnsi" w:hAnsiTheme="minorHAnsi" w:eastAsiaTheme="minorEastAsia"/>
              <w:sz w:val="21"/>
              <w14:ligatures w14:val="standardContextual"/>
            </w:rPr>
          </w:pPr>
          <w:r>
            <w:fldChar w:fldCharType="begin"/>
          </w:r>
          <w:r>
            <w:instrText xml:space="preserve"> HYPERLINK \l "_Toc155617296" </w:instrText>
          </w:r>
          <w:r>
            <w:fldChar w:fldCharType="separate"/>
          </w:r>
          <w:r>
            <w:rPr>
              <w:rStyle w:val="16"/>
            </w:rPr>
            <w:t>1. 加快全行业绿色转型发展，大力推进源头减量</w:t>
          </w:r>
          <w:r>
            <w:tab/>
          </w:r>
          <w:r>
            <w:fldChar w:fldCharType="begin"/>
          </w:r>
          <w:r>
            <w:instrText xml:space="preserve"> PAGEREF _Toc155617296 \h </w:instrText>
          </w:r>
          <w:r>
            <w:fldChar w:fldCharType="separate"/>
          </w:r>
          <w:r>
            <w:t>19</w:t>
          </w:r>
          <w:r>
            <w:fldChar w:fldCharType="end"/>
          </w:r>
          <w:r>
            <w:fldChar w:fldCharType="end"/>
          </w:r>
        </w:p>
        <w:p w14:paraId="40B1999A">
          <w:pPr>
            <w:pStyle w:val="6"/>
            <w:tabs>
              <w:tab w:val="right" w:leader="dot" w:pos="8296"/>
            </w:tabs>
            <w:rPr>
              <w:rFonts w:asciiTheme="minorHAnsi" w:hAnsiTheme="minorHAnsi" w:eastAsiaTheme="minorEastAsia"/>
              <w:sz w:val="21"/>
              <w14:ligatures w14:val="standardContextual"/>
            </w:rPr>
          </w:pPr>
          <w:r>
            <w:fldChar w:fldCharType="begin"/>
          </w:r>
          <w:r>
            <w:instrText xml:space="preserve"> HYPERLINK \l "_Toc155617297" </w:instrText>
          </w:r>
          <w:r>
            <w:fldChar w:fldCharType="separate"/>
          </w:r>
          <w:r>
            <w:rPr>
              <w:rStyle w:val="16"/>
            </w:rPr>
            <w:t>2. 强化资源化利用创新示范，拓宽综合利用渠道</w:t>
          </w:r>
          <w:r>
            <w:tab/>
          </w:r>
          <w:r>
            <w:fldChar w:fldCharType="begin"/>
          </w:r>
          <w:r>
            <w:instrText xml:space="preserve"> PAGEREF _Toc155617297 \h </w:instrText>
          </w:r>
          <w:r>
            <w:fldChar w:fldCharType="separate"/>
          </w:r>
          <w:r>
            <w:t>21</w:t>
          </w:r>
          <w:r>
            <w:fldChar w:fldCharType="end"/>
          </w:r>
          <w:r>
            <w:fldChar w:fldCharType="end"/>
          </w:r>
        </w:p>
        <w:p w14:paraId="785E90A5">
          <w:pPr>
            <w:pStyle w:val="6"/>
            <w:tabs>
              <w:tab w:val="right" w:leader="dot" w:pos="8296"/>
            </w:tabs>
            <w:rPr>
              <w:rFonts w:asciiTheme="minorHAnsi" w:hAnsiTheme="minorHAnsi" w:eastAsiaTheme="minorEastAsia"/>
              <w:sz w:val="21"/>
              <w14:ligatures w14:val="standardContextual"/>
            </w:rPr>
          </w:pPr>
          <w:r>
            <w:fldChar w:fldCharType="begin"/>
          </w:r>
          <w:r>
            <w:instrText xml:space="preserve"> HYPERLINK \l "_Toc155617298" </w:instrText>
          </w:r>
          <w:r>
            <w:fldChar w:fldCharType="separate"/>
          </w:r>
          <w:r>
            <w:rPr>
              <w:rStyle w:val="16"/>
            </w:rPr>
            <w:t>3. 加强无害化贮存处置管理，防范环境污染风险</w:t>
          </w:r>
          <w:r>
            <w:tab/>
          </w:r>
          <w:r>
            <w:fldChar w:fldCharType="begin"/>
          </w:r>
          <w:r>
            <w:instrText xml:space="preserve"> PAGEREF _Toc155617298 \h </w:instrText>
          </w:r>
          <w:r>
            <w:fldChar w:fldCharType="separate"/>
          </w:r>
          <w:r>
            <w:t>21</w:t>
          </w:r>
          <w:r>
            <w:fldChar w:fldCharType="end"/>
          </w:r>
          <w:r>
            <w:fldChar w:fldCharType="end"/>
          </w:r>
        </w:p>
        <w:p w14:paraId="5EDFF2C4">
          <w:pPr>
            <w:pStyle w:val="10"/>
            <w:tabs>
              <w:tab w:val="right" w:leader="dot" w:pos="8296"/>
            </w:tabs>
            <w:rPr>
              <w:rFonts w:asciiTheme="minorHAnsi" w:hAnsiTheme="minorHAnsi" w:eastAsiaTheme="minorEastAsia"/>
              <w:sz w:val="21"/>
              <w14:ligatures w14:val="standardContextual"/>
            </w:rPr>
          </w:pPr>
          <w:r>
            <w:fldChar w:fldCharType="begin"/>
          </w:r>
          <w:r>
            <w:instrText xml:space="preserve"> HYPERLINK \l "_Toc155617299" </w:instrText>
          </w:r>
          <w:r>
            <w:fldChar w:fldCharType="separate"/>
          </w:r>
          <w:r>
            <w:rPr>
              <w:rStyle w:val="16"/>
            </w:rPr>
            <w:t>（二）强化风险防范，提升危险废物监管和利用处置能力</w:t>
          </w:r>
          <w:r>
            <w:tab/>
          </w:r>
          <w:r>
            <w:fldChar w:fldCharType="begin"/>
          </w:r>
          <w:r>
            <w:instrText xml:space="preserve"> PAGEREF _Toc155617299 \h </w:instrText>
          </w:r>
          <w:r>
            <w:fldChar w:fldCharType="separate"/>
          </w:r>
          <w:r>
            <w:t>24</w:t>
          </w:r>
          <w:r>
            <w:fldChar w:fldCharType="end"/>
          </w:r>
          <w:r>
            <w:fldChar w:fldCharType="end"/>
          </w:r>
        </w:p>
        <w:p w14:paraId="5071278A">
          <w:pPr>
            <w:pStyle w:val="6"/>
            <w:tabs>
              <w:tab w:val="right" w:leader="dot" w:pos="8296"/>
            </w:tabs>
            <w:rPr>
              <w:rFonts w:asciiTheme="minorHAnsi" w:hAnsiTheme="minorHAnsi" w:eastAsiaTheme="minorEastAsia"/>
              <w:sz w:val="21"/>
              <w14:ligatures w14:val="standardContextual"/>
            </w:rPr>
          </w:pPr>
          <w:r>
            <w:fldChar w:fldCharType="begin"/>
          </w:r>
          <w:r>
            <w:instrText xml:space="preserve"> HYPERLINK \l "_Toc155617300" </w:instrText>
          </w:r>
          <w:r>
            <w:fldChar w:fldCharType="separate"/>
          </w:r>
          <w:r>
            <w:rPr>
              <w:rStyle w:val="16"/>
            </w:rPr>
            <w:t>1. 加强信息化管理，全面提升环境监管能力</w:t>
          </w:r>
          <w:r>
            <w:tab/>
          </w:r>
          <w:r>
            <w:fldChar w:fldCharType="begin"/>
          </w:r>
          <w:r>
            <w:instrText xml:space="preserve"> PAGEREF _Toc155617300 \h </w:instrText>
          </w:r>
          <w:r>
            <w:fldChar w:fldCharType="separate"/>
          </w:r>
          <w:r>
            <w:t>24</w:t>
          </w:r>
          <w:r>
            <w:fldChar w:fldCharType="end"/>
          </w:r>
          <w:r>
            <w:fldChar w:fldCharType="end"/>
          </w:r>
        </w:p>
        <w:p w14:paraId="2006A6E9">
          <w:pPr>
            <w:pStyle w:val="6"/>
            <w:tabs>
              <w:tab w:val="right" w:leader="dot" w:pos="8296"/>
            </w:tabs>
            <w:rPr>
              <w:rFonts w:asciiTheme="minorHAnsi" w:hAnsiTheme="minorHAnsi" w:eastAsiaTheme="minorEastAsia"/>
              <w:sz w:val="21"/>
              <w14:ligatures w14:val="standardContextual"/>
            </w:rPr>
          </w:pPr>
          <w:r>
            <w:fldChar w:fldCharType="begin"/>
          </w:r>
          <w:r>
            <w:instrText xml:space="preserve"> HYPERLINK \l "_Toc155617301" </w:instrText>
          </w:r>
          <w:r>
            <w:fldChar w:fldCharType="separate"/>
          </w:r>
          <w:r>
            <w:rPr>
              <w:rStyle w:val="16"/>
            </w:rPr>
            <w:t>2. 推进全方位收运，严格危险废物安全处置</w:t>
          </w:r>
          <w:r>
            <w:tab/>
          </w:r>
          <w:r>
            <w:fldChar w:fldCharType="begin"/>
          </w:r>
          <w:r>
            <w:instrText xml:space="preserve"> PAGEREF _Toc155617301 \h </w:instrText>
          </w:r>
          <w:r>
            <w:fldChar w:fldCharType="separate"/>
          </w:r>
          <w:r>
            <w:t>25</w:t>
          </w:r>
          <w:r>
            <w:fldChar w:fldCharType="end"/>
          </w:r>
          <w:r>
            <w:fldChar w:fldCharType="end"/>
          </w:r>
        </w:p>
        <w:p w14:paraId="3A3E00F3">
          <w:pPr>
            <w:pStyle w:val="6"/>
            <w:tabs>
              <w:tab w:val="right" w:leader="dot" w:pos="8296"/>
            </w:tabs>
            <w:rPr>
              <w:rFonts w:asciiTheme="minorHAnsi" w:hAnsiTheme="minorHAnsi" w:eastAsiaTheme="minorEastAsia"/>
              <w:sz w:val="21"/>
              <w14:ligatures w14:val="standardContextual"/>
            </w:rPr>
          </w:pPr>
          <w:r>
            <w:fldChar w:fldCharType="begin"/>
          </w:r>
          <w:r>
            <w:instrText xml:space="preserve"> HYPERLINK \l "_Toc155617302" </w:instrText>
          </w:r>
          <w:r>
            <w:fldChar w:fldCharType="separate"/>
          </w:r>
          <w:r>
            <w:rPr>
              <w:rStyle w:val="16"/>
            </w:rPr>
            <w:t>3. 实施精细化管理，切实提升风险防范能力</w:t>
          </w:r>
          <w:r>
            <w:tab/>
          </w:r>
          <w:r>
            <w:fldChar w:fldCharType="begin"/>
          </w:r>
          <w:r>
            <w:instrText xml:space="preserve"> PAGEREF _Toc155617302 \h </w:instrText>
          </w:r>
          <w:r>
            <w:fldChar w:fldCharType="separate"/>
          </w:r>
          <w:r>
            <w:t>26</w:t>
          </w:r>
          <w:r>
            <w:fldChar w:fldCharType="end"/>
          </w:r>
          <w:r>
            <w:fldChar w:fldCharType="end"/>
          </w:r>
        </w:p>
        <w:p w14:paraId="77B74EFA">
          <w:pPr>
            <w:pStyle w:val="10"/>
            <w:tabs>
              <w:tab w:val="right" w:leader="dot" w:pos="8296"/>
            </w:tabs>
            <w:rPr>
              <w:rFonts w:asciiTheme="minorHAnsi" w:hAnsiTheme="minorHAnsi" w:eastAsiaTheme="minorEastAsia"/>
              <w:sz w:val="21"/>
              <w14:ligatures w14:val="standardContextual"/>
            </w:rPr>
          </w:pPr>
          <w:r>
            <w:fldChar w:fldCharType="begin"/>
          </w:r>
          <w:r>
            <w:instrText xml:space="preserve"> HYPERLINK \l "_Toc155617303" </w:instrText>
          </w:r>
          <w:r>
            <w:fldChar w:fldCharType="separate"/>
          </w:r>
          <w:r>
            <w:rPr>
              <w:rStyle w:val="16"/>
            </w:rPr>
            <w:t>（三）推动分类回收，实施各类生活源固废精细化管理</w:t>
          </w:r>
          <w:r>
            <w:tab/>
          </w:r>
          <w:r>
            <w:fldChar w:fldCharType="begin"/>
          </w:r>
          <w:r>
            <w:instrText xml:space="preserve"> PAGEREF _Toc155617303 \h </w:instrText>
          </w:r>
          <w:r>
            <w:fldChar w:fldCharType="separate"/>
          </w:r>
          <w:r>
            <w:t>27</w:t>
          </w:r>
          <w:r>
            <w:fldChar w:fldCharType="end"/>
          </w:r>
          <w:r>
            <w:fldChar w:fldCharType="end"/>
          </w:r>
        </w:p>
        <w:p w14:paraId="4E5DD1D1">
          <w:pPr>
            <w:pStyle w:val="6"/>
            <w:tabs>
              <w:tab w:val="right" w:leader="dot" w:pos="8296"/>
            </w:tabs>
            <w:rPr>
              <w:rFonts w:asciiTheme="minorHAnsi" w:hAnsiTheme="minorHAnsi" w:eastAsiaTheme="minorEastAsia"/>
              <w:sz w:val="21"/>
              <w14:ligatures w14:val="standardContextual"/>
            </w:rPr>
          </w:pPr>
          <w:r>
            <w:fldChar w:fldCharType="begin"/>
          </w:r>
          <w:r>
            <w:instrText xml:space="preserve"> HYPERLINK \l "_Toc155617304" </w:instrText>
          </w:r>
          <w:r>
            <w:fldChar w:fldCharType="separate"/>
          </w:r>
          <w:r>
            <w:rPr>
              <w:rStyle w:val="16"/>
            </w:rPr>
            <w:t>1. 坚持多管齐下，推进各类固废高效回收利用</w:t>
          </w:r>
          <w:r>
            <w:tab/>
          </w:r>
          <w:r>
            <w:fldChar w:fldCharType="begin"/>
          </w:r>
          <w:r>
            <w:instrText xml:space="preserve"> PAGEREF _Toc155617304 \h </w:instrText>
          </w:r>
          <w:r>
            <w:fldChar w:fldCharType="separate"/>
          </w:r>
          <w:r>
            <w:t>27</w:t>
          </w:r>
          <w:r>
            <w:fldChar w:fldCharType="end"/>
          </w:r>
          <w:r>
            <w:fldChar w:fldCharType="end"/>
          </w:r>
        </w:p>
        <w:p w14:paraId="004728A7">
          <w:pPr>
            <w:pStyle w:val="6"/>
            <w:tabs>
              <w:tab w:val="right" w:leader="dot" w:pos="8296"/>
            </w:tabs>
            <w:rPr>
              <w:rFonts w:asciiTheme="minorHAnsi" w:hAnsiTheme="minorHAnsi" w:eastAsiaTheme="minorEastAsia"/>
              <w:sz w:val="21"/>
              <w14:ligatures w14:val="standardContextual"/>
            </w:rPr>
          </w:pPr>
          <w:r>
            <w:fldChar w:fldCharType="begin"/>
          </w:r>
          <w:r>
            <w:instrText xml:space="preserve"> HYPERLINK \l "_Toc155617305" </w:instrText>
          </w:r>
          <w:r>
            <w:fldChar w:fldCharType="separate"/>
          </w:r>
          <w:r>
            <w:rPr>
              <w:rStyle w:val="16"/>
            </w:rPr>
            <w:t>2. 探索</w:t>
          </w:r>
          <w:r>
            <w:rPr>
              <w:rStyle w:val="16"/>
              <w:rFonts w:hint="eastAsia"/>
            </w:rPr>
            <w:t>“两网融合”</w:t>
          </w:r>
          <w:r>
            <w:rPr>
              <w:rStyle w:val="16"/>
            </w:rPr>
            <w:t>，提升资源回收利用水平</w:t>
          </w:r>
          <w:r>
            <w:tab/>
          </w:r>
          <w:r>
            <w:fldChar w:fldCharType="begin"/>
          </w:r>
          <w:r>
            <w:instrText xml:space="preserve"> PAGEREF _Toc155617305 \h </w:instrText>
          </w:r>
          <w:r>
            <w:fldChar w:fldCharType="separate"/>
          </w:r>
          <w:r>
            <w:t>30</w:t>
          </w:r>
          <w:r>
            <w:fldChar w:fldCharType="end"/>
          </w:r>
          <w:r>
            <w:fldChar w:fldCharType="end"/>
          </w:r>
        </w:p>
        <w:p w14:paraId="44EF4D75">
          <w:pPr>
            <w:pStyle w:val="6"/>
            <w:tabs>
              <w:tab w:val="right" w:leader="dot" w:pos="8296"/>
            </w:tabs>
            <w:rPr>
              <w:rFonts w:asciiTheme="minorHAnsi" w:hAnsiTheme="minorHAnsi" w:eastAsiaTheme="minorEastAsia"/>
              <w:sz w:val="21"/>
              <w14:ligatures w14:val="standardContextual"/>
            </w:rPr>
          </w:pPr>
          <w:r>
            <w:fldChar w:fldCharType="begin"/>
          </w:r>
          <w:r>
            <w:instrText xml:space="preserve"> HYPERLINK \l "_Toc155617306" </w:instrText>
          </w:r>
          <w:r>
            <w:fldChar w:fldCharType="separate"/>
          </w:r>
          <w:r>
            <w:rPr>
              <w:rStyle w:val="16"/>
            </w:rPr>
            <w:t>3. 完善管理机制，确保无害处置全面覆盖</w:t>
          </w:r>
          <w:r>
            <w:tab/>
          </w:r>
          <w:r>
            <w:fldChar w:fldCharType="begin"/>
          </w:r>
          <w:r>
            <w:instrText xml:space="preserve"> PAGEREF _Toc155617306 \h </w:instrText>
          </w:r>
          <w:r>
            <w:fldChar w:fldCharType="separate"/>
          </w:r>
          <w:r>
            <w:t>31</w:t>
          </w:r>
          <w:r>
            <w:fldChar w:fldCharType="end"/>
          </w:r>
          <w:r>
            <w:fldChar w:fldCharType="end"/>
          </w:r>
        </w:p>
        <w:p w14:paraId="2B7B6397">
          <w:pPr>
            <w:pStyle w:val="10"/>
            <w:tabs>
              <w:tab w:val="right" w:leader="dot" w:pos="8296"/>
            </w:tabs>
            <w:rPr>
              <w:rFonts w:asciiTheme="minorHAnsi" w:hAnsiTheme="minorHAnsi" w:eastAsiaTheme="minorEastAsia"/>
              <w:sz w:val="21"/>
              <w14:ligatures w14:val="standardContextual"/>
            </w:rPr>
          </w:pPr>
          <w:r>
            <w:fldChar w:fldCharType="begin"/>
          </w:r>
          <w:r>
            <w:instrText xml:space="preserve"> HYPERLINK \l "_Toc155617307" </w:instrText>
          </w:r>
          <w:r>
            <w:fldChar w:fldCharType="separate"/>
          </w:r>
          <w:r>
            <w:rPr>
              <w:rStyle w:val="16"/>
            </w:rPr>
            <w:t>（四）畅通利用渠道，促进建筑垃圾资源再生循环</w:t>
          </w:r>
          <w:r>
            <w:tab/>
          </w:r>
          <w:r>
            <w:fldChar w:fldCharType="begin"/>
          </w:r>
          <w:r>
            <w:instrText xml:space="preserve"> PAGEREF _Toc155617307 \h </w:instrText>
          </w:r>
          <w:r>
            <w:fldChar w:fldCharType="separate"/>
          </w:r>
          <w:r>
            <w:t>33</w:t>
          </w:r>
          <w:r>
            <w:fldChar w:fldCharType="end"/>
          </w:r>
          <w:r>
            <w:fldChar w:fldCharType="end"/>
          </w:r>
        </w:p>
        <w:p w14:paraId="37A850CD">
          <w:pPr>
            <w:pStyle w:val="6"/>
            <w:tabs>
              <w:tab w:val="right" w:leader="dot" w:pos="8296"/>
            </w:tabs>
            <w:rPr>
              <w:rFonts w:asciiTheme="minorHAnsi" w:hAnsiTheme="minorHAnsi" w:eastAsiaTheme="minorEastAsia"/>
              <w:sz w:val="21"/>
              <w14:ligatures w14:val="standardContextual"/>
            </w:rPr>
          </w:pPr>
          <w:r>
            <w:fldChar w:fldCharType="begin"/>
          </w:r>
          <w:r>
            <w:instrText xml:space="preserve"> HYPERLINK \l "_Toc155617308" </w:instrText>
          </w:r>
          <w:r>
            <w:fldChar w:fldCharType="separate"/>
          </w:r>
          <w:r>
            <w:rPr>
              <w:rStyle w:val="16"/>
            </w:rPr>
            <w:t>1. 坚持多管齐下，促进建筑垃圾源头减量</w:t>
          </w:r>
          <w:r>
            <w:tab/>
          </w:r>
          <w:r>
            <w:fldChar w:fldCharType="begin"/>
          </w:r>
          <w:r>
            <w:instrText xml:space="preserve"> PAGEREF _Toc155617308 \h </w:instrText>
          </w:r>
          <w:r>
            <w:fldChar w:fldCharType="separate"/>
          </w:r>
          <w:r>
            <w:t>34</w:t>
          </w:r>
          <w:r>
            <w:fldChar w:fldCharType="end"/>
          </w:r>
          <w:r>
            <w:fldChar w:fldCharType="end"/>
          </w:r>
        </w:p>
        <w:p w14:paraId="4F30A41C">
          <w:pPr>
            <w:pStyle w:val="6"/>
            <w:tabs>
              <w:tab w:val="right" w:leader="dot" w:pos="8296"/>
            </w:tabs>
            <w:rPr>
              <w:rFonts w:asciiTheme="minorHAnsi" w:hAnsiTheme="minorHAnsi" w:eastAsiaTheme="minorEastAsia"/>
              <w:sz w:val="21"/>
              <w14:ligatures w14:val="standardContextual"/>
            </w:rPr>
          </w:pPr>
          <w:r>
            <w:fldChar w:fldCharType="begin"/>
          </w:r>
          <w:r>
            <w:instrText xml:space="preserve"> HYPERLINK \l "_Toc155617309" </w:instrText>
          </w:r>
          <w:r>
            <w:fldChar w:fldCharType="separate"/>
          </w:r>
          <w:r>
            <w:rPr>
              <w:rStyle w:val="16"/>
            </w:rPr>
            <w:t>2. 加强设施建设，拓宽资源利用渠道</w:t>
          </w:r>
          <w:r>
            <w:tab/>
          </w:r>
          <w:r>
            <w:fldChar w:fldCharType="begin"/>
          </w:r>
          <w:r>
            <w:instrText xml:space="preserve"> PAGEREF _Toc155617309 \h </w:instrText>
          </w:r>
          <w:r>
            <w:fldChar w:fldCharType="separate"/>
          </w:r>
          <w:r>
            <w:t>36</w:t>
          </w:r>
          <w:r>
            <w:fldChar w:fldCharType="end"/>
          </w:r>
          <w:r>
            <w:fldChar w:fldCharType="end"/>
          </w:r>
        </w:p>
        <w:p w14:paraId="1814A5A2">
          <w:pPr>
            <w:pStyle w:val="6"/>
            <w:tabs>
              <w:tab w:val="right" w:leader="dot" w:pos="8296"/>
            </w:tabs>
            <w:rPr>
              <w:rFonts w:asciiTheme="minorHAnsi" w:hAnsiTheme="minorHAnsi" w:eastAsiaTheme="minorEastAsia"/>
              <w:sz w:val="21"/>
              <w14:ligatures w14:val="standardContextual"/>
            </w:rPr>
          </w:pPr>
          <w:r>
            <w:fldChar w:fldCharType="begin"/>
          </w:r>
          <w:r>
            <w:instrText xml:space="preserve"> HYPERLINK \l "_Toc155617310" </w:instrText>
          </w:r>
          <w:r>
            <w:fldChar w:fldCharType="separate"/>
          </w:r>
          <w:r>
            <w:rPr>
              <w:rStyle w:val="16"/>
            </w:rPr>
            <w:t>3. 健全政策体系，推动全过程规范化管理</w:t>
          </w:r>
          <w:r>
            <w:tab/>
          </w:r>
          <w:r>
            <w:fldChar w:fldCharType="begin"/>
          </w:r>
          <w:r>
            <w:instrText xml:space="preserve"> PAGEREF _Toc155617310 \h </w:instrText>
          </w:r>
          <w:r>
            <w:fldChar w:fldCharType="separate"/>
          </w:r>
          <w:r>
            <w:t>36</w:t>
          </w:r>
          <w:r>
            <w:fldChar w:fldCharType="end"/>
          </w:r>
          <w:r>
            <w:fldChar w:fldCharType="end"/>
          </w:r>
        </w:p>
        <w:p w14:paraId="6B22FB0F">
          <w:pPr>
            <w:pStyle w:val="10"/>
            <w:tabs>
              <w:tab w:val="right" w:leader="dot" w:pos="8296"/>
            </w:tabs>
            <w:rPr>
              <w:rFonts w:asciiTheme="minorHAnsi" w:hAnsiTheme="minorHAnsi" w:eastAsiaTheme="minorEastAsia"/>
              <w:sz w:val="21"/>
              <w14:ligatures w14:val="standardContextual"/>
            </w:rPr>
          </w:pPr>
          <w:r>
            <w:fldChar w:fldCharType="begin"/>
          </w:r>
          <w:r>
            <w:instrText xml:space="preserve"> HYPERLINK \l "_Toc155617311" </w:instrText>
          </w:r>
          <w:r>
            <w:fldChar w:fldCharType="separate"/>
          </w:r>
          <w:r>
            <w:rPr>
              <w:rStyle w:val="16"/>
            </w:rPr>
            <w:t>（五）发展无废农业，推进农业固体废物高效利用</w:t>
          </w:r>
          <w:r>
            <w:tab/>
          </w:r>
          <w:r>
            <w:fldChar w:fldCharType="begin"/>
          </w:r>
          <w:r>
            <w:instrText xml:space="preserve"> PAGEREF _Toc155617311 \h </w:instrText>
          </w:r>
          <w:r>
            <w:fldChar w:fldCharType="separate"/>
          </w:r>
          <w:r>
            <w:t>39</w:t>
          </w:r>
          <w:r>
            <w:fldChar w:fldCharType="end"/>
          </w:r>
          <w:r>
            <w:fldChar w:fldCharType="end"/>
          </w:r>
        </w:p>
        <w:p w14:paraId="38066C08">
          <w:pPr>
            <w:pStyle w:val="6"/>
            <w:tabs>
              <w:tab w:val="right" w:leader="dot" w:pos="8296"/>
            </w:tabs>
            <w:rPr>
              <w:rFonts w:asciiTheme="minorHAnsi" w:hAnsiTheme="minorHAnsi" w:eastAsiaTheme="minorEastAsia"/>
              <w:sz w:val="21"/>
              <w14:ligatures w14:val="standardContextual"/>
            </w:rPr>
          </w:pPr>
          <w:r>
            <w:fldChar w:fldCharType="begin"/>
          </w:r>
          <w:r>
            <w:instrText xml:space="preserve"> HYPERLINK \l "_Toc155617312" </w:instrText>
          </w:r>
          <w:r>
            <w:fldChar w:fldCharType="separate"/>
          </w:r>
          <w:r>
            <w:rPr>
              <w:rStyle w:val="16"/>
            </w:rPr>
            <w:t>1. 推广农业清洁生产，发展高质量绿色化农业</w:t>
          </w:r>
          <w:r>
            <w:tab/>
          </w:r>
          <w:r>
            <w:fldChar w:fldCharType="begin"/>
          </w:r>
          <w:r>
            <w:instrText xml:space="preserve"> PAGEREF _Toc155617312 \h </w:instrText>
          </w:r>
          <w:r>
            <w:fldChar w:fldCharType="separate"/>
          </w:r>
          <w:r>
            <w:t>39</w:t>
          </w:r>
          <w:r>
            <w:fldChar w:fldCharType="end"/>
          </w:r>
          <w:r>
            <w:fldChar w:fldCharType="end"/>
          </w:r>
        </w:p>
        <w:p w14:paraId="696B32DD">
          <w:pPr>
            <w:pStyle w:val="6"/>
            <w:tabs>
              <w:tab w:val="right" w:leader="dot" w:pos="8296"/>
            </w:tabs>
            <w:rPr>
              <w:rFonts w:asciiTheme="minorHAnsi" w:hAnsiTheme="minorHAnsi" w:eastAsiaTheme="minorEastAsia"/>
              <w:sz w:val="21"/>
              <w14:ligatures w14:val="standardContextual"/>
            </w:rPr>
          </w:pPr>
          <w:r>
            <w:fldChar w:fldCharType="begin"/>
          </w:r>
          <w:r>
            <w:instrText xml:space="preserve"> HYPERLINK \l "_Toc155617313" </w:instrText>
          </w:r>
          <w:r>
            <w:fldChar w:fldCharType="separate"/>
          </w:r>
          <w:r>
            <w:rPr>
              <w:rStyle w:val="16"/>
            </w:rPr>
            <w:t>2. 健全循环利用体系，强化综合治理推进力度</w:t>
          </w:r>
          <w:r>
            <w:tab/>
          </w:r>
          <w:r>
            <w:fldChar w:fldCharType="begin"/>
          </w:r>
          <w:r>
            <w:instrText xml:space="preserve"> PAGEREF _Toc155617313 \h </w:instrText>
          </w:r>
          <w:r>
            <w:fldChar w:fldCharType="separate"/>
          </w:r>
          <w:r>
            <w:t>39</w:t>
          </w:r>
          <w:r>
            <w:fldChar w:fldCharType="end"/>
          </w:r>
          <w:r>
            <w:fldChar w:fldCharType="end"/>
          </w:r>
        </w:p>
        <w:p w14:paraId="508B3ED2">
          <w:pPr>
            <w:pStyle w:val="6"/>
            <w:tabs>
              <w:tab w:val="right" w:leader="dot" w:pos="8296"/>
            </w:tabs>
            <w:rPr>
              <w:rFonts w:asciiTheme="minorHAnsi" w:hAnsiTheme="minorHAnsi" w:eastAsiaTheme="minorEastAsia"/>
              <w:sz w:val="21"/>
              <w14:ligatures w14:val="standardContextual"/>
            </w:rPr>
          </w:pPr>
          <w:r>
            <w:fldChar w:fldCharType="begin"/>
          </w:r>
          <w:r>
            <w:instrText xml:space="preserve"> HYPERLINK \l "_Toc155617314" </w:instrText>
          </w:r>
          <w:r>
            <w:fldChar w:fldCharType="separate"/>
          </w:r>
          <w:r>
            <w:rPr>
              <w:rStyle w:val="16"/>
            </w:rPr>
            <w:t>3. 完善监督管理体系，提升污染综合防治能力</w:t>
          </w:r>
          <w:r>
            <w:tab/>
          </w:r>
          <w:r>
            <w:fldChar w:fldCharType="begin"/>
          </w:r>
          <w:r>
            <w:instrText xml:space="preserve"> PAGEREF _Toc155617314 \h </w:instrText>
          </w:r>
          <w:r>
            <w:fldChar w:fldCharType="separate"/>
          </w:r>
          <w:r>
            <w:t>40</w:t>
          </w:r>
          <w:r>
            <w:fldChar w:fldCharType="end"/>
          </w:r>
          <w:r>
            <w:fldChar w:fldCharType="end"/>
          </w:r>
        </w:p>
        <w:p w14:paraId="08F5E5C5">
          <w:pPr>
            <w:pStyle w:val="10"/>
            <w:tabs>
              <w:tab w:val="right" w:leader="dot" w:pos="8296"/>
            </w:tabs>
            <w:rPr>
              <w:rFonts w:asciiTheme="minorHAnsi" w:hAnsiTheme="minorHAnsi" w:eastAsiaTheme="minorEastAsia"/>
              <w:sz w:val="21"/>
              <w14:ligatures w14:val="standardContextual"/>
            </w:rPr>
          </w:pPr>
          <w:r>
            <w:fldChar w:fldCharType="begin"/>
          </w:r>
          <w:r>
            <w:instrText xml:space="preserve"> HYPERLINK \l "_Toc155617315" </w:instrText>
          </w:r>
          <w:r>
            <w:fldChar w:fldCharType="separate"/>
          </w:r>
          <w:r>
            <w:rPr>
              <w:rStyle w:val="16"/>
            </w:rPr>
            <w:t>（六）加强环境监管，助力污染地块土壤高效修复</w:t>
          </w:r>
          <w:r>
            <w:tab/>
          </w:r>
          <w:r>
            <w:fldChar w:fldCharType="begin"/>
          </w:r>
          <w:r>
            <w:instrText xml:space="preserve"> PAGEREF _Toc155617315 \h </w:instrText>
          </w:r>
          <w:r>
            <w:fldChar w:fldCharType="separate"/>
          </w:r>
          <w:r>
            <w:t>41</w:t>
          </w:r>
          <w:r>
            <w:fldChar w:fldCharType="end"/>
          </w:r>
          <w:r>
            <w:fldChar w:fldCharType="end"/>
          </w:r>
        </w:p>
        <w:p w14:paraId="5C7C641F">
          <w:pPr>
            <w:pStyle w:val="10"/>
            <w:tabs>
              <w:tab w:val="right" w:leader="dot" w:pos="8296"/>
            </w:tabs>
            <w:rPr>
              <w:rFonts w:asciiTheme="minorHAnsi" w:hAnsiTheme="minorHAnsi" w:eastAsiaTheme="minorEastAsia"/>
              <w:sz w:val="21"/>
              <w14:ligatures w14:val="standardContextual"/>
            </w:rPr>
          </w:pPr>
          <w:r>
            <w:fldChar w:fldCharType="begin"/>
          </w:r>
          <w:r>
            <w:instrText xml:space="preserve"> HYPERLINK \l "_Toc155617316" </w:instrText>
          </w:r>
          <w:r>
            <w:fldChar w:fldCharType="separate"/>
          </w:r>
          <w:r>
            <w:rPr>
              <w:rStyle w:val="16"/>
            </w:rPr>
            <w:t>（七）促进协同增效，积极推动固废综合利用减污降碳</w:t>
          </w:r>
          <w:r>
            <w:tab/>
          </w:r>
          <w:r>
            <w:fldChar w:fldCharType="begin"/>
          </w:r>
          <w:r>
            <w:instrText xml:space="preserve"> PAGEREF _Toc155617316 \h </w:instrText>
          </w:r>
          <w:r>
            <w:fldChar w:fldCharType="separate"/>
          </w:r>
          <w:r>
            <w:t>44</w:t>
          </w:r>
          <w:r>
            <w:fldChar w:fldCharType="end"/>
          </w:r>
          <w:r>
            <w:fldChar w:fldCharType="end"/>
          </w:r>
        </w:p>
        <w:p w14:paraId="2B19E3E3">
          <w:pPr>
            <w:pStyle w:val="10"/>
            <w:tabs>
              <w:tab w:val="right" w:leader="dot" w:pos="8296"/>
            </w:tabs>
            <w:rPr>
              <w:rFonts w:asciiTheme="minorHAnsi" w:hAnsiTheme="minorHAnsi" w:eastAsiaTheme="minorEastAsia"/>
              <w:sz w:val="21"/>
              <w14:ligatures w14:val="standardContextual"/>
            </w:rPr>
          </w:pPr>
          <w:r>
            <w:fldChar w:fldCharType="begin"/>
          </w:r>
          <w:r>
            <w:instrText xml:space="preserve"> HYPERLINK \l "_Toc155617317" </w:instrText>
          </w:r>
          <w:r>
            <w:fldChar w:fldCharType="separate"/>
          </w:r>
          <w:r>
            <w:rPr>
              <w:rStyle w:val="16"/>
            </w:rPr>
            <w:t>（八）推进体系建设，提升</w:t>
          </w:r>
          <w:r>
            <w:rPr>
              <w:rStyle w:val="16"/>
              <w:rFonts w:hint="eastAsia"/>
            </w:rPr>
            <w:t>“无废城市”</w:t>
          </w:r>
          <w:r>
            <w:rPr>
              <w:rStyle w:val="16"/>
            </w:rPr>
            <w:t>系统保障能力</w:t>
          </w:r>
          <w:r>
            <w:tab/>
          </w:r>
          <w:r>
            <w:fldChar w:fldCharType="begin"/>
          </w:r>
          <w:r>
            <w:instrText xml:space="preserve"> PAGEREF _Toc155617317 \h </w:instrText>
          </w:r>
          <w:r>
            <w:fldChar w:fldCharType="separate"/>
          </w:r>
          <w:r>
            <w:t>46</w:t>
          </w:r>
          <w:r>
            <w:fldChar w:fldCharType="end"/>
          </w:r>
          <w:r>
            <w:fldChar w:fldCharType="end"/>
          </w:r>
        </w:p>
        <w:p w14:paraId="1B484127">
          <w:pPr>
            <w:pStyle w:val="10"/>
            <w:tabs>
              <w:tab w:val="right" w:leader="dot" w:pos="8296"/>
            </w:tabs>
            <w:rPr>
              <w:rFonts w:asciiTheme="minorHAnsi" w:hAnsiTheme="minorHAnsi" w:eastAsiaTheme="minorEastAsia"/>
              <w:sz w:val="21"/>
              <w14:ligatures w14:val="standardContextual"/>
            </w:rPr>
          </w:pPr>
          <w:r>
            <w:fldChar w:fldCharType="begin"/>
          </w:r>
          <w:r>
            <w:instrText xml:space="preserve"> HYPERLINK \l "_Toc155617318" </w:instrText>
          </w:r>
          <w:r>
            <w:fldChar w:fldCharType="separate"/>
          </w:r>
          <w:r>
            <w:rPr>
              <w:rStyle w:val="16"/>
            </w:rPr>
            <w:t>（九）培育无废文化，打</w:t>
          </w:r>
          <w:r>
            <w:rPr>
              <w:rStyle w:val="16"/>
              <w:rFonts w:hint="eastAsia"/>
            </w:rPr>
            <w:t>造“无废城市”</w:t>
          </w:r>
          <w:r>
            <w:rPr>
              <w:rStyle w:val="16"/>
            </w:rPr>
            <w:t>多元共治格局</w:t>
          </w:r>
          <w:r>
            <w:tab/>
          </w:r>
          <w:r>
            <w:fldChar w:fldCharType="begin"/>
          </w:r>
          <w:r>
            <w:instrText xml:space="preserve"> PAGEREF _Toc155617318 \h </w:instrText>
          </w:r>
          <w:r>
            <w:fldChar w:fldCharType="separate"/>
          </w:r>
          <w:r>
            <w:t>49</w:t>
          </w:r>
          <w:r>
            <w:fldChar w:fldCharType="end"/>
          </w:r>
          <w:r>
            <w:fldChar w:fldCharType="end"/>
          </w:r>
        </w:p>
        <w:p w14:paraId="3DF825CC">
          <w:pPr>
            <w:pStyle w:val="9"/>
            <w:tabs>
              <w:tab w:val="right" w:leader="dot" w:pos="8296"/>
            </w:tabs>
            <w:rPr>
              <w:rFonts w:asciiTheme="minorHAnsi" w:hAnsiTheme="minorHAnsi" w:eastAsiaTheme="minorEastAsia"/>
              <w:sz w:val="21"/>
              <w14:ligatures w14:val="standardContextual"/>
            </w:rPr>
          </w:pPr>
          <w:r>
            <w:fldChar w:fldCharType="begin"/>
          </w:r>
          <w:r>
            <w:instrText xml:space="preserve"> HYPERLINK \l "_Toc155617319" </w:instrText>
          </w:r>
          <w:r>
            <w:fldChar w:fldCharType="separate"/>
          </w:r>
          <w:r>
            <w:rPr>
              <w:rStyle w:val="16"/>
            </w:rPr>
            <w:t>五、保障措施</w:t>
          </w:r>
          <w:r>
            <w:tab/>
          </w:r>
          <w:r>
            <w:fldChar w:fldCharType="begin"/>
          </w:r>
          <w:r>
            <w:instrText xml:space="preserve"> PAGEREF _Toc155617319 \h </w:instrText>
          </w:r>
          <w:r>
            <w:fldChar w:fldCharType="separate"/>
          </w:r>
          <w:r>
            <w:t>52</w:t>
          </w:r>
          <w:r>
            <w:fldChar w:fldCharType="end"/>
          </w:r>
          <w:r>
            <w:fldChar w:fldCharType="end"/>
          </w:r>
        </w:p>
        <w:p w14:paraId="73CED886">
          <w:pPr>
            <w:pStyle w:val="10"/>
            <w:tabs>
              <w:tab w:val="right" w:leader="dot" w:pos="8296"/>
            </w:tabs>
            <w:rPr>
              <w:rFonts w:asciiTheme="minorHAnsi" w:hAnsiTheme="minorHAnsi" w:eastAsiaTheme="minorEastAsia"/>
              <w:sz w:val="21"/>
              <w14:ligatures w14:val="standardContextual"/>
            </w:rPr>
          </w:pPr>
          <w:r>
            <w:fldChar w:fldCharType="begin"/>
          </w:r>
          <w:r>
            <w:instrText xml:space="preserve"> HYPERLINK \l "_Toc155617320" </w:instrText>
          </w:r>
          <w:r>
            <w:fldChar w:fldCharType="separate"/>
          </w:r>
          <w:r>
            <w:rPr>
              <w:rStyle w:val="16"/>
            </w:rPr>
            <w:t>（一）加强组织领导</w:t>
          </w:r>
          <w:r>
            <w:tab/>
          </w:r>
          <w:r>
            <w:fldChar w:fldCharType="begin"/>
          </w:r>
          <w:r>
            <w:instrText xml:space="preserve"> PAGEREF _Toc155617320 \h </w:instrText>
          </w:r>
          <w:r>
            <w:fldChar w:fldCharType="separate"/>
          </w:r>
          <w:r>
            <w:t>52</w:t>
          </w:r>
          <w:r>
            <w:fldChar w:fldCharType="end"/>
          </w:r>
          <w:r>
            <w:fldChar w:fldCharType="end"/>
          </w:r>
        </w:p>
        <w:p w14:paraId="61558F94">
          <w:pPr>
            <w:pStyle w:val="10"/>
            <w:tabs>
              <w:tab w:val="right" w:leader="dot" w:pos="8296"/>
            </w:tabs>
            <w:rPr>
              <w:rFonts w:asciiTheme="minorHAnsi" w:hAnsiTheme="minorHAnsi" w:eastAsiaTheme="minorEastAsia"/>
              <w:sz w:val="21"/>
              <w14:ligatures w14:val="standardContextual"/>
            </w:rPr>
          </w:pPr>
          <w:r>
            <w:fldChar w:fldCharType="begin"/>
          </w:r>
          <w:r>
            <w:instrText xml:space="preserve"> HYPERLINK \l "_Toc155617321" </w:instrText>
          </w:r>
          <w:r>
            <w:fldChar w:fldCharType="separate"/>
          </w:r>
          <w:r>
            <w:rPr>
              <w:rStyle w:val="16"/>
            </w:rPr>
            <w:t>（二）建立工作机制</w:t>
          </w:r>
          <w:r>
            <w:tab/>
          </w:r>
          <w:r>
            <w:fldChar w:fldCharType="begin"/>
          </w:r>
          <w:r>
            <w:instrText xml:space="preserve"> PAGEREF _Toc155617321 \h </w:instrText>
          </w:r>
          <w:r>
            <w:fldChar w:fldCharType="separate"/>
          </w:r>
          <w:r>
            <w:t>52</w:t>
          </w:r>
          <w:r>
            <w:fldChar w:fldCharType="end"/>
          </w:r>
          <w:r>
            <w:fldChar w:fldCharType="end"/>
          </w:r>
        </w:p>
        <w:p w14:paraId="2A720732">
          <w:pPr>
            <w:pStyle w:val="10"/>
            <w:tabs>
              <w:tab w:val="right" w:leader="dot" w:pos="8296"/>
            </w:tabs>
            <w:rPr>
              <w:rFonts w:asciiTheme="minorHAnsi" w:hAnsiTheme="minorHAnsi" w:eastAsiaTheme="minorEastAsia"/>
              <w:sz w:val="21"/>
              <w14:ligatures w14:val="standardContextual"/>
            </w:rPr>
          </w:pPr>
          <w:r>
            <w:fldChar w:fldCharType="begin"/>
          </w:r>
          <w:r>
            <w:instrText xml:space="preserve"> HYPERLINK \l "_Toc155617322" </w:instrText>
          </w:r>
          <w:r>
            <w:fldChar w:fldCharType="separate"/>
          </w:r>
          <w:r>
            <w:rPr>
              <w:rStyle w:val="16"/>
            </w:rPr>
            <w:t>（三）加大要素保障</w:t>
          </w:r>
          <w:r>
            <w:tab/>
          </w:r>
          <w:r>
            <w:fldChar w:fldCharType="begin"/>
          </w:r>
          <w:r>
            <w:instrText xml:space="preserve"> PAGEREF _Toc155617322 \h </w:instrText>
          </w:r>
          <w:r>
            <w:fldChar w:fldCharType="separate"/>
          </w:r>
          <w:r>
            <w:t>53</w:t>
          </w:r>
          <w:r>
            <w:fldChar w:fldCharType="end"/>
          </w:r>
          <w:r>
            <w:fldChar w:fldCharType="end"/>
          </w:r>
        </w:p>
        <w:p w14:paraId="738AC840">
          <w:pPr>
            <w:pStyle w:val="10"/>
            <w:tabs>
              <w:tab w:val="right" w:leader="dot" w:pos="8296"/>
            </w:tabs>
            <w:rPr>
              <w:rFonts w:asciiTheme="minorHAnsi" w:hAnsiTheme="minorHAnsi" w:eastAsiaTheme="minorEastAsia"/>
              <w:sz w:val="21"/>
              <w14:ligatures w14:val="standardContextual"/>
            </w:rPr>
          </w:pPr>
          <w:r>
            <w:fldChar w:fldCharType="begin"/>
          </w:r>
          <w:r>
            <w:instrText xml:space="preserve"> HYPERLINK \l "_Toc155617323" </w:instrText>
          </w:r>
          <w:r>
            <w:fldChar w:fldCharType="separate"/>
          </w:r>
          <w:r>
            <w:rPr>
              <w:rStyle w:val="16"/>
            </w:rPr>
            <w:t>（四）强化评估考核</w:t>
          </w:r>
          <w:r>
            <w:tab/>
          </w:r>
          <w:r>
            <w:fldChar w:fldCharType="begin"/>
          </w:r>
          <w:r>
            <w:instrText xml:space="preserve"> PAGEREF _Toc155617323 \h </w:instrText>
          </w:r>
          <w:r>
            <w:fldChar w:fldCharType="separate"/>
          </w:r>
          <w:r>
            <w:t>53</w:t>
          </w:r>
          <w:r>
            <w:fldChar w:fldCharType="end"/>
          </w:r>
          <w:r>
            <w:fldChar w:fldCharType="end"/>
          </w:r>
        </w:p>
        <w:p w14:paraId="2E313D35">
          <w:pPr>
            <w:pStyle w:val="10"/>
            <w:tabs>
              <w:tab w:val="right" w:leader="dot" w:pos="8296"/>
            </w:tabs>
            <w:rPr>
              <w:rFonts w:asciiTheme="minorHAnsi" w:hAnsiTheme="minorHAnsi" w:eastAsiaTheme="minorEastAsia"/>
              <w:sz w:val="21"/>
              <w14:ligatures w14:val="standardContextual"/>
            </w:rPr>
          </w:pPr>
          <w:r>
            <w:rPr>
              <w:rFonts w:hint="eastAsia"/>
            </w:rPr>
            <w:t>附件1</w:t>
          </w:r>
          <w:r>
            <w:t xml:space="preserve"> </w:t>
          </w:r>
          <w:r>
            <w:fldChar w:fldCharType="begin"/>
          </w:r>
          <w:r>
            <w:instrText xml:space="preserve"> HYPERLINK \l "_Toc155617324" </w:instrText>
          </w:r>
          <w:r>
            <w:fldChar w:fldCharType="separate"/>
          </w:r>
          <w:r>
            <w:rPr>
              <w:rStyle w:val="16"/>
              <w:rFonts w:hint="eastAsia"/>
            </w:rPr>
            <w:t>“无废城市”制度体系建设任务清单</w:t>
          </w:r>
          <w:r>
            <w:rPr>
              <w:rFonts w:hint="eastAsia"/>
            </w:rPr>
            <w:tab/>
          </w:r>
          <w:r>
            <w:rPr>
              <w:rFonts w:hint="eastAsia"/>
            </w:rPr>
            <w:fldChar w:fldCharType="begin"/>
          </w:r>
          <w:r>
            <w:rPr>
              <w:rFonts w:hint="eastAsia"/>
            </w:rPr>
            <w:instrText xml:space="preserve"> PAGEREF _Toc155617324 \h </w:instrText>
          </w:r>
          <w:r>
            <w:rPr>
              <w:rFonts w:hint="eastAsia"/>
            </w:rPr>
            <w:fldChar w:fldCharType="separate"/>
          </w:r>
          <w:r>
            <w:t>55</w:t>
          </w:r>
          <w:r>
            <w:rPr>
              <w:rFonts w:hint="eastAsia"/>
            </w:rPr>
            <w:fldChar w:fldCharType="end"/>
          </w:r>
          <w:r>
            <w:rPr>
              <w:rFonts w:hint="eastAsia"/>
            </w:rPr>
            <w:fldChar w:fldCharType="end"/>
          </w:r>
        </w:p>
        <w:p w14:paraId="3205DAC5">
          <w:pPr>
            <w:pStyle w:val="10"/>
            <w:tabs>
              <w:tab w:val="right" w:leader="dot" w:pos="8296"/>
            </w:tabs>
            <w:rPr>
              <w:rFonts w:asciiTheme="minorHAnsi" w:hAnsiTheme="minorHAnsi" w:eastAsiaTheme="minorEastAsia"/>
              <w:sz w:val="21"/>
              <w14:ligatures w14:val="standardContextual"/>
            </w:rPr>
          </w:pPr>
          <w:r>
            <w:rPr>
              <w:rFonts w:hint="eastAsia"/>
            </w:rPr>
            <w:t>附件2</w:t>
          </w:r>
          <w:r>
            <w:t xml:space="preserve"> </w:t>
          </w:r>
          <w:r>
            <w:fldChar w:fldCharType="begin"/>
          </w:r>
          <w:r>
            <w:instrText xml:space="preserve"> HYPERLINK \l "_Toc155617325" </w:instrText>
          </w:r>
          <w:r>
            <w:fldChar w:fldCharType="separate"/>
          </w:r>
          <w:r>
            <w:rPr>
              <w:rStyle w:val="16"/>
              <w:rFonts w:hint="eastAsia"/>
            </w:rPr>
            <w:t>“无废城市”技术体系建设任务清单</w:t>
          </w:r>
          <w:r>
            <w:rPr>
              <w:rFonts w:hint="eastAsia"/>
            </w:rPr>
            <w:tab/>
          </w:r>
          <w:r>
            <w:rPr>
              <w:rFonts w:hint="eastAsia"/>
            </w:rPr>
            <w:fldChar w:fldCharType="begin"/>
          </w:r>
          <w:r>
            <w:rPr>
              <w:rFonts w:hint="eastAsia"/>
            </w:rPr>
            <w:instrText xml:space="preserve"> PAGEREF _Toc155617325 \h </w:instrText>
          </w:r>
          <w:r>
            <w:rPr>
              <w:rFonts w:hint="eastAsia"/>
            </w:rPr>
            <w:fldChar w:fldCharType="separate"/>
          </w:r>
          <w:r>
            <w:t>58</w:t>
          </w:r>
          <w:r>
            <w:rPr>
              <w:rFonts w:hint="eastAsia"/>
            </w:rPr>
            <w:fldChar w:fldCharType="end"/>
          </w:r>
          <w:r>
            <w:rPr>
              <w:rFonts w:hint="eastAsia"/>
            </w:rPr>
            <w:fldChar w:fldCharType="end"/>
          </w:r>
        </w:p>
        <w:p w14:paraId="25A67A1B">
          <w:pPr>
            <w:pStyle w:val="10"/>
            <w:tabs>
              <w:tab w:val="right" w:leader="dot" w:pos="8296"/>
            </w:tabs>
            <w:rPr>
              <w:rFonts w:asciiTheme="minorHAnsi" w:hAnsiTheme="minorHAnsi" w:eastAsiaTheme="minorEastAsia"/>
              <w:sz w:val="21"/>
              <w14:ligatures w14:val="standardContextual"/>
            </w:rPr>
          </w:pPr>
          <w:r>
            <w:rPr>
              <w:rFonts w:hint="eastAsia"/>
            </w:rPr>
            <w:t>附件3</w:t>
          </w:r>
          <w:r>
            <w:t xml:space="preserve"> </w:t>
          </w:r>
          <w:r>
            <w:fldChar w:fldCharType="begin"/>
          </w:r>
          <w:r>
            <w:instrText xml:space="preserve"> HYPERLINK \l "_Toc155617326" </w:instrText>
          </w:r>
          <w:r>
            <w:fldChar w:fldCharType="separate"/>
          </w:r>
          <w:r>
            <w:rPr>
              <w:rStyle w:val="16"/>
              <w:rFonts w:hint="eastAsia"/>
            </w:rPr>
            <w:t>“无废城市”市场体系建设任务清单</w:t>
          </w:r>
          <w:r>
            <w:rPr>
              <w:rFonts w:hint="eastAsia"/>
            </w:rPr>
            <w:tab/>
          </w:r>
          <w:r>
            <w:rPr>
              <w:rFonts w:hint="eastAsia"/>
            </w:rPr>
            <w:fldChar w:fldCharType="begin"/>
          </w:r>
          <w:r>
            <w:rPr>
              <w:rFonts w:hint="eastAsia"/>
            </w:rPr>
            <w:instrText xml:space="preserve"> PAGEREF _Toc155617326 \h </w:instrText>
          </w:r>
          <w:r>
            <w:rPr>
              <w:rFonts w:hint="eastAsia"/>
            </w:rPr>
            <w:fldChar w:fldCharType="separate"/>
          </w:r>
          <w:r>
            <w:t>59</w:t>
          </w:r>
          <w:r>
            <w:rPr>
              <w:rFonts w:hint="eastAsia"/>
            </w:rPr>
            <w:fldChar w:fldCharType="end"/>
          </w:r>
          <w:r>
            <w:rPr>
              <w:rFonts w:hint="eastAsia"/>
            </w:rPr>
            <w:fldChar w:fldCharType="end"/>
          </w:r>
        </w:p>
        <w:p w14:paraId="7EA71CAC">
          <w:pPr>
            <w:pStyle w:val="10"/>
            <w:tabs>
              <w:tab w:val="right" w:leader="dot" w:pos="8296"/>
            </w:tabs>
            <w:rPr>
              <w:rFonts w:asciiTheme="minorHAnsi" w:hAnsiTheme="minorHAnsi" w:eastAsiaTheme="minorEastAsia"/>
              <w:sz w:val="21"/>
              <w14:ligatures w14:val="standardContextual"/>
            </w:rPr>
          </w:pPr>
          <w:r>
            <w:rPr>
              <w:rFonts w:hint="eastAsia"/>
            </w:rPr>
            <w:t>附件4</w:t>
          </w:r>
          <w:r>
            <w:t xml:space="preserve"> </w:t>
          </w:r>
          <w:r>
            <w:fldChar w:fldCharType="begin"/>
          </w:r>
          <w:r>
            <w:instrText xml:space="preserve"> HYPERLINK \l "_Toc155617327" </w:instrText>
          </w:r>
          <w:r>
            <w:fldChar w:fldCharType="separate"/>
          </w:r>
          <w:r>
            <w:rPr>
              <w:rStyle w:val="16"/>
              <w:rFonts w:hint="eastAsia"/>
            </w:rPr>
            <w:t>“无废城市”监管体系建设任务清单</w:t>
          </w:r>
          <w:r>
            <w:rPr>
              <w:rFonts w:hint="eastAsia"/>
            </w:rPr>
            <w:tab/>
          </w:r>
          <w:r>
            <w:rPr>
              <w:rFonts w:hint="eastAsia"/>
            </w:rPr>
            <w:fldChar w:fldCharType="begin"/>
          </w:r>
          <w:r>
            <w:rPr>
              <w:rFonts w:hint="eastAsia"/>
            </w:rPr>
            <w:instrText xml:space="preserve"> PAGEREF _Toc155617327 \h </w:instrText>
          </w:r>
          <w:r>
            <w:rPr>
              <w:rFonts w:hint="eastAsia"/>
            </w:rPr>
            <w:fldChar w:fldCharType="separate"/>
          </w:r>
          <w:r>
            <w:t>61</w:t>
          </w:r>
          <w:r>
            <w:rPr>
              <w:rFonts w:hint="eastAsia"/>
            </w:rPr>
            <w:fldChar w:fldCharType="end"/>
          </w:r>
          <w:r>
            <w:rPr>
              <w:rFonts w:hint="eastAsia"/>
            </w:rPr>
            <w:fldChar w:fldCharType="end"/>
          </w:r>
        </w:p>
        <w:p w14:paraId="6C03DB88">
          <w:pPr>
            <w:pStyle w:val="10"/>
            <w:tabs>
              <w:tab w:val="right" w:leader="dot" w:pos="8296"/>
            </w:tabs>
            <w:rPr>
              <w:rFonts w:asciiTheme="minorHAnsi" w:hAnsiTheme="minorHAnsi" w:eastAsiaTheme="minorEastAsia"/>
              <w:sz w:val="21"/>
              <w14:ligatures w14:val="standardContextual"/>
            </w:rPr>
          </w:pPr>
          <w:r>
            <w:rPr>
              <w:rFonts w:hint="eastAsia"/>
            </w:rPr>
            <w:t>附件5</w:t>
          </w:r>
          <w:r>
            <w:t xml:space="preserve"> </w:t>
          </w:r>
          <w:r>
            <w:fldChar w:fldCharType="begin"/>
          </w:r>
          <w:r>
            <w:instrText xml:space="preserve"> HYPERLINK \l "_Toc155617328" </w:instrText>
          </w:r>
          <w:r>
            <w:fldChar w:fldCharType="separate"/>
          </w:r>
          <w:r>
            <w:rPr>
              <w:rStyle w:val="16"/>
              <w:rFonts w:hint="eastAsia"/>
            </w:rPr>
            <w:t>“无废城市”重点工程项目建设任务清单</w:t>
          </w:r>
          <w:r>
            <w:rPr>
              <w:rFonts w:hint="eastAsia"/>
            </w:rPr>
            <w:tab/>
          </w:r>
          <w:r>
            <w:rPr>
              <w:rFonts w:hint="eastAsia"/>
            </w:rPr>
            <w:fldChar w:fldCharType="begin"/>
          </w:r>
          <w:r>
            <w:rPr>
              <w:rFonts w:hint="eastAsia"/>
            </w:rPr>
            <w:instrText xml:space="preserve"> PAGEREF _Toc155617328 \h </w:instrText>
          </w:r>
          <w:r>
            <w:rPr>
              <w:rFonts w:hint="eastAsia"/>
            </w:rPr>
            <w:fldChar w:fldCharType="separate"/>
          </w:r>
          <w:r>
            <w:t>63</w:t>
          </w:r>
          <w:r>
            <w:rPr>
              <w:rFonts w:hint="eastAsia"/>
            </w:rPr>
            <w:fldChar w:fldCharType="end"/>
          </w:r>
          <w:r>
            <w:rPr>
              <w:rFonts w:hint="eastAsia"/>
            </w:rPr>
            <w:fldChar w:fldCharType="end"/>
          </w:r>
        </w:p>
        <w:p w14:paraId="6522B9CA">
          <w:pPr>
            <w:pStyle w:val="9"/>
            <w:tabs>
              <w:tab w:val="right" w:leader="dot" w:pos="8296"/>
            </w:tabs>
            <w:rPr>
              <w:rStyle w:val="16"/>
            </w:rPr>
          </w:pPr>
          <w:r>
            <w:rPr>
              <w:rStyle w:val="16"/>
            </w:rPr>
            <w:fldChar w:fldCharType="end"/>
          </w:r>
        </w:p>
      </w:sdtContent>
    </w:sdt>
    <w:p w14:paraId="2C3D05A5">
      <w:pPr>
        <w:sectPr>
          <w:footerReference r:id="rId5" w:type="default"/>
          <w:pgSz w:w="11906" w:h="16838"/>
          <w:pgMar w:top="1440" w:right="1800" w:bottom="1440" w:left="1800" w:header="851" w:footer="992" w:gutter="0"/>
          <w:pgNumType w:start="1"/>
          <w:cols w:space="425" w:num="1"/>
          <w:docGrid w:type="lines" w:linePitch="312" w:charSpace="0"/>
        </w:sectPr>
      </w:pPr>
    </w:p>
    <w:p w14:paraId="17C40BDC">
      <w:pPr>
        <w:pStyle w:val="25"/>
      </w:pPr>
      <w:bookmarkStart w:id="2" w:name="_Toc155617283"/>
      <w:bookmarkStart w:id="3" w:name="_Hlk156377298"/>
      <w:r>
        <w:rPr>
          <w:rFonts w:hint="eastAsia"/>
        </w:rPr>
        <w:t>一、建设基础</w:t>
      </w:r>
      <w:bookmarkEnd w:id="2"/>
    </w:p>
    <w:p w14:paraId="305653C9">
      <w:pPr>
        <w:pStyle w:val="23"/>
        <w:spacing w:before="156" w:after="156"/>
        <w:ind w:firstLine="640"/>
      </w:pPr>
      <w:bookmarkStart w:id="4" w:name="_Toc155617284"/>
      <w:r>
        <w:t>（</w:t>
      </w:r>
      <w:r>
        <w:rPr>
          <w:rFonts w:hint="eastAsia"/>
        </w:rPr>
        <w:t>一）工作进展及成效</w:t>
      </w:r>
      <w:bookmarkEnd w:id="4"/>
    </w:p>
    <w:p w14:paraId="031A9B81">
      <w:pPr>
        <w:pStyle w:val="21"/>
      </w:pPr>
      <w:bookmarkStart w:id="5" w:name="_Hlk156377324"/>
      <w:r>
        <w:rPr>
          <w:rFonts w:hint="eastAsia"/>
          <w:b/>
          <w:bCs w:val="0"/>
        </w:rPr>
        <w:t>1</w:t>
      </w:r>
      <w:r>
        <w:rPr>
          <w:b/>
          <w:bCs w:val="0"/>
        </w:rPr>
        <w:t xml:space="preserve">. </w:t>
      </w:r>
      <w:r>
        <w:rPr>
          <w:rFonts w:hint="eastAsia"/>
          <w:b/>
          <w:bCs w:val="0"/>
        </w:rPr>
        <w:t>一般工业固体废物。</w:t>
      </w:r>
      <w:bookmarkEnd w:id="3"/>
      <w:bookmarkEnd w:id="5"/>
      <w:r>
        <w:rPr>
          <w:rFonts w:hint="eastAsia"/>
        </w:rPr>
        <w:t>一般工业固体废物主要包括粉煤灰、炉渣、污泥等，均采取外运处置和综合利用的方式进行处理。</w:t>
      </w:r>
      <w:r>
        <w:rPr>
          <w:rFonts w:hint="eastAsia"/>
          <w:b/>
          <w:bCs w:val="0"/>
        </w:rPr>
        <w:t>源头减量取得阶段成效。</w:t>
      </w:r>
      <w:bookmarkStart w:id="6" w:name="_Hlk154503640"/>
      <w:r>
        <w:rPr>
          <w:rFonts w:hint="eastAsia"/>
        </w:rPr>
        <w:t>截至</w:t>
      </w:r>
      <w:r>
        <w:t>2021年</w:t>
      </w:r>
      <w:r>
        <w:rPr>
          <w:rFonts w:hint="eastAsia"/>
        </w:rPr>
        <w:t>，五年间瑶海区完成</w:t>
      </w:r>
      <w:r>
        <w:t>88家低效工业企业</w:t>
      </w:r>
      <w:r>
        <w:rPr>
          <w:rFonts w:hint="eastAsia"/>
        </w:rPr>
        <w:t>“关停并转”</w:t>
      </w:r>
      <w:bookmarkEnd w:id="6"/>
      <w:r>
        <w:t>，随着落后产能的淘汰清</w:t>
      </w:r>
      <w:r>
        <w:rPr>
          <w:rFonts w:hint="eastAsia"/>
        </w:rPr>
        <w:t>出</w:t>
      </w:r>
      <w:r>
        <w:t>与新增企业的成长入库交替进行，产业结构上逐渐向</w:t>
      </w:r>
      <w:r>
        <w:rPr>
          <w:rFonts w:hint="eastAsia"/>
        </w:rPr>
        <w:t>“</w:t>
      </w:r>
      <w:r>
        <w:t>低能耗+高附加值</w:t>
      </w:r>
      <w:r>
        <w:rPr>
          <w:rFonts w:hint="eastAsia"/>
        </w:rPr>
        <w:t>”</w:t>
      </w:r>
      <w:r>
        <w:t>转型。</w:t>
      </w:r>
      <w:r>
        <w:rPr>
          <w:rFonts w:hint="eastAsia"/>
        </w:rPr>
        <w:t>2</w:t>
      </w:r>
      <w:r>
        <w:t>021</w:t>
      </w:r>
      <w:r>
        <w:rPr>
          <w:rFonts w:hint="eastAsia"/>
        </w:rPr>
        <w:t>年</w:t>
      </w:r>
      <w:r>
        <w:t>纳入固体废物申报登记范围的工业企业一般工业固体废物产生量</w:t>
      </w:r>
      <w:r>
        <w:rPr>
          <w:rFonts w:hint="eastAsia"/>
        </w:rPr>
        <w:t>约</w:t>
      </w:r>
      <w:r>
        <w:t>49391.46吨，产生强度</w:t>
      </w:r>
      <w:r>
        <w:rPr>
          <w:rFonts w:hint="eastAsia"/>
        </w:rPr>
        <w:t>同比降低</w:t>
      </w:r>
      <w:r>
        <w:t>25.77%。</w:t>
      </w:r>
      <w:r>
        <w:rPr>
          <w:rFonts w:hint="eastAsia"/>
        </w:rPr>
        <w:t>综合利用量约</w:t>
      </w:r>
      <w:r>
        <w:t>37267.1</w:t>
      </w:r>
      <w:r>
        <w:rPr>
          <w:rFonts w:hint="eastAsia"/>
        </w:rPr>
        <w:t>吨，综合利用率达</w:t>
      </w:r>
      <w:r>
        <w:t>75.45%</w:t>
      </w:r>
      <w:r>
        <w:rPr>
          <w:rFonts w:hint="eastAsia"/>
        </w:rPr>
        <w:t>。</w:t>
      </w:r>
      <w:r>
        <w:rPr>
          <w:rFonts w:hint="eastAsia"/>
          <w:b/>
          <w:bCs w:val="0"/>
        </w:rPr>
        <w:t>监督管理水平不断加强。</w:t>
      </w:r>
      <w:r>
        <w:rPr>
          <w:rFonts w:hint="eastAsia"/>
        </w:rPr>
        <w:t>印发《瑶海区一般工业固体废物专项整治工作方案》，联合多部门开展系统性核查工作，实施</w:t>
      </w:r>
      <w:r>
        <w:t>一般工业固体废物年度申报</w:t>
      </w:r>
      <w:r>
        <w:rPr>
          <w:rFonts w:hint="eastAsia"/>
        </w:rPr>
        <w:t>，落实固体废物防治信息公开制度。</w:t>
      </w:r>
      <w:r>
        <w:rPr>
          <w:rFonts w:hint="eastAsia"/>
          <w:b/>
          <w:bCs w:val="0"/>
        </w:rPr>
        <w:t>资金投入力度显著增加。</w:t>
      </w:r>
      <w:r>
        <w:rPr>
          <w:rFonts w:hint="eastAsia"/>
        </w:rPr>
        <w:t>统筹安排环保财政专项资金用于固体废物污染防治工作，积极改造升级现有固体废物转运体系。</w:t>
      </w:r>
    </w:p>
    <w:p w14:paraId="2C7791C8">
      <w:pPr>
        <w:pStyle w:val="21"/>
      </w:pPr>
      <w:bookmarkStart w:id="7" w:name="_Hlk156377347"/>
      <w:r>
        <w:rPr>
          <w:rFonts w:hint="eastAsia"/>
          <w:b/>
          <w:bCs w:val="0"/>
        </w:rPr>
        <w:t>2</w:t>
      </w:r>
      <w:r>
        <w:rPr>
          <w:b/>
          <w:bCs w:val="0"/>
        </w:rPr>
        <w:t xml:space="preserve">. </w:t>
      </w:r>
      <w:r>
        <w:rPr>
          <w:rFonts w:hint="eastAsia"/>
          <w:b/>
          <w:bCs w:val="0"/>
        </w:rPr>
        <w:t>危险废物。</w:t>
      </w:r>
      <w:r>
        <w:t>危险废物主要包括工业危险废物、医疗废物、社会源危险废物等。</w:t>
      </w:r>
      <w:r>
        <w:rPr>
          <w:rFonts w:hint="eastAsia"/>
        </w:rPr>
        <w:t>2</w:t>
      </w:r>
      <w:r>
        <w:t>021</w:t>
      </w:r>
      <w:r>
        <w:rPr>
          <w:rFonts w:hint="eastAsia"/>
        </w:rPr>
        <w:t>年瑶海区</w:t>
      </w:r>
      <w:r>
        <w:t>危险废物产生</w:t>
      </w:r>
      <w:r>
        <w:rPr>
          <w:rFonts w:hint="eastAsia"/>
        </w:rPr>
        <w:t>总</w:t>
      </w:r>
      <w:r>
        <w:t>量约1015吨</w:t>
      </w:r>
      <w:r>
        <w:rPr>
          <w:rFonts w:hint="eastAsia"/>
        </w:rPr>
        <w:t>，危险废物</w:t>
      </w:r>
      <w:r>
        <w:t>产废单位共计约71家企业，主要涉及汽车修理、医疗、印刷等行业，包含医疗废弃物、废机油、废旧铅蓄电池、废活性炭</w:t>
      </w:r>
      <w:r>
        <w:rPr>
          <w:rFonts w:hint="eastAsia"/>
        </w:rPr>
        <w:t>、废漆渣</w:t>
      </w:r>
      <w:r>
        <w:t>等</w:t>
      </w:r>
      <w:r>
        <w:rPr>
          <w:rFonts w:hint="eastAsia"/>
        </w:rPr>
        <w:t>，利用处置率达到1</w:t>
      </w:r>
      <w:r>
        <w:t>00%</w:t>
      </w:r>
      <w:r>
        <w:rPr>
          <w:rFonts w:hint="eastAsia"/>
        </w:rPr>
        <w:t>。</w:t>
      </w:r>
      <w:bookmarkEnd w:id="7"/>
      <w:r>
        <w:rPr>
          <w:rFonts w:hint="eastAsia"/>
          <w:b/>
          <w:bCs w:val="0"/>
        </w:rPr>
        <w:t>规范化和信息化管理能力有所提升。</w:t>
      </w:r>
      <w:r>
        <w:rPr>
          <w:rFonts w:hint="eastAsia"/>
        </w:rPr>
        <w:t>对辖区内汽车修理、印刷、医疗等重点行业开展危险废物管理专项检查，同时配合市级完成转移联单、管理计划等审批和备案事项的电子化。</w:t>
      </w:r>
      <w:r>
        <w:rPr>
          <w:rFonts w:hint="eastAsia"/>
          <w:b/>
          <w:bCs w:val="0"/>
        </w:rPr>
        <w:t>打击环境违法犯罪力度不减。</w:t>
      </w:r>
      <w:r>
        <w:rPr>
          <w:rFonts w:hint="eastAsia"/>
        </w:rPr>
        <w:t>公安、交通、</w:t>
      </w:r>
      <w:r>
        <w:t>城管、生态环境等部门联合打击环境违法犯罪行为，</w:t>
      </w:r>
      <w:r>
        <w:rPr>
          <w:rFonts w:hint="eastAsia"/>
        </w:rPr>
        <w:t>联合环保管家组成“为企服务”小分队，</w:t>
      </w:r>
      <w:r>
        <w:t>严查</w:t>
      </w:r>
      <w:r>
        <w:rPr>
          <w:rFonts w:hint="eastAsia"/>
        </w:rPr>
        <w:t>危险</w:t>
      </w:r>
      <w:r>
        <w:t>废物非法转运行为，加大对危险废物经营单位和产生单位的现场巡查和</w:t>
      </w:r>
      <w:r>
        <w:rPr>
          <w:rFonts w:hint="eastAsia"/>
        </w:rPr>
        <w:t>“双随机”</w:t>
      </w:r>
      <w:r>
        <w:t>抽查力度。</w:t>
      </w:r>
      <w:r>
        <w:rPr>
          <w:rFonts w:hint="eastAsia"/>
          <w:b/>
          <w:bCs w:val="0"/>
        </w:rPr>
        <w:t>基本实现医疗废物收集处置体系全覆盖。</w:t>
      </w:r>
      <w:r>
        <w:t>2021年瑶海区医疗废物</w:t>
      </w:r>
      <w:r>
        <w:rPr>
          <w:rFonts w:hint="eastAsia"/>
        </w:rPr>
        <w:t>产生量约</w:t>
      </w:r>
      <w:r>
        <w:t>845吨</w:t>
      </w:r>
      <w:r>
        <w:rPr>
          <w:rFonts w:hint="eastAsia"/>
        </w:rPr>
        <w:t>，全部委托安徽浩悦环境有限公司进行外运处置</w:t>
      </w:r>
      <w:r>
        <w:t>，</w:t>
      </w:r>
      <w:r>
        <w:rPr>
          <w:rFonts w:hint="eastAsia"/>
        </w:rPr>
        <w:t>辖区内医疗卫生机构全部纳入医疗废物收集处置体系。</w:t>
      </w:r>
    </w:p>
    <w:p w14:paraId="3E8ADC75">
      <w:pPr>
        <w:pStyle w:val="21"/>
      </w:pPr>
      <w:r>
        <w:rPr>
          <w:rFonts w:hint="eastAsia"/>
          <w:b/>
          <w:bCs w:val="0"/>
        </w:rPr>
        <w:t>3</w:t>
      </w:r>
      <w:r>
        <w:rPr>
          <w:b/>
          <w:bCs w:val="0"/>
        </w:rPr>
        <w:t xml:space="preserve">. </w:t>
      </w:r>
      <w:r>
        <w:rPr>
          <w:rFonts w:hint="eastAsia"/>
          <w:b/>
          <w:bCs w:val="0"/>
        </w:rPr>
        <w:t>生活源固体废物。</w:t>
      </w:r>
      <w:r>
        <w:rPr>
          <w:rFonts w:hint="eastAsia"/>
        </w:rPr>
        <w:t>生活源固体废物主要包括生活垃</w:t>
      </w:r>
      <w:r>
        <w:t>圾、厨余垃圾、市政污泥、再生资源等</w:t>
      </w:r>
      <w:r>
        <w:rPr>
          <w:rFonts w:hint="eastAsia"/>
        </w:rPr>
        <w:t>。</w:t>
      </w:r>
      <w:r>
        <w:rPr>
          <w:rFonts w:hint="eastAsia"/>
          <w:b/>
          <w:bCs w:val="0"/>
        </w:rPr>
        <w:t>生活垃圾管理政策</w:t>
      </w:r>
      <w:r>
        <w:rPr>
          <w:b/>
          <w:bCs w:val="0"/>
        </w:rPr>
        <w:t>机制建立健全。</w:t>
      </w:r>
      <w:r>
        <w:rPr>
          <w:rFonts w:hint="eastAsia"/>
        </w:rPr>
        <w:t>制定《瑶海区垃圾分类集中投放点建设方案》</w:t>
      </w:r>
      <w:r>
        <w:rPr>
          <w:rFonts w:hint="eastAsia" w:ascii="仿宋" w:hAnsi="仿宋" w:cs="仿宋"/>
        </w:rPr>
        <w:t>等文件</w:t>
      </w:r>
      <w:r>
        <w:t>，</w:t>
      </w:r>
      <w:r>
        <w:rPr>
          <w:rFonts w:hint="eastAsia"/>
        </w:rPr>
        <w:t>搭建智慧化管理平台，构建生活垃圾前端收集、分类运输、后端处置利用体系。积极开展垃圾分类“定时定点”模式试点工作，截至目前共建成垃圾分类投放点</w:t>
      </w:r>
      <w:r>
        <w:t>963个。</w:t>
      </w:r>
      <w:r>
        <w:rPr>
          <w:rFonts w:hint="eastAsia"/>
          <w:b/>
          <w:bCs w:val="0"/>
        </w:rPr>
        <w:t>生活垃圾和餐厨垃圾得到合理利用</w:t>
      </w:r>
      <w:r>
        <w:rPr>
          <w:b/>
          <w:bCs w:val="0"/>
        </w:rPr>
        <w:t>处置</w:t>
      </w:r>
      <w:r>
        <w:rPr>
          <w:rFonts w:hint="eastAsia"/>
          <w:b/>
          <w:bCs w:val="0"/>
        </w:rPr>
        <w:t>。</w:t>
      </w:r>
      <w:r>
        <w:t>2021年瑶海区生活垃圾</w:t>
      </w:r>
      <w:r>
        <w:rPr>
          <w:rFonts w:hint="eastAsia"/>
        </w:rPr>
        <w:t>清运量</w:t>
      </w:r>
      <w:r>
        <w:t>约</w:t>
      </w:r>
      <w:r>
        <w:rPr>
          <w:rFonts w:hint="eastAsia"/>
        </w:rPr>
        <w:t>为</w:t>
      </w:r>
      <w:r>
        <w:t>34.59</w:t>
      </w:r>
      <w:r>
        <w:rPr>
          <w:rFonts w:hint="eastAsia"/>
        </w:rPr>
        <w:t>万</w:t>
      </w:r>
      <w:r>
        <w:t>吨，其中可回收垃圾均采取回收利用的方式进行处理</w:t>
      </w:r>
      <w:r>
        <w:rPr>
          <w:rFonts w:hint="eastAsia"/>
        </w:rPr>
        <w:t>；</w:t>
      </w:r>
      <w:r>
        <w:t>厨余垃圾</w:t>
      </w:r>
      <w:r>
        <w:rPr>
          <w:rFonts w:hint="eastAsia"/>
        </w:rPr>
        <w:t>集中送往处置点进行无害化处置</w:t>
      </w:r>
      <w:r>
        <w:t>。</w:t>
      </w:r>
      <w:r>
        <w:rPr>
          <w:rFonts w:hint="eastAsia"/>
          <w:b/>
          <w:bCs w:val="0"/>
        </w:rPr>
        <w:t>市政污泥基本实现无害</w:t>
      </w:r>
      <w:r>
        <w:rPr>
          <w:b/>
          <w:bCs w:val="0"/>
        </w:rPr>
        <w:t>化</w:t>
      </w:r>
      <w:r>
        <w:rPr>
          <w:rFonts w:hint="eastAsia"/>
          <w:b/>
          <w:bCs w:val="0"/>
        </w:rPr>
        <w:t>处理</w:t>
      </w:r>
      <w:r>
        <w:rPr>
          <w:b/>
          <w:bCs w:val="0"/>
        </w:rPr>
        <w:t>。</w:t>
      </w:r>
      <w:r>
        <w:t>2021年</w:t>
      </w:r>
      <w:r>
        <w:rPr>
          <w:rFonts w:hint="eastAsia"/>
        </w:rPr>
        <w:t>瑶海区纳入固体废物申报范围的</w:t>
      </w:r>
      <w:r>
        <w:t>污泥</w:t>
      </w:r>
      <w:r>
        <w:rPr>
          <w:rFonts w:hint="eastAsia"/>
        </w:rPr>
        <w:t>产生总量</w:t>
      </w:r>
      <w:r>
        <w:t>为1</w:t>
      </w:r>
      <w:r>
        <w:rPr>
          <w:rFonts w:hint="eastAsia"/>
        </w:rPr>
        <w:t>.</w:t>
      </w:r>
      <w:r>
        <w:t>727</w:t>
      </w:r>
      <w:r>
        <w:rPr>
          <w:rFonts w:hint="eastAsia"/>
        </w:rPr>
        <w:t>万</w:t>
      </w:r>
      <w:r>
        <w:t>吨，</w:t>
      </w:r>
      <w:r>
        <w:rPr>
          <w:rFonts w:hint="eastAsia"/>
        </w:rPr>
        <w:t>统一由合肥市排水办安排综合利用或</w:t>
      </w:r>
      <w:r>
        <w:t>无害化处置</w:t>
      </w:r>
      <w:r>
        <w:rPr>
          <w:rFonts w:hint="eastAsia"/>
        </w:rPr>
        <w:t>，无历史堆存或年底贮存情况</w:t>
      </w:r>
      <w:r>
        <w:t>。</w:t>
      </w:r>
      <w:r>
        <w:rPr>
          <w:rFonts w:hint="eastAsia"/>
          <w:b/>
          <w:bCs w:val="0"/>
        </w:rPr>
        <w:t>再生资源回收利用体系逐步建立。</w:t>
      </w:r>
      <w:r>
        <w:rPr>
          <w:rFonts w:hint="eastAsia"/>
        </w:rPr>
        <w:t>成立再生资源回收利用体系建设工作领导小组，印发实施《瑶海区人民政府进一步加强再生资源回收利用体系建设的实施方案》，逐步发展和完善再生资源回收利用体系网络，2</w:t>
      </w:r>
      <w:r>
        <w:t>021</w:t>
      </w:r>
      <w:r>
        <w:rPr>
          <w:rFonts w:hint="eastAsia"/>
        </w:rPr>
        <w:t>年顺利完成市级下达的</w:t>
      </w:r>
      <w:r>
        <w:t>2家</w:t>
      </w:r>
      <w:r>
        <w:rPr>
          <w:rFonts w:hint="eastAsia"/>
        </w:rPr>
        <w:t>再生资源回收站点建设改造任务。</w:t>
      </w:r>
      <w:r>
        <w:rPr>
          <w:rFonts w:hint="eastAsia"/>
          <w:b/>
          <w:bCs w:val="0"/>
        </w:rPr>
        <w:t>生活领域塑料污染治理工作全面启动。</w:t>
      </w:r>
      <w:r>
        <w:rPr>
          <w:rFonts w:hint="eastAsia"/>
        </w:rPr>
        <w:t>开展瑶海区塑料污染治理联合专项行动</w:t>
      </w:r>
      <w:r>
        <w:t>，加强</w:t>
      </w:r>
      <w:r>
        <w:rPr>
          <w:rFonts w:hint="eastAsia"/>
        </w:rPr>
        <w:t>一次性</w:t>
      </w:r>
      <w:r>
        <w:t>塑料制品源头减量，规范塑料垃圾回收处置，推进废塑料</w:t>
      </w:r>
      <w:r>
        <w:rPr>
          <w:rFonts w:hint="eastAsia"/>
        </w:rPr>
        <w:t>等再生资源循环</w:t>
      </w:r>
      <w:r>
        <w:t>利用。</w:t>
      </w:r>
    </w:p>
    <w:p w14:paraId="245530C1">
      <w:pPr>
        <w:pStyle w:val="21"/>
        <w:rPr>
          <w:b/>
          <w:bCs w:val="0"/>
        </w:rPr>
      </w:pPr>
      <w:r>
        <w:rPr>
          <w:rFonts w:hint="eastAsia"/>
          <w:b/>
          <w:bCs w:val="0"/>
        </w:rPr>
        <w:t>4</w:t>
      </w:r>
      <w:r>
        <w:rPr>
          <w:b/>
          <w:bCs w:val="0"/>
        </w:rPr>
        <w:t xml:space="preserve">. </w:t>
      </w:r>
      <w:r>
        <w:rPr>
          <w:rFonts w:hint="eastAsia"/>
          <w:b/>
          <w:bCs w:val="0"/>
        </w:rPr>
        <w:t>建筑垃圾。</w:t>
      </w:r>
      <w:r>
        <w:rPr>
          <w:rFonts w:hint="eastAsia"/>
        </w:rPr>
        <w:t>建筑垃圾主要包括工程渣土、</w:t>
      </w:r>
      <w:r>
        <w:t>工程垃圾、拆除垃圾、装修垃圾等。</w:t>
      </w:r>
      <w:r>
        <w:rPr>
          <w:rFonts w:hint="eastAsia"/>
          <w:b/>
          <w:bCs w:val="0"/>
        </w:rPr>
        <w:t>处置利用水平有所提升。</w:t>
      </w:r>
      <w:r>
        <w:rPr>
          <w:rFonts w:hint="eastAsia"/>
        </w:rPr>
        <w:t>建成</w:t>
      </w:r>
      <w:bookmarkStart w:id="8" w:name="_Hlk151756180"/>
      <w:r>
        <w:rPr>
          <w:rFonts w:hint="eastAsia"/>
        </w:rPr>
        <w:t>装修及大件垃圾转运站</w:t>
      </w:r>
      <w:bookmarkEnd w:id="8"/>
      <w:r>
        <w:rPr>
          <w:rFonts w:hint="eastAsia"/>
        </w:rPr>
        <w:t>，建筑垃圾分拣和初加工效能得到提升，补齐了瑶海区建筑垃圾分类利用处置能力短板。</w:t>
      </w:r>
      <w:r>
        <w:rPr>
          <w:rFonts w:hint="eastAsia"/>
          <w:b/>
          <w:bCs w:val="0"/>
        </w:rPr>
        <w:t>运输管理更加精细化。</w:t>
      </w:r>
      <w:r>
        <w:rPr>
          <w:rFonts w:hint="eastAsia"/>
        </w:rPr>
        <w:t>贯彻落实合肥市渣土运输“十不准”管理要求，全方位督查渣土运输过程，全面提升建筑垃圾运输管理水平。</w:t>
      </w:r>
      <w:r>
        <w:rPr>
          <w:rFonts w:hint="eastAsia"/>
          <w:b/>
          <w:bCs w:val="0"/>
        </w:rPr>
        <w:t>推进绿色建筑、装配式建筑高质量发展。</w:t>
      </w:r>
      <w:r>
        <w:rPr>
          <w:rFonts w:hint="eastAsia"/>
        </w:rPr>
        <w:t>持续扩大星级绿色建筑规模，推动装配式建筑普及推广，优化建筑用能结构。2</w:t>
      </w:r>
      <w:r>
        <w:t>023</w:t>
      </w:r>
      <w:r>
        <w:rPr>
          <w:rFonts w:hint="eastAsia"/>
        </w:rPr>
        <w:t>年，瑶海区绿色建筑、装配式建筑占新建建筑的比例分别达到1</w:t>
      </w:r>
      <w:r>
        <w:t>00%</w:t>
      </w:r>
      <w:r>
        <w:rPr>
          <w:rFonts w:hint="eastAsia"/>
        </w:rPr>
        <w:t>和</w:t>
      </w:r>
      <w:r>
        <w:t>44.6%</w:t>
      </w:r>
      <w:r>
        <w:rPr>
          <w:rFonts w:hint="eastAsia"/>
        </w:rPr>
        <w:t>。</w:t>
      </w:r>
    </w:p>
    <w:p w14:paraId="5F9376AC">
      <w:pPr>
        <w:pStyle w:val="21"/>
      </w:pPr>
      <w:r>
        <w:rPr>
          <w:rFonts w:hint="eastAsia"/>
          <w:b/>
          <w:bCs w:val="0"/>
        </w:rPr>
        <w:t>5</w:t>
      </w:r>
      <w:r>
        <w:rPr>
          <w:b/>
          <w:bCs w:val="0"/>
        </w:rPr>
        <w:t xml:space="preserve">. </w:t>
      </w:r>
      <w:r>
        <w:rPr>
          <w:rFonts w:hint="eastAsia"/>
          <w:b/>
          <w:bCs w:val="0"/>
        </w:rPr>
        <w:t>农业固体废物。</w:t>
      </w:r>
      <w:r>
        <w:rPr>
          <w:rFonts w:hint="eastAsia"/>
        </w:rPr>
        <w:t>瑶海区已全域纳入城市建成区范围，</w:t>
      </w:r>
      <w:r>
        <w:t>2021年农业产业占GDP比重仅为0.02%，耕地面积</w:t>
      </w:r>
      <w:r>
        <w:rPr>
          <w:rFonts w:hint="eastAsia"/>
        </w:rPr>
        <w:t>共</w:t>
      </w:r>
      <w:r>
        <w:t>6843.04亩，主要分布在龙岗</w:t>
      </w:r>
      <w:r>
        <w:rPr>
          <w:rFonts w:hint="eastAsia"/>
        </w:rPr>
        <w:t>片区</w:t>
      </w:r>
      <w:r>
        <w:t>和大兴镇</w:t>
      </w:r>
      <w:r>
        <w:rPr>
          <w:rFonts w:hint="eastAsia"/>
        </w:rPr>
        <w:t>。农业固体废物主要包括农作物秸秆、</w:t>
      </w:r>
      <w:r>
        <w:t>农膜及农药包装废弃物</w:t>
      </w:r>
      <w:r>
        <w:rPr>
          <w:rFonts w:hint="eastAsia"/>
        </w:rPr>
        <w:t>等。</w:t>
      </w:r>
      <w:r>
        <w:rPr>
          <w:rFonts w:hint="eastAsia"/>
          <w:b/>
          <w:bCs w:val="0"/>
        </w:rPr>
        <w:t>畜禽禁养工作成效持续巩固。</w:t>
      </w:r>
      <w:r>
        <w:rPr>
          <w:rFonts w:hint="eastAsia"/>
        </w:rPr>
        <w:t>全面落实《瑶海区畜禽禁养工作实施方案》，全区范围内实行畜禽禁养，无规模以上畜禽养殖企业，畜禽粪污的产生得到有效遏止。</w:t>
      </w:r>
      <w:r>
        <w:rPr>
          <w:rFonts w:hint="eastAsia"/>
          <w:b/>
          <w:bCs w:val="0"/>
        </w:rPr>
        <w:t>农作物秸秆综合利用水平不断提高。</w:t>
      </w:r>
      <w:r>
        <w:rPr>
          <w:rFonts w:hint="eastAsia"/>
        </w:rPr>
        <w:t>实施全年、全面、全域秸秆禁烧，积极推广秸秆综合利用，秸秆堆腐还田得到基本落实。2</w:t>
      </w:r>
      <w:r>
        <w:t>023</w:t>
      </w:r>
      <w:r>
        <w:rPr>
          <w:rFonts w:hint="eastAsia"/>
        </w:rPr>
        <w:t>年秸秆综合利用率达到</w:t>
      </w:r>
      <w:r>
        <w:t>100%。</w:t>
      </w:r>
      <w:r>
        <w:rPr>
          <w:rFonts w:hint="eastAsia"/>
          <w:b/>
          <w:bCs w:val="0"/>
        </w:rPr>
        <w:t>农业生产废弃物治理成效明显。</w:t>
      </w:r>
      <w:r>
        <w:rPr>
          <w:rFonts w:hint="eastAsia"/>
        </w:rPr>
        <w:t>建立起以“政府主导、市场运作、财政奖补、属地管理”为主要模式的工作机制，实施废弃物回收处置闭环管理措施，基本形成长效的运营和监管机制。2</w:t>
      </w:r>
      <w:r>
        <w:t>023</w:t>
      </w:r>
      <w:r>
        <w:rPr>
          <w:rFonts w:hint="eastAsia"/>
        </w:rPr>
        <w:t>年废弃农膜和农药包装废弃物回收率达到1</w:t>
      </w:r>
      <w:r>
        <w:t>00%</w:t>
      </w:r>
      <w:r>
        <w:rPr>
          <w:rFonts w:hint="eastAsia"/>
        </w:rPr>
        <w:t>。</w:t>
      </w:r>
    </w:p>
    <w:p w14:paraId="24594AF4">
      <w:pPr>
        <w:pStyle w:val="21"/>
      </w:pPr>
      <w:r>
        <w:rPr>
          <w:rFonts w:hint="eastAsia"/>
          <w:b/>
          <w:bCs w:val="0"/>
        </w:rPr>
        <w:t>6</w:t>
      </w:r>
      <w:r>
        <w:rPr>
          <w:b/>
          <w:bCs w:val="0"/>
        </w:rPr>
        <w:t xml:space="preserve">. </w:t>
      </w:r>
      <w:r>
        <w:rPr>
          <w:rFonts w:hint="eastAsia"/>
          <w:b/>
          <w:bCs w:val="0"/>
        </w:rPr>
        <w:t>污染土壤。合理制定规划方案。</w:t>
      </w:r>
      <w:r>
        <w:rPr>
          <w:rFonts w:hint="eastAsia"/>
        </w:rPr>
        <w:t>科学编制《合肥东部新中心瑶海片区工业污染地块风险管控与治理修复五年实施计划》，制定了“摸清底数、明确责任、源头预防、风险管控、突出重点、分类实施”的修复规划，建立起土地规划、污染治理、经济开发和环境管理之间的联动商讨机制。</w:t>
      </w:r>
      <w:r>
        <w:rPr>
          <w:rFonts w:hint="eastAsia"/>
          <w:b/>
          <w:bCs w:val="0"/>
        </w:rPr>
        <w:t>精准实施修复策略。</w:t>
      </w:r>
      <w:r>
        <w:rPr>
          <w:rFonts w:hint="eastAsia"/>
        </w:rPr>
        <w:t>加快开展污染地块土壤修复，将委托外运处置的污染土壤纳入固体废物管理信息系统进行信息化监管，依托水泥窑协同处置等技术妥善处置东部新中心受污染土壤，形成土壤污染修复“瑶海经验”。</w:t>
      </w:r>
      <w:r>
        <w:rPr>
          <w:rFonts w:hint="eastAsia"/>
          <w:b/>
          <w:bCs w:val="0"/>
        </w:rPr>
        <w:t>有序开展信息化管理。</w:t>
      </w:r>
      <w:r>
        <w:rPr>
          <w:rFonts w:hint="eastAsia"/>
        </w:rPr>
        <w:t>开发建设用地环境管理信息化系统，充分利用现代化信息技术、可视化数据管理和分析，初步实现地块调查和风险管控等各阶段的信息化建档管理工作。</w:t>
      </w:r>
    </w:p>
    <w:p w14:paraId="73F874E0">
      <w:pPr>
        <w:pStyle w:val="23"/>
        <w:spacing w:before="156" w:after="156"/>
        <w:ind w:firstLine="640"/>
      </w:pPr>
      <w:bookmarkStart w:id="9" w:name="_Toc155617285"/>
      <w:r>
        <w:rPr>
          <w:rFonts w:hint="eastAsia"/>
        </w:rPr>
        <w:t>（二）存在的主要问题</w:t>
      </w:r>
      <w:bookmarkEnd w:id="9"/>
    </w:p>
    <w:p w14:paraId="4A94E7CD">
      <w:pPr>
        <w:pStyle w:val="21"/>
        <w:rPr>
          <w:b/>
          <w:bCs w:val="0"/>
          <w:color w:val="FF0000"/>
        </w:rPr>
      </w:pPr>
      <w:r>
        <w:rPr>
          <w:rFonts w:hint="eastAsia"/>
          <w:b/>
          <w:bCs w:val="0"/>
        </w:rPr>
        <w:t>1</w:t>
      </w:r>
      <w:r>
        <w:rPr>
          <w:b/>
          <w:bCs w:val="0"/>
        </w:rPr>
        <w:t xml:space="preserve">. </w:t>
      </w:r>
      <w:r>
        <w:rPr>
          <w:rFonts w:hint="eastAsia"/>
          <w:b/>
          <w:bCs w:val="0"/>
        </w:rPr>
        <w:t>一般工业固体废物。全过程监管体系有待健全。</w:t>
      </w:r>
      <w:r>
        <w:t>部分</w:t>
      </w:r>
      <w:r>
        <w:rPr>
          <w:rFonts w:hint="eastAsia"/>
        </w:rPr>
        <w:t>中小型企业尚未申报一般工业固体废物的产生及利用处置情况，</w:t>
      </w:r>
      <w:r>
        <w:t>智慧化监管</w:t>
      </w:r>
      <w:r>
        <w:rPr>
          <w:rFonts w:hint="eastAsia"/>
        </w:rPr>
        <w:t>范围不够全面，信息化管理水平有待提升</w:t>
      </w:r>
      <w:r>
        <w:t>。</w:t>
      </w:r>
      <w:r>
        <w:rPr>
          <w:rFonts w:hint="eastAsia"/>
          <w:b/>
          <w:bCs w:val="0"/>
        </w:rPr>
        <w:t>创新发展动能有限。</w:t>
      </w:r>
      <w:r>
        <w:rPr>
          <w:rFonts w:hint="eastAsia"/>
        </w:rPr>
        <w:t>固体废物减量化、资源化利用关键核心技术的基础研究和前沿应用研究能力不足，为数众多的中小型企业绿色化改造升级能力不强。</w:t>
      </w:r>
    </w:p>
    <w:p w14:paraId="4D8D78D1">
      <w:pPr>
        <w:pStyle w:val="21"/>
        <w:rPr>
          <w:b/>
          <w:bCs w:val="0"/>
        </w:rPr>
      </w:pPr>
      <w:r>
        <w:rPr>
          <w:rFonts w:hint="eastAsia"/>
          <w:b/>
          <w:bCs w:val="0"/>
        </w:rPr>
        <w:t>2</w:t>
      </w:r>
      <w:r>
        <w:rPr>
          <w:b/>
          <w:bCs w:val="0"/>
        </w:rPr>
        <w:t xml:space="preserve">. </w:t>
      </w:r>
      <w:r>
        <w:rPr>
          <w:rFonts w:hint="eastAsia"/>
          <w:b/>
          <w:bCs w:val="0"/>
        </w:rPr>
        <w:t>危险废物。企业主体责任未全面落实。</w:t>
      </w:r>
      <w:r>
        <w:t>部分危险废物产</w:t>
      </w:r>
      <w:r>
        <w:rPr>
          <w:rFonts w:hint="eastAsia"/>
        </w:rPr>
        <w:t>废</w:t>
      </w:r>
      <w:r>
        <w:t>单位全过程管理意识</w:t>
      </w:r>
      <w:r>
        <w:rPr>
          <w:rFonts w:hint="eastAsia"/>
        </w:rPr>
        <w:t>不强</w:t>
      </w:r>
      <w:r>
        <w:t>、制度落实不到位</w:t>
      </w:r>
      <w:r>
        <w:rPr>
          <w:rFonts w:hint="eastAsia"/>
        </w:rPr>
        <w:t>、</w:t>
      </w:r>
      <w:r>
        <w:t>源头减量和资源化利用效果不明显。</w:t>
      </w:r>
      <w:r>
        <w:rPr>
          <w:b/>
          <w:bCs w:val="0"/>
        </w:rPr>
        <w:t>危险废物</w:t>
      </w:r>
      <w:r>
        <w:rPr>
          <w:rFonts w:hint="eastAsia"/>
          <w:b/>
          <w:bCs w:val="0"/>
        </w:rPr>
        <w:t>转运</w:t>
      </w:r>
      <w:r>
        <w:rPr>
          <w:b/>
          <w:bCs w:val="0"/>
        </w:rPr>
        <w:t>利用处置水平待提升。</w:t>
      </w:r>
      <w:r>
        <w:t>危险废物种类多为利润较高的</w:t>
      </w:r>
      <w:r>
        <w:rPr>
          <w:rFonts w:hint="eastAsia"/>
        </w:rPr>
        <w:t>废矿物油与含矿物油废物</w:t>
      </w:r>
      <w:r>
        <w:t>，</w:t>
      </w:r>
      <w:r>
        <w:rPr>
          <w:rFonts w:hint="eastAsia"/>
        </w:rPr>
        <w:t>资源化利用</w:t>
      </w:r>
      <w:r>
        <w:t>结构不够合理。部分危险废物资源</w:t>
      </w:r>
      <w:r>
        <w:rPr>
          <w:rFonts w:hint="eastAsia"/>
        </w:rPr>
        <w:t>化</w:t>
      </w:r>
      <w:r>
        <w:t>利用产品标准偏低，</w:t>
      </w:r>
      <w:r>
        <w:rPr>
          <w:rFonts w:hint="eastAsia"/>
        </w:rPr>
        <w:t>高附加值利用产品较缺乏，</w:t>
      </w:r>
      <w:r>
        <w:t>市场竞争力不足。</w:t>
      </w:r>
      <w:r>
        <w:rPr>
          <w:rFonts w:hint="eastAsia"/>
        </w:rPr>
        <w:t>部分小型医疗机构产生的医疗废物未严格按照</w:t>
      </w:r>
      <w:r>
        <w:t>2天1次要求及时转运</w:t>
      </w:r>
      <w:r>
        <w:rPr>
          <w:rFonts w:hint="eastAsia"/>
        </w:rPr>
        <w:t>，</w:t>
      </w:r>
      <w:r>
        <w:t>小微企业和社会源危险废物收集转运体系有待健全。</w:t>
      </w:r>
      <w:r>
        <w:rPr>
          <w:b/>
          <w:bCs w:val="0"/>
        </w:rPr>
        <w:t>风险防范能力待加强。</w:t>
      </w:r>
      <w:r>
        <w:t>易燃易爆废弃危险化学品等危险废物监管</w:t>
      </w:r>
      <w:r>
        <w:rPr>
          <w:rFonts w:hint="eastAsia"/>
        </w:rPr>
        <w:t>工作</w:t>
      </w:r>
      <w:r>
        <w:t>相应</w:t>
      </w:r>
      <w:r>
        <w:rPr>
          <w:rFonts w:hint="eastAsia"/>
        </w:rPr>
        <w:t>的</w:t>
      </w:r>
      <w:r>
        <w:t>技术标准和判定方法</w:t>
      </w:r>
      <w:r>
        <w:rPr>
          <w:rFonts w:hint="eastAsia"/>
        </w:rPr>
        <w:t>较为欠缺，</w:t>
      </w:r>
      <w:r>
        <w:t>医疗废物应急处置体系有待进一步健全</w:t>
      </w:r>
      <w:r>
        <w:rPr>
          <w:rFonts w:hint="eastAsia"/>
        </w:rPr>
        <w:t>。</w:t>
      </w:r>
    </w:p>
    <w:p w14:paraId="4760BF7E">
      <w:pPr>
        <w:pStyle w:val="21"/>
      </w:pPr>
      <w:r>
        <w:rPr>
          <w:rFonts w:hint="eastAsia"/>
          <w:b/>
          <w:bCs w:val="0"/>
        </w:rPr>
        <w:t>3</w:t>
      </w:r>
      <w:r>
        <w:rPr>
          <w:b/>
          <w:bCs w:val="0"/>
        </w:rPr>
        <w:t xml:space="preserve">. </w:t>
      </w:r>
      <w:r>
        <w:rPr>
          <w:rFonts w:hint="eastAsia"/>
          <w:b/>
          <w:bCs w:val="0"/>
        </w:rPr>
        <w:t>生活源固体废物。绿色生活消费方式有待培育。</w:t>
      </w:r>
      <w:r>
        <w:t>生活</w:t>
      </w:r>
      <w:r>
        <w:rPr>
          <w:rFonts w:hint="eastAsia"/>
        </w:rPr>
        <w:t>垃圾分类、</w:t>
      </w:r>
      <w:r>
        <w:t>减少一次性塑料制品使用、快递包装回收相关的宣传力度不够大，商户和公众环保意识不够强，消费依赖难以割舍。</w:t>
      </w:r>
      <w:r>
        <w:rPr>
          <w:b/>
          <w:bCs w:val="0"/>
        </w:rPr>
        <w:t>分类收集转运</w:t>
      </w:r>
      <w:r>
        <w:rPr>
          <w:rFonts w:hint="eastAsia"/>
          <w:b/>
          <w:bCs w:val="0"/>
        </w:rPr>
        <w:t>处置</w:t>
      </w:r>
      <w:r>
        <w:rPr>
          <w:b/>
          <w:bCs w:val="0"/>
        </w:rPr>
        <w:t>体系待</w:t>
      </w:r>
      <w:r>
        <w:rPr>
          <w:rFonts w:hint="eastAsia"/>
          <w:b/>
          <w:bCs w:val="0"/>
        </w:rPr>
        <w:t>规范</w:t>
      </w:r>
      <w:r>
        <w:rPr>
          <w:b/>
          <w:bCs w:val="0"/>
        </w:rPr>
        <w:t>。</w:t>
      </w:r>
      <w:r>
        <w:rPr>
          <w:rFonts w:hint="eastAsia"/>
        </w:rPr>
        <w:t>现有生活垃圾转运站负荷较高，垃圾分类设施效能未充分发挥，</w:t>
      </w:r>
      <w:r>
        <w:t>厨余垃圾集中收集处理覆盖面不</w:t>
      </w:r>
      <w:r>
        <w:rPr>
          <w:rFonts w:hint="eastAsia"/>
        </w:rPr>
        <w:t>够广，</w:t>
      </w:r>
      <w:r>
        <w:t>有害垃圾收集转运处置体系尚不完善</w:t>
      </w:r>
      <w:r>
        <w:rPr>
          <w:rFonts w:hint="eastAsia"/>
        </w:rPr>
        <w:t>。</w:t>
      </w:r>
      <w:r>
        <w:rPr>
          <w:rFonts w:hint="eastAsia"/>
          <w:b/>
          <w:bCs w:val="0"/>
        </w:rPr>
        <w:t>资源化利用市场体系待完善。</w:t>
      </w:r>
      <w:r>
        <w:t>再生资源回收与利用市场培育不足，</w:t>
      </w:r>
      <w:r>
        <w:rPr>
          <w:rFonts w:hint="eastAsia"/>
        </w:rPr>
        <w:t>跨区域再生资源市场流通体系未健全。</w:t>
      </w:r>
    </w:p>
    <w:p w14:paraId="659F2F3F">
      <w:pPr>
        <w:pStyle w:val="21"/>
      </w:pPr>
      <w:r>
        <w:rPr>
          <w:rFonts w:hint="eastAsia"/>
          <w:b/>
          <w:bCs w:val="0"/>
        </w:rPr>
        <w:t>4</w:t>
      </w:r>
      <w:r>
        <w:rPr>
          <w:b/>
          <w:bCs w:val="0"/>
        </w:rPr>
        <w:t xml:space="preserve">. </w:t>
      </w:r>
      <w:r>
        <w:rPr>
          <w:rFonts w:hint="eastAsia"/>
          <w:b/>
          <w:bCs w:val="0"/>
        </w:rPr>
        <w:t>建筑垃圾。</w:t>
      </w:r>
      <w:r>
        <w:rPr>
          <w:b/>
          <w:bCs w:val="0"/>
        </w:rPr>
        <w:t>部门联动机制</w:t>
      </w:r>
      <w:r>
        <w:rPr>
          <w:rFonts w:hint="eastAsia"/>
          <w:b/>
          <w:bCs w:val="0"/>
        </w:rPr>
        <w:t>待</w:t>
      </w:r>
      <w:r>
        <w:rPr>
          <w:b/>
          <w:bCs w:val="0"/>
        </w:rPr>
        <w:t>健全。</w:t>
      </w:r>
      <w:r>
        <w:t>建筑垃圾利用处置管理涉及城管</w:t>
      </w:r>
      <w:r>
        <w:rPr>
          <w:rFonts w:hint="eastAsia"/>
        </w:rPr>
        <w:t>局</w:t>
      </w:r>
      <w:r>
        <w:t>、</w:t>
      </w:r>
      <w:r>
        <w:rPr>
          <w:rFonts w:hint="eastAsia"/>
        </w:rPr>
        <w:t>住建局</w:t>
      </w:r>
      <w:r>
        <w:t>等多个部门，</w:t>
      </w:r>
      <w:r>
        <w:rPr>
          <w:rFonts w:hint="eastAsia"/>
        </w:rPr>
        <w:t>具体职责分配和主体责任未清晰界定，长效工作机制未全面建立</w:t>
      </w:r>
      <w:r>
        <w:t>。</w:t>
      </w:r>
      <w:r>
        <w:rPr>
          <w:rFonts w:hint="eastAsia"/>
          <w:b/>
          <w:bCs w:val="0"/>
        </w:rPr>
        <w:t>资源化利用尚存缺口。</w:t>
      </w:r>
      <w:r>
        <w:rPr>
          <w:rFonts w:hint="eastAsia"/>
        </w:rPr>
        <w:t>建筑垃圾资源化利用项目缺乏鼓励政策和利益驱动机制，长期投资动力不足，工程渣土</w:t>
      </w:r>
      <w:r>
        <w:t>未充分对接城市需土工程，供需信息不平衡。</w:t>
      </w:r>
    </w:p>
    <w:p w14:paraId="26E46200">
      <w:pPr>
        <w:pStyle w:val="21"/>
      </w:pPr>
      <w:r>
        <w:rPr>
          <w:rFonts w:hint="eastAsia"/>
          <w:b/>
          <w:bCs w:val="0"/>
        </w:rPr>
        <w:t>5</w:t>
      </w:r>
      <w:r>
        <w:rPr>
          <w:b/>
          <w:bCs w:val="0"/>
        </w:rPr>
        <w:t>.</w:t>
      </w:r>
      <w:r>
        <w:rPr>
          <w:rFonts w:hint="eastAsia"/>
          <w:b/>
          <w:bCs w:val="0"/>
        </w:rPr>
        <w:t xml:space="preserve"> 农业固体废物。</w:t>
      </w:r>
      <w:r>
        <w:rPr>
          <w:rFonts w:hint="eastAsia"/>
        </w:rPr>
        <w:t>农业面源污染治理力度需进一步提升，废弃农膜、农药包装等农业固体废物回收利用网络体系有待健全完善。</w:t>
      </w:r>
    </w:p>
    <w:p w14:paraId="35F2F321">
      <w:pPr>
        <w:pStyle w:val="21"/>
        <w:rPr>
          <w:b/>
          <w:bCs w:val="0"/>
        </w:rPr>
      </w:pPr>
      <w:r>
        <w:rPr>
          <w:rFonts w:hint="eastAsia"/>
          <w:b/>
          <w:bCs w:val="0"/>
        </w:rPr>
        <w:t>6</w:t>
      </w:r>
      <w:r>
        <w:rPr>
          <w:b/>
          <w:bCs w:val="0"/>
        </w:rPr>
        <w:t xml:space="preserve">. </w:t>
      </w:r>
      <w:r>
        <w:rPr>
          <w:rFonts w:hint="eastAsia"/>
          <w:b/>
          <w:bCs w:val="0"/>
        </w:rPr>
        <w:t>污染土壤。</w:t>
      </w:r>
      <w:r>
        <w:rPr>
          <w:rFonts w:hint="eastAsia"/>
        </w:rPr>
        <w:t>污染地块污染物种类较多、污染深度较深，存在不同程度的环境健康风险，污染土壤全过程监管体系和跨区域监管能力需持续加强。</w:t>
      </w:r>
    </w:p>
    <w:p w14:paraId="1ACC9309">
      <w:pPr>
        <w:pStyle w:val="23"/>
        <w:spacing w:before="156" w:after="156"/>
        <w:ind w:firstLine="640"/>
      </w:pPr>
      <w:bookmarkStart w:id="10" w:name="_Toc155617286"/>
      <w:r>
        <w:rPr>
          <w:rFonts w:hint="eastAsia"/>
        </w:rPr>
        <w:t>（三）面临的机遇与挑战</w:t>
      </w:r>
      <w:bookmarkEnd w:id="10"/>
    </w:p>
    <w:p w14:paraId="39D5C463">
      <w:pPr>
        <w:pStyle w:val="21"/>
        <w:rPr>
          <w:b/>
          <w:bCs w:val="0"/>
        </w:rPr>
      </w:pPr>
      <w:r>
        <w:rPr>
          <w:rFonts w:hint="eastAsia"/>
          <w:b/>
          <w:bCs w:val="0"/>
        </w:rPr>
        <w:t>1</w:t>
      </w:r>
      <w:r>
        <w:rPr>
          <w:b/>
          <w:bCs w:val="0"/>
        </w:rPr>
        <w:t xml:space="preserve">. </w:t>
      </w:r>
      <w:r>
        <w:rPr>
          <w:rFonts w:hint="eastAsia"/>
          <w:b/>
          <w:bCs w:val="0"/>
        </w:rPr>
        <w:t>发展机遇</w:t>
      </w:r>
    </w:p>
    <w:p w14:paraId="5F35FED1">
      <w:pPr>
        <w:pStyle w:val="21"/>
        <w:ind w:firstLine="640"/>
      </w:pPr>
      <w:r>
        <w:rPr>
          <w:rFonts w:hint="eastAsia"/>
        </w:rPr>
        <w:t>——党中央、国务院高度重视生态环境保护工作。党的十八大以来，以习近平</w:t>
      </w:r>
      <w:bookmarkStart w:id="58" w:name="_GoBack"/>
      <w:bookmarkEnd w:id="58"/>
      <w:r>
        <w:rPr>
          <w:rFonts w:hint="eastAsia"/>
        </w:rPr>
        <w:t>总书记为代表的党中央站在战略和全局的高度，对生态环境保护提出一系列新思想新论断新要求。</w:t>
      </w:r>
      <w:r>
        <w:t>2021年以来，国务院及发改委等有关部委专门印发《关于加快建立健全绿色低碳循环发展经济体系的指导意见》《</w:t>
      </w:r>
      <w:r>
        <w:rPr>
          <w:rFonts w:hint="eastAsia"/>
        </w:rPr>
        <w:t>“十四五”</w:t>
      </w:r>
      <w:r>
        <w:t>循环经济发展规划》等文件，重点推进</w:t>
      </w:r>
      <w:r>
        <w:rPr>
          <w:rFonts w:hint="eastAsia"/>
        </w:rPr>
        <w:t>“十四五”</w:t>
      </w:r>
      <w:r>
        <w:t>时期循环经济发展、资源节约集约利用、资源循环型产业体系和废旧物资循环利用体系构建工作</w:t>
      </w:r>
      <w:r>
        <w:rPr>
          <w:rFonts w:hint="eastAsia"/>
        </w:rPr>
        <w:t>，为推动“无废城市”建设提供了思想指引和行动指南。</w:t>
      </w:r>
    </w:p>
    <w:p w14:paraId="70787508">
      <w:pPr>
        <w:pStyle w:val="21"/>
        <w:ind w:firstLine="640"/>
      </w:pPr>
      <w:r>
        <w:rPr>
          <w:rFonts w:hint="eastAsia"/>
        </w:rPr>
        <w:t>——生态环境保护已进入减污降碳协同治理新阶段。“</w:t>
      </w:r>
      <w:r>
        <w:t>十四五</w:t>
      </w:r>
      <w:r>
        <w:rPr>
          <w:rFonts w:hint="eastAsia"/>
        </w:rPr>
        <w:t>”</w:t>
      </w:r>
      <w:r>
        <w:t>时期，我国生态文明建设进入以降碳为重点战略方向、推动减污降碳协同增效、促进经济社会发展全面绿色转型、实现生态环境质量由量变到质变的关键时期。2022年6月，生态环境部等7部委联合印发《减污降碳协同增效实施方案》，对推动减污降碳协同增效作出系统部署。固体废物污染防治一头连着减污，一头连着降碳。以减污降碳协同增效为总抓手，以固体废物污染防治为核心，大力推进减量化、资源化、无害化，有助于推动经济社会发</w:t>
      </w:r>
      <w:r>
        <w:rPr>
          <w:rFonts w:hint="eastAsia"/>
        </w:rPr>
        <w:t>展绿色低碳转</w:t>
      </w:r>
      <w:r>
        <w:t>型，助推实现生态环境根本好转和碳达峰碳中和两大战略任务目标</w:t>
      </w:r>
      <w:r>
        <w:rPr>
          <w:rFonts w:hint="eastAsia"/>
        </w:rPr>
        <w:t>。</w:t>
      </w:r>
    </w:p>
    <w:p w14:paraId="5E085711">
      <w:pPr>
        <w:pStyle w:val="21"/>
        <w:ind w:firstLine="640"/>
      </w:pPr>
      <w:r>
        <w:rPr>
          <w:rFonts w:hint="eastAsia"/>
        </w:rPr>
        <w:t>——打造美丽合肥瑶海新样板为固废污染防治提供重要</w:t>
      </w:r>
      <w:r>
        <w:t>契机。《合肥市</w:t>
      </w:r>
      <w:r>
        <w:rPr>
          <w:rFonts w:hint="eastAsia"/>
        </w:rPr>
        <w:t>瑶海区</w:t>
      </w:r>
      <w:r>
        <w:t>国民经济和社会发展第十四个五年规划和2035年远景目标纲要》明确，要</w:t>
      </w:r>
      <w:r>
        <w:rPr>
          <w:rFonts w:hint="eastAsia"/>
        </w:rPr>
        <w:t>加快全面绿色转型，打造美丽合肥瑶海新样板</w:t>
      </w:r>
      <w:r>
        <w:t>。开</w:t>
      </w:r>
      <w:r>
        <w:rPr>
          <w:rFonts w:hint="eastAsia"/>
        </w:rPr>
        <w:t>展“无废城市”</w:t>
      </w:r>
      <w:r>
        <w:t>建设，有利于推动固体废物管理与城市建设管理有机融合、高效解决城市固体废物环境污染问题，对于改善生态环境质量以及提升城市高品质生活有重要意义，能够增强人民群众对生态环境质量改善</w:t>
      </w:r>
      <w:r>
        <w:rPr>
          <w:rFonts w:hint="eastAsia"/>
        </w:rPr>
        <w:t>的获得感、</w:t>
      </w:r>
      <w:r>
        <w:t>幸福感。</w:t>
      </w:r>
    </w:p>
    <w:p w14:paraId="52EF9E3C">
      <w:pPr>
        <w:pStyle w:val="21"/>
        <w:ind w:firstLine="640"/>
      </w:pPr>
      <w:r>
        <w:rPr>
          <w:rFonts w:hint="eastAsia"/>
        </w:rPr>
        <w:t>——多重发展战略实施有助于抓住节能环保产业先发</w:t>
      </w:r>
      <w:r>
        <w:t>机遇。安徽省将新能源和节能环保产业列为十大新兴产业之一，合肥市将节能环保产业列为16个重点产业链之一</w:t>
      </w:r>
      <w:r>
        <w:rPr>
          <w:rFonts w:hint="eastAsia"/>
        </w:rPr>
        <w:t>，“</w:t>
      </w:r>
      <w:r>
        <w:t>G60科创走廊合肥瑶海区老工业区转型发展试验区</w:t>
      </w:r>
      <w:r>
        <w:rPr>
          <w:rFonts w:hint="eastAsia"/>
        </w:rPr>
        <w:t>”</w:t>
      </w:r>
      <w:r>
        <w:t>项目纳入国家《长三角一体化发展规划</w:t>
      </w:r>
      <w:r>
        <w:rPr>
          <w:rFonts w:hint="eastAsia"/>
        </w:rPr>
        <w:t>“十四五”</w:t>
      </w:r>
      <w:r>
        <w:t>实施方案》。</w:t>
      </w:r>
      <w:r>
        <w:rPr>
          <w:rFonts w:hint="eastAsia"/>
        </w:rPr>
        <w:t>“一</w:t>
      </w:r>
      <w:r>
        <w:t>带一路</w:t>
      </w:r>
      <w:r>
        <w:rPr>
          <w:rFonts w:hint="eastAsia"/>
        </w:rPr>
        <w:t>”</w:t>
      </w:r>
      <w:r>
        <w:t>、</w:t>
      </w:r>
      <w:r>
        <w:rPr>
          <w:rFonts w:hint="eastAsia"/>
        </w:rPr>
        <w:t>长三角一体化、长江经济带、</w:t>
      </w:r>
      <w:r>
        <w:t>中部地区高质量发展</w:t>
      </w:r>
      <w:r>
        <w:rPr>
          <w:rFonts w:hint="eastAsia"/>
        </w:rPr>
        <w:t>、合肥东部新中心建设、老工业区转型发展示范建设等多重战略</w:t>
      </w:r>
      <w:r>
        <w:t>叠加，有利于</w:t>
      </w:r>
      <w:r>
        <w:rPr>
          <w:rFonts w:hint="eastAsia"/>
        </w:rPr>
        <w:t>瑶海区</w:t>
      </w:r>
      <w:r>
        <w:t>发挥国家战略科技力量集中、新兴产业集聚等优势，进一步推动节能环保产业特别是固废利用处置产业蓬勃发展，推动产业专业化、规模化发展，形成固废利用处置产业新高地，为促进经济社会高质量发展提供产业支撑和绿色新</w:t>
      </w:r>
      <w:r>
        <w:rPr>
          <w:rFonts w:hint="eastAsia"/>
        </w:rPr>
        <w:t>动</w:t>
      </w:r>
      <w:r>
        <w:t>能。</w:t>
      </w:r>
    </w:p>
    <w:p w14:paraId="71E86BA0">
      <w:pPr>
        <w:pStyle w:val="21"/>
        <w:rPr>
          <w:b/>
          <w:bCs w:val="0"/>
        </w:rPr>
      </w:pPr>
      <w:r>
        <w:rPr>
          <w:rFonts w:hint="eastAsia"/>
          <w:b/>
          <w:bCs w:val="0"/>
        </w:rPr>
        <w:t>2</w:t>
      </w:r>
      <w:r>
        <w:rPr>
          <w:b/>
          <w:bCs w:val="0"/>
        </w:rPr>
        <w:t xml:space="preserve">. </w:t>
      </w:r>
      <w:r>
        <w:rPr>
          <w:rFonts w:hint="eastAsia"/>
          <w:b/>
          <w:bCs w:val="0"/>
        </w:rPr>
        <w:t>存在挑战</w:t>
      </w:r>
    </w:p>
    <w:p w14:paraId="55B90B7C">
      <w:pPr>
        <w:pStyle w:val="21"/>
        <w:ind w:firstLine="640"/>
      </w:pPr>
      <w:r>
        <w:rPr>
          <w:rFonts w:hint="eastAsia"/>
        </w:rPr>
        <w:t>——“三化”</w:t>
      </w:r>
      <w:r>
        <w:t>面临</w:t>
      </w:r>
      <w:r>
        <w:rPr>
          <w:rFonts w:hint="eastAsia"/>
        </w:rPr>
        <w:t>经济高质量发展</w:t>
      </w:r>
      <w:r>
        <w:t>压力。得益于长三角一体化等战略实施，</w:t>
      </w:r>
      <w:r>
        <w:rPr>
          <w:rFonts w:hint="eastAsia"/>
        </w:rPr>
        <w:t>瑶海区</w:t>
      </w:r>
      <w:r>
        <w:t>城市建设快速发展，战新产业加速聚集，建筑垃圾和产业类固体废物利用处置压力逐步显现。同时，随着经济社会快速发展，</w:t>
      </w:r>
      <w:r>
        <w:rPr>
          <w:rFonts w:hint="eastAsia"/>
        </w:rPr>
        <w:t>人民</w:t>
      </w:r>
      <w:r>
        <w:t>生活水平稳步提升，生活源固体废物产生量持续攀升，</w:t>
      </w:r>
      <w:r>
        <w:rPr>
          <w:rFonts w:hint="eastAsia"/>
        </w:rPr>
        <w:t>这</w:t>
      </w:r>
      <w:r>
        <w:t>对固体废物源头减量化、过程资源化和末端无害化提出了更高要求。</w:t>
      </w:r>
    </w:p>
    <w:p w14:paraId="08D5BBA7">
      <w:pPr>
        <w:pStyle w:val="21"/>
        <w:ind w:firstLine="640"/>
      </w:pPr>
      <w:r>
        <w:rPr>
          <w:rFonts w:hint="eastAsia"/>
        </w:rPr>
        <w:t>——固体废物高值化利用能力仍需加强。瑶海区经济社会已进入高质量发展阶段，越来越注重产品的高质量和环境保护的高标准，这对生产原料的品质和稳定性提出了更高要求，也为固体废物的资源化利用设置了更高门槛。经济稳步提质的同时，瑶海应</w:t>
      </w:r>
      <w:r>
        <w:t>推广先进适用的固体废物综合利用技术装备，强化跨产业多源固体废物协同利用与循环链接技术突破，推动固体废物综合利用与产业发展协同耦合。</w:t>
      </w:r>
    </w:p>
    <w:p w14:paraId="6CE3DA54">
      <w:pPr>
        <w:pStyle w:val="21"/>
        <w:ind w:firstLine="640"/>
      </w:pPr>
      <w:r>
        <w:rPr>
          <w:rFonts w:hint="eastAsia"/>
        </w:rPr>
        <w:t>——固体废物监管长效机制未全面建成。</w:t>
      </w:r>
      <w:r>
        <w:t>固体废物信息化监管</w:t>
      </w:r>
      <w:r>
        <w:rPr>
          <w:rFonts w:hint="eastAsia"/>
        </w:rPr>
        <w:t>水平待提升</w:t>
      </w:r>
      <w:r>
        <w:t>，</w:t>
      </w:r>
      <w:r>
        <w:rPr>
          <w:rFonts w:hint="eastAsia"/>
        </w:rPr>
        <w:t>信息共享机制需健全，</w:t>
      </w:r>
      <w:r>
        <w:t>部门间</w:t>
      </w:r>
      <w:r>
        <w:rPr>
          <w:rFonts w:hint="eastAsia"/>
        </w:rPr>
        <w:t>联防联控联治机制未充分形成</w:t>
      </w:r>
      <w:r>
        <w:t>，与精准治污、科学治污、依法治污存在</w:t>
      </w:r>
      <w:r>
        <w:rPr>
          <w:rFonts w:hint="eastAsia"/>
        </w:rPr>
        <w:t>一定</w:t>
      </w:r>
      <w:r>
        <w:t>差距。</w:t>
      </w:r>
      <w:r>
        <w:rPr>
          <w:rFonts w:hint="eastAsia"/>
        </w:rPr>
        <w:t>“十四五”时期，“无废城市”建设需进一步强化顶层设计，加强固体废物精细化管理，</w:t>
      </w:r>
      <w:r>
        <w:t>全面提升固体废物环境监管能力，促进传统化管理手段向信息化转变。</w:t>
      </w:r>
    </w:p>
    <w:p w14:paraId="02A830E4">
      <w:pPr>
        <w:pStyle w:val="25"/>
      </w:pPr>
      <w:bookmarkStart w:id="11" w:name="_Toc155617287"/>
      <w:r>
        <w:rPr>
          <w:rFonts w:hint="eastAsia"/>
        </w:rPr>
        <w:t>二、建设思路</w:t>
      </w:r>
      <w:bookmarkEnd w:id="11"/>
    </w:p>
    <w:p w14:paraId="2E9B895D">
      <w:pPr>
        <w:pStyle w:val="23"/>
        <w:spacing w:before="156" w:after="156"/>
        <w:ind w:firstLine="640"/>
      </w:pPr>
      <w:bookmarkStart w:id="12" w:name="_Toc155617288"/>
      <w:r>
        <w:rPr>
          <w:rFonts w:hint="eastAsia"/>
        </w:rPr>
        <w:t>（一）指导思想</w:t>
      </w:r>
      <w:bookmarkEnd w:id="12"/>
    </w:p>
    <w:p w14:paraId="34C7A5CF">
      <w:pPr>
        <w:pStyle w:val="21"/>
        <w:ind w:firstLine="640"/>
      </w:pPr>
      <w:r>
        <w:rPr>
          <w:rFonts w:hint="eastAsia"/>
        </w:rPr>
        <w:t>以习近平新时代中国特色社会主义思想为指导，全面贯彻落实党的二十大和全国生态环境保护大会精神，深入贯彻落实习近平生态文明思想和习近平总书记考察安徽重要讲话指示精神，统筹推进“五位一体”总体布局，协调推进“四个全面”战略布局，牢固树立和深入践行“绿水青山就是金山银山”重要思想。立足新发展阶段，贯彻新发展理念，构建新发展格局，实现高质量发展。统筹经济发展与固体废物管理，</w:t>
      </w:r>
      <w:r>
        <w:t>强化制度、技术、</w:t>
      </w:r>
      <w:r>
        <w:rPr>
          <w:rFonts w:hint="eastAsia"/>
        </w:rPr>
        <w:t>市场、监管等保障体系建设，大力推进减量化、资源化、无害化，发挥减污降碳协同增效效应，提升区域精细化管理水平，</w:t>
      </w:r>
      <w:r>
        <w:t>推动</w:t>
      </w:r>
      <w:r>
        <w:rPr>
          <w:rFonts w:hint="eastAsia"/>
        </w:rPr>
        <w:t>区域发展绿色转型，全力打造转型发展示范区、东部崛起新引擎、合肥新兴增长极，奋力谱写社会主义现代化美好瑶海新篇章。</w:t>
      </w:r>
    </w:p>
    <w:p w14:paraId="378E0F71">
      <w:pPr>
        <w:pStyle w:val="23"/>
        <w:spacing w:before="156" w:after="156"/>
        <w:ind w:firstLine="640"/>
      </w:pPr>
      <w:bookmarkStart w:id="13" w:name="_Toc155617289"/>
      <w:r>
        <w:rPr>
          <w:rFonts w:hint="eastAsia"/>
        </w:rPr>
        <w:t>（二）基本原则</w:t>
      </w:r>
      <w:bookmarkEnd w:id="13"/>
    </w:p>
    <w:p w14:paraId="13EC80B1">
      <w:pPr>
        <w:pStyle w:val="21"/>
        <w:ind w:firstLine="640"/>
      </w:pPr>
      <w:r>
        <w:rPr>
          <w:rFonts w:hint="eastAsia"/>
        </w:rPr>
        <w:t>——系统谋划，彰显特色</w:t>
      </w:r>
      <w:r>
        <w:t>。以经济社会发展全面绿色转型为引领，将</w:t>
      </w:r>
      <w:r>
        <w:rPr>
          <w:rFonts w:hint="eastAsia"/>
        </w:rPr>
        <w:t>“无废城市”</w:t>
      </w:r>
      <w:r>
        <w:t>建设与深入打好污染防治攻坚战、推动实现碳达峰碳中和等国家重大决策部署以及城市建设管理充分衔接，整体规划、分步实施、逐步落实。</w:t>
      </w:r>
      <w:r>
        <w:rPr>
          <w:rFonts w:hint="eastAsia"/>
        </w:rPr>
        <w:t>紧紧围绕瑶海区生态环境特点和社会经济发展目标，探索固体废物治理和产业升级优化路径，打造瑶海区“</w:t>
      </w:r>
      <w:r>
        <w:t>无废城市</w:t>
      </w:r>
      <w:r>
        <w:rPr>
          <w:rFonts w:hint="eastAsia"/>
        </w:rPr>
        <w:t>”建设特色亮点。</w:t>
      </w:r>
    </w:p>
    <w:p w14:paraId="432F580A">
      <w:pPr>
        <w:pStyle w:val="21"/>
        <w:ind w:firstLine="640"/>
      </w:pPr>
      <w:r>
        <w:rPr>
          <w:rFonts w:hint="eastAsia"/>
        </w:rPr>
        <w:t>——目标导向，</w:t>
      </w:r>
      <w:r>
        <w:t>问题导向。以实现固体废物产生量最小、资源化利用充分、处置安全目标为导向，针对收运体系不健全、资源化利用水平不高、处理处置项目落地难、信息化管理手段不足、全过程监管不到位、市场培育不足等问题和难点，逐一靶向施策、精准补短</w:t>
      </w:r>
      <w:r>
        <w:rPr>
          <w:rFonts w:hint="eastAsia"/>
        </w:rPr>
        <w:t>，持续提升固体废物综合治理能力，推进减污降碳协同增效</w:t>
      </w:r>
      <w:r>
        <w:t>。</w:t>
      </w:r>
    </w:p>
    <w:p w14:paraId="0A5141D1">
      <w:pPr>
        <w:pStyle w:val="21"/>
        <w:ind w:firstLine="640"/>
      </w:pPr>
      <w:r>
        <w:rPr>
          <w:rFonts w:hint="eastAsia"/>
        </w:rPr>
        <w:t>——长效监管，</w:t>
      </w:r>
      <w:r>
        <w:t>创新驱动。按照</w:t>
      </w:r>
      <w:r>
        <w:rPr>
          <w:rFonts w:hint="eastAsia"/>
        </w:rPr>
        <w:t>“</w:t>
      </w:r>
      <w:r>
        <w:t>控源头、堵落地、严打击、建机制</w:t>
      </w:r>
      <w:r>
        <w:rPr>
          <w:rFonts w:hint="eastAsia"/>
        </w:rPr>
        <w:t>”</w:t>
      </w:r>
      <w:r>
        <w:t>要求，推动制度、技术、市场和监管创新，促进形成</w:t>
      </w:r>
      <w:r>
        <w:rPr>
          <w:rFonts w:hint="eastAsia"/>
        </w:rPr>
        <w:t>“</w:t>
      </w:r>
      <w:r>
        <w:t>无废城市</w:t>
      </w:r>
      <w:r>
        <w:rPr>
          <w:rFonts w:hint="eastAsia"/>
        </w:rPr>
        <w:t>”</w:t>
      </w:r>
      <w:r>
        <w:t>建设长效机制。持续推进固体废物智慧监管，融合数字化、物联网等科技技术，实现源头高效分</w:t>
      </w:r>
      <w:r>
        <w:rPr>
          <w:rFonts w:hint="eastAsia"/>
        </w:rPr>
        <w:t>类、</w:t>
      </w:r>
      <w:r>
        <w:t>过程高效分拣、终端高效处置</w:t>
      </w:r>
      <w:r>
        <w:rPr>
          <w:rFonts w:hint="eastAsia"/>
        </w:rPr>
        <w:t>，探索形成以创新为引领的“无废城市”建设模式</w:t>
      </w:r>
      <w:r>
        <w:t>。</w:t>
      </w:r>
    </w:p>
    <w:p w14:paraId="6A569BA8">
      <w:pPr>
        <w:pStyle w:val="21"/>
        <w:ind w:firstLine="640"/>
      </w:pPr>
      <w:r>
        <w:rPr>
          <w:rFonts w:hint="eastAsia"/>
        </w:rPr>
        <w:t>——权责明确，</w:t>
      </w:r>
      <w:r>
        <w:t>社会共治。全面推广绿色低碳循环发展的</w:t>
      </w:r>
      <w:r>
        <w:rPr>
          <w:rFonts w:hint="eastAsia"/>
        </w:rPr>
        <w:t>“</w:t>
      </w:r>
      <w:r>
        <w:t>无废城市</w:t>
      </w:r>
      <w:r>
        <w:rPr>
          <w:rFonts w:hint="eastAsia"/>
        </w:rPr>
        <w:t>”</w:t>
      </w:r>
      <w:r>
        <w:t>建设理念，厘清部门职责，强化企业主体责任意识，提高公众绿色生活理念。加强政策引导，按照党政主导推动、部门协同推进、企业自我约束、公众积极参与、社会组织监督的建设模式，拓宽公众参与渠道，营造干部群众思想同心、目标同向、成果同享的良好氛围</w:t>
      </w:r>
      <w:r>
        <w:rPr>
          <w:rFonts w:hint="eastAsia"/>
        </w:rPr>
        <w:t>。</w:t>
      </w:r>
    </w:p>
    <w:p w14:paraId="23A12231">
      <w:pPr>
        <w:pStyle w:val="23"/>
        <w:spacing w:before="156" w:after="156"/>
        <w:ind w:firstLine="640"/>
      </w:pPr>
      <w:bookmarkStart w:id="14" w:name="_Toc155617290"/>
      <w:r>
        <w:rPr>
          <w:rFonts w:hint="eastAsia"/>
        </w:rPr>
        <w:t>（三）实施期限和范围</w:t>
      </w:r>
      <w:bookmarkEnd w:id="14"/>
    </w:p>
    <w:p w14:paraId="0C4C1098">
      <w:pPr>
        <w:pStyle w:val="21"/>
        <w:ind w:firstLine="640"/>
      </w:pPr>
      <w:r>
        <w:rPr>
          <w:rFonts w:hint="eastAsia"/>
        </w:rPr>
        <w:t>实施期限为</w:t>
      </w:r>
      <w:r>
        <w:t>2022-2025年。</w:t>
      </w:r>
    </w:p>
    <w:p w14:paraId="4ACFCAA6">
      <w:pPr>
        <w:pStyle w:val="21"/>
        <w:ind w:firstLine="640"/>
      </w:pPr>
      <w:r>
        <w:rPr>
          <w:rFonts w:hint="eastAsia"/>
        </w:rPr>
        <w:t>实施范围是瑶海区全域，</w:t>
      </w:r>
      <w:r>
        <w:t>包括1个镇</w:t>
      </w:r>
      <w:r>
        <w:rPr>
          <w:rFonts w:hint="eastAsia"/>
        </w:rPr>
        <w:t>（大兴镇）</w:t>
      </w:r>
      <w:r>
        <w:t>、1个开发区</w:t>
      </w:r>
      <w:r>
        <w:rPr>
          <w:rFonts w:hint="eastAsia"/>
        </w:rPr>
        <w:t>（龙岗片区）</w:t>
      </w:r>
      <w:r>
        <w:t>、11个街道</w:t>
      </w:r>
      <w:r>
        <w:rPr>
          <w:rFonts w:hint="eastAsia"/>
        </w:rPr>
        <w:t>（城东街道、胜利路街道、明光路街道、三里街街道、铜陵路街道、七里站街道、和平路街道、红光街道、长淮街道、方庙街道、嘉山路街道）。</w:t>
      </w:r>
    </w:p>
    <w:p w14:paraId="2BE52A25">
      <w:pPr>
        <w:pStyle w:val="25"/>
      </w:pPr>
      <w:bookmarkStart w:id="15" w:name="_Toc155617291"/>
      <w:r>
        <w:rPr>
          <w:rFonts w:hint="eastAsia"/>
        </w:rPr>
        <w:t>三、建设目标和指标</w:t>
      </w:r>
      <w:bookmarkEnd w:id="15"/>
    </w:p>
    <w:p w14:paraId="59F44681">
      <w:pPr>
        <w:pStyle w:val="23"/>
        <w:spacing w:before="156" w:after="156"/>
        <w:ind w:firstLine="640"/>
      </w:pPr>
      <w:bookmarkStart w:id="16" w:name="_Toc155617292"/>
      <w:r>
        <w:rPr>
          <w:rFonts w:hint="eastAsia"/>
        </w:rPr>
        <w:t>（一）建设目标</w:t>
      </w:r>
      <w:bookmarkEnd w:id="16"/>
    </w:p>
    <w:p w14:paraId="179E66BB">
      <w:pPr>
        <w:pStyle w:val="21"/>
        <w:ind w:firstLine="640"/>
      </w:pPr>
      <w:r>
        <w:rPr>
          <w:rFonts w:hint="eastAsia"/>
        </w:rPr>
        <w:t>到2</w:t>
      </w:r>
      <w:r>
        <w:t>025</w:t>
      </w:r>
      <w:r>
        <w:rPr>
          <w:rFonts w:hint="eastAsia"/>
        </w:rPr>
        <w:t>年，瑶海区固体废物产生强度稳步下降，资源化利用和无害化处置能力水平显著提升。一般工业固体废物</w:t>
      </w:r>
      <w:r>
        <w:t>综合利用率达到</w:t>
      </w:r>
      <w:r>
        <w:rPr>
          <w:rFonts w:hint="eastAsia"/>
        </w:rPr>
        <w:t>8</w:t>
      </w:r>
      <w:r>
        <w:t>5%，工业危险废物综合利用率达到10%；生活垃圾分类工作成效明显，回收利</w:t>
      </w:r>
      <w:r>
        <w:rPr>
          <w:rFonts w:hint="eastAsia"/>
        </w:rPr>
        <w:t>用率达到3</w:t>
      </w:r>
      <w:r>
        <w:t>5%；绿色建筑占新建建筑的比例达到100%，装配式建筑占新建建筑的比例</w:t>
      </w:r>
      <w:r>
        <w:rPr>
          <w:rFonts w:hint="eastAsia"/>
        </w:rPr>
        <w:t>保持稳定</w:t>
      </w:r>
      <w:r>
        <w:t>，建筑垃圾资源化利用程度</w:t>
      </w:r>
      <w:r>
        <w:rPr>
          <w:rFonts w:hint="eastAsia"/>
        </w:rPr>
        <w:t>达到1</w:t>
      </w:r>
      <w:r>
        <w:t>0%；秸秆</w:t>
      </w:r>
      <w:r>
        <w:rPr>
          <w:rFonts w:hint="eastAsia"/>
        </w:rPr>
        <w:t>综合利用率、</w:t>
      </w:r>
      <w:r>
        <w:t>农膜</w:t>
      </w:r>
      <w:r>
        <w:rPr>
          <w:rFonts w:hint="eastAsia"/>
        </w:rPr>
        <w:t>和</w:t>
      </w:r>
      <w:r>
        <w:t>农药包装废弃物</w:t>
      </w:r>
      <w:r>
        <w:rPr>
          <w:rFonts w:hint="eastAsia"/>
        </w:rPr>
        <w:t>回收率稳定维持在1</w:t>
      </w:r>
      <w:r>
        <w:t>00%</w:t>
      </w:r>
      <w:r>
        <w:rPr>
          <w:rFonts w:hint="eastAsia"/>
        </w:rPr>
        <w:t>。</w:t>
      </w:r>
    </w:p>
    <w:p w14:paraId="73F77C12">
      <w:pPr>
        <w:pStyle w:val="21"/>
        <w:ind w:firstLine="640"/>
      </w:pPr>
      <w:r>
        <w:rPr>
          <w:rFonts w:hint="eastAsia"/>
        </w:rPr>
        <w:t>支撑“无废城市”</w:t>
      </w:r>
      <w:r>
        <w:t>建设的制度、技术、市场、监管四大体系基本形成，减污降碳协同作用充分发挥。固体废物资源化利用能力显著提升，处置设施缺口基本补齐，无害化处置能力有效保障。</w:t>
      </w:r>
      <w:r>
        <w:rPr>
          <w:rFonts w:hint="eastAsia"/>
        </w:rPr>
        <w:t>“</w:t>
      </w:r>
      <w:r>
        <w:t>无废</w:t>
      </w:r>
      <w:r>
        <w:rPr>
          <w:rFonts w:hint="eastAsia"/>
        </w:rPr>
        <w:t>”</w:t>
      </w:r>
      <w:r>
        <w:t>文化培育成效显著，</w:t>
      </w:r>
      <w:r>
        <w:rPr>
          <w:rFonts w:hint="eastAsia"/>
        </w:rPr>
        <w:t>“</w:t>
      </w:r>
      <w:r>
        <w:t>无废</w:t>
      </w:r>
      <w:r>
        <w:rPr>
          <w:rFonts w:hint="eastAsia"/>
        </w:rPr>
        <w:t>”</w:t>
      </w:r>
      <w:r>
        <w:t>理念得到广泛认同，</w:t>
      </w:r>
      <w:r>
        <w:rPr>
          <w:rFonts w:hint="eastAsia"/>
        </w:rPr>
        <w:t>形成全社会共同参与“无废城市”的良好氛围，</w:t>
      </w:r>
      <w:r>
        <w:t>基本实现固体废物管理信息</w:t>
      </w:r>
      <w:r>
        <w:rPr>
          <w:rFonts w:hint="eastAsia"/>
        </w:rPr>
        <w:t>“</w:t>
      </w:r>
      <w:r>
        <w:t>一张网</w:t>
      </w:r>
      <w:r>
        <w:rPr>
          <w:rFonts w:hint="eastAsia"/>
        </w:rPr>
        <w:t>”</w:t>
      </w:r>
      <w:r>
        <w:t>，固体废物治理体系和治理能力明显提升，形成特色鲜明、系统高效的</w:t>
      </w:r>
      <w:r>
        <w:rPr>
          <w:rFonts w:hint="eastAsia"/>
        </w:rPr>
        <w:t>“</w:t>
      </w:r>
      <w:r>
        <w:t>无废城市</w:t>
      </w:r>
      <w:r>
        <w:rPr>
          <w:rFonts w:hint="eastAsia"/>
        </w:rPr>
        <w:t>”</w:t>
      </w:r>
      <w:r>
        <w:t>建设新模式。</w:t>
      </w:r>
    </w:p>
    <w:p w14:paraId="32D7E096">
      <w:pPr>
        <w:pStyle w:val="21"/>
        <w:ind w:firstLine="640"/>
      </w:pPr>
      <w:r>
        <w:rPr>
          <w:rFonts w:hint="eastAsia"/>
        </w:rPr>
        <w:t>展望</w:t>
      </w:r>
      <w:r>
        <w:t>2035年，五大类固体废物的减量化、资源化、无害化水平全面提升，制度、技术、市场和监管四大体系趋于完善，</w:t>
      </w:r>
      <w:r>
        <w:rPr>
          <w:rFonts w:hint="eastAsia"/>
        </w:rPr>
        <w:t>“</w:t>
      </w:r>
      <w:r>
        <w:t>无废</w:t>
      </w:r>
      <w:r>
        <w:rPr>
          <w:rFonts w:hint="eastAsia"/>
        </w:rPr>
        <w:t>”</w:t>
      </w:r>
      <w:r>
        <w:t>理念更加深入人心，形成全社会共同参与</w:t>
      </w:r>
      <w:r>
        <w:rPr>
          <w:rFonts w:hint="eastAsia"/>
        </w:rPr>
        <w:t>“</w:t>
      </w:r>
      <w:r>
        <w:t>无废城市</w:t>
      </w:r>
      <w:r>
        <w:rPr>
          <w:rFonts w:hint="eastAsia"/>
        </w:rPr>
        <w:t>”</w:t>
      </w:r>
      <w:r>
        <w:t>建设的良好氛围</w:t>
      </w:r>
      <w:r>
        <w:rPr>
          <w:rFonts w:hint="eastAsia"/>
        </w:rPr>
        <w:t>。</w:t>
      </w:r>
    </w:p>
    <w:p w14:paraId="09322E1A">
      <w:pPr>
        <w:pStyle w:val="23"/>
        <w:spacing w:before="156" w:after="156"/>
        <w:ind w:firstLine="640"/>
      </w:pPr>
      <w:bookmarkStart w:id="17" w:name="_Toc155617293"/>
      <w:r>
        <w:rPr>
          <w:rFonts w:hint="eastAsia"/>
        </w:rPr>
        <w:t>（二）建设指标</w:t>
      </w:r>
      <w:bookmarkEnd w:id="17"/>
    </w:p>
    <w:p w14:paraId="651F5E48">
      <w:pPr>
        <w:pStyle w:val="21"/>
        <w:ind w:firstLine="640"/>
      </w:pPr>
      <w:r>
        <w:rPr>
          <w:rFonts w:hint="eastAsia"/>
        </w:rPr>
        <w:t>瑶海区“无废城市”</w:t>
      </w:r>
      <w:r>
        <w:t>建设指标体系由5个一级指标</w:t>
      </w:r>
      <w:r>
        <w:rPr>
          <w:rFonts w:hint="eastAsia"/>
        </w:rPr>
        <w:t>、1</w:t>
      </w:r>
      <w:r>
        <w:t>5个二级指标和3</w:t>
      </w:r>
      <w:r>
        <w:rPr>
          <w:rFonts w:hint="eastAsia"/>
        </w:rPr>
        <w:t>6</w:t>
      </w:r>
      <w:r>
        <w:t>个三级指标组成。</w:t>
      </w:r>
    </w:p>
    <w:p w14:paraId="7F70CAE4">
      <w:pPr>
        <w:pStyle w:val="21"/>
        <w:ind w:firstLine="640"/>
      </w:pPr>
      <w:r>
        <w:rPr>
          <w:rFonts w:hint="eastAsia"/>
        </w:rPr>
        <w:t>一级指标为：</w:t>
      </w:r>
      <w:r>
        <w:t>固体废物源头减量、资源化利用、最终处置、保障能力、群众获得感。</w:t>
      </w:r>
    </w:p>
    <w:p w14:paraId="25248BC2">
      <w:pPr>
        <w:pStyle w:val="21"/>
        <w:ind w:firstLine="640"/>
      </w:pPr>
      <w:r>
        <w:rPr>
          <w:rFonts w:hint="eastAsia"/>
        </w:rPr>
        <w:t>二级指标为：</w:t>
      </w:r>
      <w:r>
        <w:t>工业、农业、建筑业、生活领域固废的减量化、资源化、无害化，以及制度、技术、市场、监管体系</w:t>
      </w:r>
      <w:r>
        <w:rPr>
          <w:rFonts w:hint="eastAsia"/>
        </w:rPr>
        <w:t>建设与群众获得感等。</w:t>
      </w:r>
    </w:p>
    <w:p w14:paraId="06125FEE">
      <w:pPr>
        <w:pStyle w:val="21"/>
        <w:ind w:firstLine="640"/>
      </w:pPr>
      <w:r>
        <w:rPr>
          <w:rFonts w:hint="eastAsia"/>
        </w:rPr>
        <w:t>三级指标分为三类：</w:t>
      </w:r>
      <w:r>
        <w:t>第1类（标注</w:t>
      </w:r>
      <w:r>
        <w:rPr>
          <w:rFonts w:hint="eastAsia"/>
        </w:rPr>
        <w:t>★</w:t>
      </w:r>
      <w:r>
        <w:t>）为必选指标，共22项；第2类为可选指标，共11项；第3类为自选指标（标注</w:t>
      </w:r>
      <w:r>
        <w:rPr>
          <w:rFonts w:hint="eastAsia" w:ascii="Segoe UI Symbol" w:hAnsi="Segoe UI Symbol" w:cs="Segoe UI Symbol"/>
        </w:rPr>
        <w:t>☆</w:t>
      </w:r>
      <w:r>
        <w:t>），共</w:t>
      </w:r>
      <w:r>
        <w:rPr>
          <w:rFonts w:hint="eastAsia"/>
        </w:rPr>
        <w:t>3</w:t>
      </w:r>
      <w:r>
        <w:t>项</w:t>
      </w:r>
      <w:r>
        <w:rPr>
          <w:rFonts w:hint="eastAsia"/>
        </w:rPr>
        <w:t>。</w:t>
      </w:r>
    </w:p>
    <w:p w14:paraId="6F975F54">
      <w:pPr>
        <w:pStyle w:val="21"/>
        <w:ind w:firstLine="640"/>
        <w:rPr>
          <w:color w:val="C00000"/>
        </w:rPr>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rPr>
        <w:t>指标设定综合考虑瑶海区发展定位、</w:t>
      </w:r>
      <w:r>
        <w:t>发展阶段、资源禀赋、产业结构、技术水平、管理现状等，充分反映了</w:t>
      </w:r>
      <w:r>
        <w:rPr>
          <w:rFonts w:hint="eastAsia"/>
        </w:rPr>
        <w:t>瑶海区</w:t>
      </w:r>
      <w:r>
        <w:t>固废管理的现状、成效及趋势。</w:t>
      </w:r>
      <w:r>
        <w:rPr>
          <w:rFonts w:hint="eastAsia"/>
        </w:rPr>
        <w:t>与《合肥市“无废城市”建设实施方案》指标体系相比，瑶海区“无废城市”建设指标体系删除了不涉及的</w:t>
      </w:r>
      <w:r>
        <w:t>1</w:t>
      </w:r>
      <w:r>
        <w:rPr>
          <w:rFonts w:hint="eastAsia"/>
        </w:rPr>
        <w:t>4项指标：城市重点行业工业企业碳排放强度降低幅度；</w:t>
      </w:r>
      <w:r>
        <w:t>获评绿色工厂企业数量</w:t>
      </w:r>
      <w:r>
        <w:rPr>
          <w:rFonts w:hint="eastAsia"/>
        </w:rPr>
        <w:t>☆；开展生态工业园区建设、循环化改造、绿色园区建设的工业园区占比；绿色矿山建成率★；巢湖流域一级保护区绿色生产面积☆；绿色种养</w:t>
      </w:r>
      <w:r>
        <w:t>循环试点县数量</w:t>
      </w:r>
      <w:r>
        <w:rPr>
          <w:rFonts w:hint="eastAsia"/>
        </w:rPr>
        <w:t>☆；畜禽粪污综合利用率★；再生资源回收量增长率；工业危险废物填埋处置量下降幅度★；中小微企业和社会源危险废物收运覆盖面☆；规模化养殖场病死畜禽无害化处理率☆；危险废物经营单位环境污染责任保险覆盖率；“无废城市”绿色贷款余额；培育固废综合利用骨干企业☆。</w:t>
      </w:r>
      <w:r>
        <w:t>指标现状值均采用2021年（实施方案基准年）数据</w:t>
      </w:r>
      <w:r>
        <w:rPr>
          <w:rFonts w:hint="eastAsia"/>
        </w:rPr>
        <w:t>，部分指标因</w:t>
      </w:r>
      <w:r>
        <w:t>2021年无统计数据，采用2022</w:t>
      </w:r>
      <w:r>
        <w:rPr>
          <w:rFonts w:hint="eastAsia"/>
        </w:rPr>
        <w:t>或2</w:t>
      </w:r>
      <w:r>
        <w:t>023</w:t>
      </w:r>
      <w:r>
        <w:rPr>
          <w:rFonts w:hint="eastAsia"/>
        </w:rPr>
        <w:t>年</w:t>
      </w:r>
      <w:r>
        <w:t>数据。</w:t>
      </w:r>
    </w:p>
    <w:p w14:paraId="5833CD1D">
      <w:pPr>
        <w:pStyle w:val="27"/>
      </w:pPr>
      <w:bookmarkStart w:id="18" w:name="_Hlk156377717"/>
      <w:r>
        <w:rPr>
          <w:rFonts w:hint="eastAsia"/>
        </w:rPr>
        <w:t>瑶海区“无废城市”建设指标体系</w:t>
      </w:r>
    </w:p>
    <w:bookmarkEnd w:id="18"/>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335"/>
        <w:gridCol w:w="1278"/>
        <w:gridCol w:w="4765"/>
        <w:gridCol w:w="1627"/>
        <w:gridCol w:w="1628"/>
        <w:gridCol w:w="2844"/>
      </w:tblGrid>
      <w:tr w14:paraId="7610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blHeader/>
          <w:jc w:val="center"/>
        </w:trPr>
        <w:tc>
          <w:tcPr>
            <w:tcW w:w="246" w:type="pct"/>
            <w:shd w:val="clear" w:color="auto" w:fill="auto"/>
            <w:vAlign w:val="center"/>
          </w:tcPr>
          <w:p w14:paraId="75C2A897">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471" w:type="pct"/>
            <w:shd w:val="clear" w:color="auto" w:fill="auto"/>
            <w:vAlign w:val="center"/>
          </w:tcPr>
          <w:p w14:paraId="47CA8C83">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一级指标</w:t>
            </w:r>
          </w:p>
        </w:tc>
        <w:tc>
          <w:tcPr>
            <w:tcW w:w="451" w:type="pct"/>
            <w:shd w:val="clear" w:color="auto" w:fill="auto"/>
            <w:vAlign w:val="center"/>
          </w:tcPr>
          <w:p w14:paraId="407D478B">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二级指标</w:t>
            </w:r>
          </w:p>
        </w:tc>
        <w:tc>
          <w:tcPr>
            <w:tcW w:w="1681" w:type="pct"/>
            <w:shd w:val="clear" w:color="auto" w:fill="auto"/>
            <w:vAlign w:val="center"/>
          </w:tcPr>
          <w:p w14:paraId="212E840D">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三级指标</w:t>
            </w:r>
          </w:p>
        </w:tc>
        <w:tc>
          <w:tcPr>
            <w:tcW w:w="574" w:type="pct"/>
            <w:shd w:val="clear" w:color="auto" w:fill="auto"/>
            <w:vAlign w:val="center"/>
          </w:tcPr>
          <w:p w14:paraId="39DEAD95">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现状值</w:t>
            </w:r>
          </w:p>
          <w:p w14:paraId="108CB76C">
            <w:pPr>
              <w:jc w:val="center"/>
              <w:rPr>
                <w:rFonts w:ascii="黑体" w:hAnsi="黑体" w:eastAsia="黑体" w:cs="宋体"/>
                <w:color w:val="000000"/>
                <w:kern w:val="0"/>
                <w:szCs w:val="21"/>
              </w:rPr>
            </w:pPr>
            <w:r>
              <w:rPr>
                <w:rFonts w:hint="eastAsia" w:ascii="黑体" w:hAnsi="黑体" w:eastAsia="黑体" w:cs="宋体"/>
                <w:color w:val="000000"/>
                <w:kern w:val="0"/>
                <w:szCs w:val="21"/>
              </w:rPr>
              <w:t>（2021年）</w:t>
            </w:r>
          </w:p>
        </w:tc>
        <w:tc>
          <w:tcPr>
            <w:tcW w:w="574" w:type="pct"/>
            <w:shd w:val="clear" w:color="auto" w:fill="auto"/>
            <w:vAlign w:val="center"/>
          </w:tcPr>
          <w:p w14:paraId="1732B5EF">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目标值</w:t>
            </w:r>
          </w:p>
          <w:p w14:paraId="2C639747">
            <w:pPr>
              <w:jc w:val="center"/>
              <w:rPr>
                <w:rFonts w:ascii="黑体" w:hAnsi="黑体" w:eastAsia="黑体" w:cs="宋体"/>
                <w:color w:val="000000"/>
                <w:kern w:val="0"/>
                <w:szCs w:val="21"/>
              </w:rPr>
            </w:pPr>
            <w:r>
              <w:rPr>
                <w:rFonts w:hint="eastAsia" w:ascii="黑体" w:hAnsi="黑体" w:eastAsia="黑体" w:cs="宋体"/>
                <w:color w:val="000000"/>
                <w:kern w:val="0"/>
                <w:szCs w:val="21"/>
              </w:rPr>
              <w:t>（2025年）</w:t>
            </w:r>
          </w:p>
        </w:tc>
        <w:tc>
          <w:tcPr>
            <w:tcW w:w="1003" w:type="pct"/>
            <w:shd w:val="clear" w:color="auto" w:fill="auto"/>
            <w:vAlign w:val="center"/>
          </w:tcPr>
          <w:p w14:paraId="03AF45AE">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责任部门</w:t>
            </w:r>
          </w:p>
        </w:tc>
      </w:tr>
      <w:tr w14:paraId="37F1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540FE9C2">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restart"/>
            <w:shd w:val="clear" w:color="auto" w:fill="auto"/>
            <w:vAlign w:val="center"/>
          </w:tcPr>
          <w:p w14:paraId="0187ACBE">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固体废物源头减量</w:t>
            </w:r>
          </w:p>
        </w:tc>
        <w:tc>
          <w:tcPr>
            <w:tcW w:w="451" w:type="pct"/>
            <w:vMerge w:val="restart"/>
            <w:shd w:val="clear" w:color="auto" w:fill="auto"/>
            <w:vAlign w:val="center"/>
          </w:tcPr>
          <w:p w14:paraId="4CFAB2C4">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工业源头减量</w:t>
            </w:r>
          </w:p>
        </w:tc>
        <w:tc>
          <w:tcPr>
            <w:tcW w:w="1681" w:type="pct"/>
            <w:shd w:val="clear" w:color="auto" w:fill="auto"/>
            <w:vAlign w:val="center"/>
          </w:tcPr>
          <w:p w14:paraId="48A8D675">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一般工业固体废物产生强度★</w:t>
            </w:r>
          </w:p>
        </w:tc>
        <w:tc>
          <w:tcPr>
            <w:tcW w:w="574" w:type="pct"/>
            <w:shd w:val="clear" w:color="auto" w:fill="auto"/>
            <w:vAlign w:val="center"/>
          </w:tcPr>
          <w:p w14:paraId="10380FD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0.208</w:t>
            </w:r>
            <w:r>
              <w:rPr>
                <w:rFonts w:hint="eastAsia" w:ascii="Times New Roman" w:hAnsi="Times New Roman" w:eastAsia="宋体" w:cs="Times New Roman"/>
                <w:kern w:val="0"/>
                <w:szCs w:val="21"/>
              </w:rPr>
              <w:t>吨</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万元</w:t>
            </w:r>
          </w:p>
        </w:tc>
        <w:tc>
          <w:tcPr>
            <w:tcW w:w="574" w:type="pct"/>
            <w:shd w:val="clear" w:color="auto" w:fill="auto"/>
            <w:vAlign w:val="center"/>
          </w:tcPr>
          <w:p w14:paraId="1185B742">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kern w:val="0"/>
                <w:szCs w:val="21"/>
              </w:rPr>
              <w:t>0.208</w:t>
            </w:r>
          </w:p>
          <w:p w14:paraId="16EBEA06">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吨</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万元</w:t>
            </w:r>
          </w:p>
        </w:tc>
        <w:tc>
          <w:tcPr>
            <w:tcW w:w="1003" w:type="pct"/>
            <w:shd w:val="clear" w:color="auto" w:fill="auto"/>
            <w:vAlign w:val="center"/>
          </w:tcPr>
          <w:p w14:paraId="737DB0B5">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区生态环境分局</w:t>
            </w:r>
          </w:p>
        </w:tc>
      </w:tr>
      <w:tr w14:paraId="1CB4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35010722">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037B6EBC">
            <w:pPr>
              <w:widowControl/>
              <w:jc w:val="center"/>
              <w:rPr>
                <w:rFonts w:ascii="Times New Roman" w:hAnsi="Times New Roman" w:eastAsia="宋体" w:cs="宋体"/>
                <w:color w:val="000000"/>
                <w:kern w:val="0"/>
                <w:szCs w:val="21"/>
              </w:rPr>
            </w:pPr>
          </w:p>
        </w:tc>
        <w:tc>
          <w:tcPr>
            <w:tcW w:w="451" w:type="pct"/>
            <w:vMerge w:val="continue"/>
            <w:vAlign w:val="center"/>
          </w:tcPr>
          <w:p w14:paraId="3153CB6F">
            <w:pPr>
              <w:widowControl/>
              <w:jc w:val="center"/>
              <w:rPr>
                <w:rFonts w:ascii="Times New Roman" w:hAnsi="Times New Roman" w:eastAsia="宋体" w:cs="宋体"/>
                <w:color w:val="000000"/>
                <w:kern w:val="0"/>
                <w:szCs w:val="21"/>
              </w:rPr>
            </w:pPr>
          </w:p>
        </w:tc>
        <w:tc>
          <w:tcPr>
            <w:tcW w:w="1681" w:type="pct"/>
            <w:shd w:val="clear" w:color="auto" w:fill="auto"/>
            <w:vAlign w:val="center"/>
          </w:tcPr>
          <w:p w14:paraId="76B03072">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危险废物产生强度★</w:t>
            </w:r>
          </w:p>
        </w:tc>
        <w:tc>
          <w:tcPr>
            <w:tcW w:w="574" w:type="pct"/>
            <w:shd w:val="clear" w:color="auto" w:fill="auto"/>
            <w:vAlign w:val="center"/>
          </w:tcPr>
          <w:p w14:paraId="483B1F6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0.0043</w:t>
            </w:r>
          </w:p>
          <w:p w14:paraId="603F7E6C">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吨</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万元</w:t>
            </w:r>
          </w:p>
        </w:tc>
        <w:tc>
          <w:tcPr>
            <w:tcW w:w="574" w:type="pct"/>
            <w:shd w:val="clear" w:color="auto" w:fill="auto"/>
            <w:vAlign w:val="center"/>
          </w:tcPr>
          <w:p w14:paraId="532B49E5">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w:t>
            </w:r>
            <w:r>
              <w:rPr>
                <w:rFonts w:ascii="Times New Roman" w:hAnsi="Times New Roman" w:eastAsia="宋体" w:cs="Times New Roman"/>
                <w:color w:val="000000"/>
                <w:kern w:val="0"/>
                <w:szCs w:val="21"/>
              </w:rPr>
              <w:t>0.0043</w:t>
            </w:r>
          </w:p>
          <w:p w14:paraId="39D7464C">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吨</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万元</w:t>
            </w:r>
          </w:p>
        </w:tc>
        <w:tc>
          <w:tcPr>
            <w:tcW w:w="1003" w:type="pct"/>
            <w:shd w:val="clear" w:color="auto" w:fill="auto"/>
            <w:vAlign w:val="center"/>
          </w:tcPr>
          <w:p w14:paraId="12B09E44">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区生态环境分局</w:t>
            </w:r>
          </w:p>
        </w:tc>
      </w:tr>
      <w:tr w14:paraId="47D5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4A834469">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28E44929">
            <w:pPr>
              <w:widowControl/>
              <w:jc w:val="center"/>
              <w:rPr>
                <w:rFonts w:ascii="Times New Roman" w:hAnsi="Times New Roman" w:eastAsia="宋体" w:cs="宋体"/>
                <w:color w:val="000000"/>
                <w:kern w:val="0"/>
                <w:szCs w:val="21"/>
              </w:rPr>
            </w:pPr>
          </w:p>
        </w:tc>
        <w:tc>
          <w:tcPr>
            <w:tcW w:w="451" w:type="pct"/>
            <w:vMerge w:val="continue"/>
            <w:vAlign w:val="center"/>
          </w:tcPr>
          <w:p w14:paraId="58D77BA4">
            <w:pPr>
              <w:widowControl/>
              <w:jc w:val="center"/>
              <w:rPr>
                <w:rFonts w:ascii="Times New Roman" w:hAnsi="Times New Roman" w:eastAsia="宋体" w:cs="宋体"/>
                <w:color w:val="000000"/>
                <w:kern w:val="0"/>
                <w:szCs w:val="21"/>
              </w:rPr>
            </w:pPr>
          </w:p>
        </w:tc>
        <w:tc>
          <w:tcPr>
            <w:tcW w:w="1681" w:type="pct"/>
            <w:shd w:val="clear" w:color="auto" w:fill="auto"/>
            <w:vAlign w:val="center"/>
          </w:tcPr>
          <w:p w14:paraId="5DAF22EF">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重点行业企业强制性清洁生产审核率★</w:t>
            </w:r>
          </w:p>
        </w:tc>
        <w:tc>
          <w:tcPr>
            <w:tcW w:w="574" w:type="pct"/>
            <w:shd w:val="clear" w:color="auto" w:fill="auto"/>
            <w:vAlign w:val="center"/>
          </w:tcPr>
          <w:p w14:paraId="22DC1B4B">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100%</w:t>
            </w:r>
          </w:p>
        </w:tc>
        <w:tc>
          <w:tcPr>
            <w:tcW w:w="574" w:type="pct"/>
            <w:shd w:val="clear" w:color="auto" w:fill="auto"/>
            <w:vAlign w:val="center"/>
          </w:tcPr>
          <w:p w14:paraId="07ECA356">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100%</w:t>
            </w:r>
          </w:p>
        </w:tc>
        <w:tc>
          <w:tcPr>
            <w:tcW w:w="1003" w:type="pct"/>
            <w:shd w:val="clear" w:color="auto" w:fill="auto"/>
            <w:vAlign w:val="center"/>
          </w:tcPr>
          <w:p w14:paraId="1C42C03C">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区生态环境分局</w:t>
            </w:r>
          </w:p>
        </w:tc>
      </w:tr>
      <w:tr w14:paraId="5FE1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1E45B653">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73704586">
            <w:pPr>
              <w:widowControl/>
              <w:jc w:val="center"/>
              <w:rPr>
                <w:rFonts w:ascii="Times New Roman" w:hAnsi="Times New Roman" w:eastAsia="宋体" w:cs="宋体"/>
                <w:color w:val="000000"/>
                <w:kern w:val="0"/>
                <w:szCs w:val="21"/>
              </w:rPr>
            </w:pPr>
          </w:p>
        </w:tc>
        <w:tc>
          <w:tcPr>
            <w:tcW w:w="451" w:type="pct"/>
            <w:vMerge w:val="restart"/>
            <w:shd w:val="clear" w:color="auto" w:fill="auto"/>
            <w:vAlign w:val="center"/>
          </w:tcPr>
          <w:p w14:paraId="35280870">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建筑业源头减量</w:t>
            </w:r>
          </w:p>
        </w:tc>
        <w:tc>
          <w:tcPr>
            <w:tcW w:w="1681" w:type="pct"/>
            <w:shd w:val="clear" w:color="auto" w:fill="auto"/>
            <w:vAlign w:val="center"/>
          </w:tcPr>
          <w:p w14:paraId="5BD873BF">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绿色建筑占新建建筑的比例★</w:t>
            </w:r>
          </w:p>
        </w:tc>
        <w:tc>
          <w:tcPr>
            <w:tcW w:w="574" w:type="pct"/>
            <w:shd w:val="clear" w:color="auto" w:fill="auto"/>
            <w:vAlign w:val="center"/>
          </w:tcPr>
          <w:p w14:paraId="10FB9835">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1</w:t>
            </w:r>
            <w:r>
              <w:rPr>
                <w:rFonts w:ascii="Times New Roman" w:hAnsi="Times New Roman" w:eastAsia="宋体" w:cs="宋体"/>
                <w:kern w:val="0"/>
                <w:szCs w:val="21"/>
              </w:rPr>
              <w:t>00%</w:t>
            </w:r>
          </w:p>
          <w:p w14:paraId="19DD5608">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（2</w:t>
            </w:r>
            <w:r>
              <w:rPr>
                <w:rFonts w:ascii="Times New Roman" w:hAnsi="Times New Roman" w:eastAsia="宋体" w:cs="宋体"/>
                <w:kern w:val="0"/>
                <w:szCs w:val="21"/>
              </w:rPr>
              <w:t>023</w:t>
            </w:r>
            <w:r>
              <w:rPr>
                <w:rFonts w:hint="eastAsia" w:ascii="Times New Roman" w:hAnsi="Times New Roman" w:eastAsia="宋体" w:cs="宋体"/>
                <w:kern w:val="0"/>
                <w:szCs w:val="21"/>
              </w:rPr>
              <w:t>年）</w:t>
            </w:r>
          </w:p>
        </w:tc>
        <w:tc>
          <w:tcPr>
            <w:tcW w:w="574" w:type="pct"/>
            <w:shd w:val="clear" w:color="auto" w:fill="auto"/>
            <w:vAlign w:val="center"/>
          </w:tcPr>
          <w:p w14:paraId="64472A98">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100%</w:t>
            </w:r>
          </w:p>
        </w:tc>
        <w:tc>
          <w:tcPr>
            <w:tcW w:w="1003" w:type="pct"/>
            <w:shd w:val="clear" w:color="auto" w:fill="auto"/>
            <w:vAlign w:val="center"/>
          </w:tcPr>
          <w:p w14:paraId="1939F7BE">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区住建局</w:t>
            </w:r>
          </w:p>
        </w:tc>
      </w:tr>
      <w:tr w14:paraId="4780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78051079">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7555DADB">
            <w:pPr>
              <w:widowControl/>
              <w:jc w:val="center"/>
              <w:rPr>
                <w:rFonts w:ascii="Times New Roman" w:hAnsi="Times New Roman" w:eastAsia="宋体" w:cs="宋体"/>
                <w:color w:val="000000"/>
                <w:kern w:val="0"/>
                <w:szCs w:val="21"/>
              </w:rPr>
            </w:pPr>
          </w:p>
        </w:tc>
        <w:tc>
          <w:tcPr>
            <w:tcW w:w="451" w:type="pct"/>
            <w:vMerge w:val="continue"/>
            <w:vAlign w:val="center"/>
          </w:tcPr>
          <w:p w14:paraId="79B9E8C9">
            <w:pPr>
              <w:widowControl/>
              <w:jc w:val="center"/>
              <w:rPr>
                <w:rFonts w:ascii="Times New Roman" w:hAnsi="Times New Roman" w:eastAsia="宋体" w:cs="宋体"/>
                <w:color w:val="000000"/>
                <w:kern w:val="0"/>
                <w:szCs w:val="21"/>
              </w:rPr>
            </w:pPr>
          </w:p>
        </w:tc>
        <w:tc>
          <w:tcPr>
            <w:tcW w:w="1681" w:type="pct"/>
            <w:shd w:val="clear" w:color="auto" w:fill="auto"/>
            <w:vAlign w:val="center"/>
          </w:tcPr>
          <w:p w14:paraId="6C245024">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装配式建筑占新建建筑的比例</w:t>
            </w:r>
          </w:p>
        </w:tc>
        <w:tc>
          <w:tcPr>
            <w:tcW w:w="574" w:type="pct"/>
            <w:shd w:val="clear" w:color="auto" w:fill="auto"/>
            <w:vAlign w:val="center"/>
          </w:tcPr>
          <w:p w14:paraId="3D06132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44.6%</w:t>
            </w:r>
          </w:p>
          <w:p w14:paraId="48236F49">
            <w:pPr>
              <w:widowControl/>
              <w:jc w:val="center"/>
              <w:rPr>
                <w:rFonts w:ascii="Times New Roman" w:hAnsi="Times New Roman" w:eastAsia="宋体" w:cs="Times New Roman"/>
                <w:kern w:val="0"/>
                <w:szCs w:val="21"/>
              </w:rPr>
            </w:pPr>
            <w:r>
              <w:rPr>
                <w:rFonts w:hint="eastAsia" w:ascii="Times New Roman" w:hAnsi="Times New Roman" w:eastAsia="宋体" w:cs="宋体"/>
                <w:kern w:val="0"/>
                <w:szCs w:val="21"/>
              </w:rPr>
              <w:t>（2</w:t>
            </w:r>
            <w:r>
              <w:rPr>
                <w:rFonts w:ascii="Times New Roman" w:hAnsi="Times New Roman" w:eastAsia="宋体" w:cs="宋体"/>
                <w:kern w:val="0"/>
                <w:szCs w:val="21"/>
              </w:rPr>
              <w:t>023</w:t>
            </w:r>
            <w:r>
              <w:rPr>
                <w:rFonts w:hint="eastAsia" w:ascii="Times New Roman" w:hAnsi="Times New Roman" w:eastAsia="宋体" w:cs="宋体"/>
                <w:kern w:val="0"/>
                <w:szCs w:val="21"/>
              </w:rPr>
              <w:t>年）</w:t>
            </w:r>
          </w:p>
        </w:tc>
        <w:tc>
          <w:tcPr>
            <w:tcW w:w="574" w:type="pct"/>
            <w:shd w:val="clear" w:color="auto" w:fill="auto"/>
            <w:vAlign w:val="center"/>
          </w:tcPr>
          <w:p w14:paraId="19FB9306">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保持稳定</w:t>
            </w:r>
          </w:p>
        </w:tc>
        <w:tc>
          <w:tcPr>
            <w:tcW w:w="1003" w:type="pct"/>
            <w:shd w:val="clear" w:color="auto" w:fill="auto"/>
            <w:vAlign w:val="center"/>
          </w:tcPr>
          <w:p w14:paraId="63441FAD">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区住建局</w:t>
            </w:r>
          </w:p>
        </w:tc>
      </w:tr>
      <w:tr w14:paraId="00F0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15EC5784">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26E632D4">
            <w:pPr>
              <w:widowControl/>
              <w:jc w:val="center"/>
              <w:rPr>
                <w:rFonts w:ascii="Times New Roman" w:hAnsi="Times New Roman" w:eastAsia="宋体" w:cs="宋体"/>
                <w:color w:val="000000"/>
                <w:kern w:val="0"/>
                <w:szCs w:val="21"/>
              </w:rPr>
            </w:pPr>
          </w:p>
        </w:tc>
        <w:tc>
          <w:tcPr>
            <w:tcW w:w="451" w:type="pct"/>
            <w:vMerge w:val="restart"/>
            <w:shd w:val="clear" w:color="auto" w:fill="auto"/>
            <w:vAlign w:val="center"/>
          </w:tcPr>
          <w:p w14:paraId="6838BA9E">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生活领域源头减量</w:t>
            </w:r>
          </w:p>
        </w:tc>
        <w:tc>
          <w:tcPr>
            <w:tcW w:w="1681" w:type="pct"/>
            <w:shd w:val="clear" w:color="auto" w:fill="auto"/>
            <w:vAlign w:val="center"/>
          </w:tcPr>
          <w:p w14:paraId="635C23CD">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生活垃圾清运量★</w:t>
            </w:r>
          </w:p>
        </w:tc>
        <w:tc>
          <w:tcPr>
            <w:tcW w:w="574" w:type="pct"/>
            <w:shd w:val="clear" w:color="auto" w:fill="auto"/>
            <w:vAlign w:val="center"/>
          </w:tcPr>
          <w:p w14:paraId="60D6589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345858</w:t>
            </w:r>
            <w:r>
              <w:rPr>
                <w:rFonts w:hint="eastAsia" w:ascii="Times New Roman" w:hAnsi="Times New Roman" w:eastAsia="宋体" w:cs="Times New Roman"/>
                <w:color w:val="000000"/>
                <w:kern w:val="0"/>
                <w:szCs w:val="21"/>
              </w:rPr>
              <w:t>吨</w:t>
            </w:r>
          </w:p>
        </w:tc>
        <w:tc>
          <w:tcPr>
            <w:tcW w:w="574" w:type="pct"/>
            <w:shd w:val="clear" w:color="auto" w:fill="auto"/>
            <w:vAlign w:val="center"/>
          </w:tcPr>
          <w:p w14:paraId="35008E62">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保持稳定</w:t>
            </w:r>
          </w:p>
        </w:tc>
        <w:tc>
          <w:tcPr>
            <w:tcW w:w="1003" w:type="pct"/>
            <w:shd w:val="clear" w:color="auto" w:fill="auto"/>
            <w:vAlign w:val="center"/>
          </w:tcPr>
          <w:p w14:paraId="71631386">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区城管局</w:t>
            </w:r>
          </w:p>
        </w:tc>
      </w:tr>
      <w:tr w14:paraId="361A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3771E50F">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276D3071">
            <w:pPr>
              <w:widowControl/>
              <w:jc w:val="center"/>
              <w:rPr>
                <w:rFonts w:ascii="Times New Roman" w:hAnsi="Times New Roman" w:eastAsia="宋体" w:cs="宋体"/>
                <w:color w:val="000000"/>
                <w:kern w:val="0"/>
                <w:szCs w:val="21"/>
              </w:rPr>
            </w:pPr>
          </w:p>
        </w:tc>
        <w:tc>
          <w:tcPr>
            <w:tcW w:w="451" w:type="pct"/>
            <w:vMerge w:val="continue"/>
            <w:vAlign w:val="center"/>
          </w:tcPr>
          <w:p w14:paraId="22E822A3">
            <w:pPr>
              <w:widowControl/>
              <w:jc w:val="center"/>
              <w:rPr>
                <w:rFonts w:ascii="Times New Roman" w:hAnsi="Times New Roman" w:eastAsia="宋体" w:cs="宋体"/>
                <w:color w:val="000000"/>
                <w:kern w:val="0"/>
                <w:szCs w:val="21"/>
              </w:rPr>
            </w:pPr>
          </w:p>
        </w:tc>
        <w:tc>
          <w:tcPr>
            <w:tcW w:w="1681" w:type="pct"/>
            <w:shd w:val="clear" w:color="auto" w:fill="auto"/>
            <w:vAlign w:val="center"/>
          </w:tcPr>
          <w:p w14:paraId="3E859AE9">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居民小区生活垃圾分类覆盖率</w:t>
            </w:r>
          </w:p>
        </w:tc>
        <w:tc>
          <w:tcPr>
            <w:tcW w:w="574" w:type="pct"/>
            <w:shd w:val="clear" w:color="auto" w:fill="auto"/>
            <w:vAlign w:val="center"/>
          </w:tcPr>
          <w:p w14:paraId="4315ECBB">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100%</w:t>
            </w:r>
          </w:p>
          <w:p w14:paraId="2694B25D">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r>
              <w:rPr>
                <w:rFonts w:ascii="Times New Roman" w:hAnsi="Times New Roman" w:eastAsia="宋体" w:cs="宋体"/>
                <w:color w:val="000000"/>
                <w:kern w:val="0"/>
                <w:szCs w:val="21"/>
              </w:rPr>
              <w:t>2022</w:t>
            </w:r>
            <w:r>
              <w:rPr>
                <w:rFonts w:hint="eastAsia" w:ascii="Times New Roman" w:hAnsi="Times New Roman" w:eastAsia="宋体" w:cs="宋体"/>
                <w:color w:val="000000"/>
                <w:kern w:val="0"/>
                <w:szCs w:val="21"/>
              </w:rPr>
              <w:t>年）</w:t>
            </w:r>
          </w:p>
        </w:tc>
        <w:tc>
          <w:tcPr>
            <w:tcW w:w="574" w:type="pct"/>
            <w:shd w:val="clear" w:color="auto" w:fill="auto"/>
            <w:vAlign w:val="center"/>
          </w:tcPr>
          <w:p w14:paraId="4CB4A03F">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100%</w:t>
            </w:r>
          </w:p>
        </w:tc>
        <w:tc>
          <w:tcPr>
            <w:tcW w:w="1003" w:type="pct"/>
            <w:shd w:val="clear" w:color="auto" w:fill="auto"/>
            <w:vAlign w:val="center"/>
          </w:tcPr>
          <w:p w14:paraId="487470DF">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区城管局</w:t>
            </w:r>
          </w:p>
        </w:tc>
      </w:tr>
      <w:tr w14:paraId="2F40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415B95F3">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719451DB">
            <w:pPr>
              <w:widowControl/>
              <w:jc w:val="center"/>
              <w:rPr>
                <w:rFonts w:ascii="Times New Roman" w:hAnsi="Times New Roman" w:eastAsia="宋体" w:cs="宋体"/>
                <w:color w:val="000000"/>
                <w:kern w:val="0"/>
                <w:szCs w:val="21"/>
              </w:rPr>
            </w:pPr>
          </w:p>
        </w:tc>
        <w:tc>
          <w:tcPr>
            <w:tcW w:w="451" w:type="pct"/>
            <w:vMerge w:val="continue"/>
            <w:vAlign w:val="center"/>
          </w:tcPr>
          <w:p w14:paraId="621542CE">
            <w:pPr>
              <w:widowControl/>
              <w:jc w:val="center"/>
              <w:rPr>
                <w:rFonts w:ascii="Times New Roman" w:hAnsi="Times New Roman" w:eastAsia="宋体" w:cs="宋体"/>
                <w:color w:val="000000"/>
                <w:kern w:val="0"/>
                <w:szCs w:val="21"/>
              </w:rPr>
            </w:pPr>
          </w:p>
        </w:tc>
        <w:tc>
          <w:tcPr>
            <w:tcW w:w="1681" w:type="pct"/>
            <w:shd w:val="clear" w:color="auto" w:fill="auto"/>
            <w:vAlign w:val="center"/>
          </w:tcPr>
          <w:p w14:paraId="64B0C99A">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快递绿色包装使用率</w:t>
            </w:r>
          </w:p>
        </w:tc>
        <w:tc>
          <w:tcPr>
            <w:tcW w:w="574" w:type="pct"/>
            <w:shd w:val="clear" w:color="auto" w:fill="auto"/>
            <w:vAlign w:val="center"/>
          </w:tcPr>
          <w:p w14:paraId="6D3300F1">
            <w:pPr>
              <w:widowControl/>
              <w:jc w:val="center"/>
              <w:rPr>
                <w:rFonts w:ascii="Times New Roman" w:hAnsi="Times New Roman" w:eastAsia="宋体" w:cs="Times New Roman"/>
                <w:color w:val="000000"/>
                <w:kern w:val="0"/>
                <w:szCs w:val="21"/>
              </w:rPr>
            </w:pPr>
            <w:r>
              <w:rPr>
                <w:rFonts w:hint="eastAsia" w:ascii="Times New Roman" w:hAnsi="Times New Roman" w:eastAsia="宋体" w:cs="宋体"/>
                <w:color w:val="000000"/>
                <w:kern w:val="0"/>
                <w:szCs w:val="21"/>
              </w:rPr>
              <w:t>-</w:t>
            </w:r>
          </w:p>
        </w:tc>
        <w:tc>
          <w:tcPr>
            <w:tcW w:w="574" w:type="pct"/>
            <w:shd w:val="clear" w:color="auto" w:fill="auto"/>
            <w:vAlign w:val="center"/>
          </w:tcPr>
          <w:p w14:paraId="2B06BF1A">
            <w:pPr>
              <w:widowControl/>
              <w:jc w:val="center"/>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rPr>
              <w:t>≥9</w:t>
            </w:r>
            <w:r>
              <w:rPr>
                <w:rFonts w:ascii="Times New Roman" w:hAnsi="Times New Roman" w:eastAsia="宋体" w:cs="Times New Roman"/>
                <w:color w:val="000000"/>
                <w:kern w:val="0"/>
                <w:szCs w:val="21"/>
              </w:rPr>
              <w:t>5%</w:t>
            </w:r>
          </w:p>
        </w:tc>
        <w:tc>
          <w:tcPr>
            <w:tcW w:w="1003" w:type="pct"/>
            <w:shd w:val="clear" w:color="auto" w:fill="auto"/>
            <w:vAlign w:val="center"/>
          </w:tcPr>
          <w:p w14:paraId="3CDE17B8">
            <w:pPr>
              <w:widowControl/>
              <w:jc w:val="center"/>
              <w:rPr>
                <w:rFonts w:ascii="Times New Roman" w:hAnsi="Times New Roman" w:eastAsia="宋体" w:cs="宋体"/>
                <w:color w:val="000000"/>
                <w:kern w:val="0"/>
                <w:szCs w:val="21"/>
              </w:rPr>
            </w:pPr>
            <w:r>
              <w:rPr>
                <w:rFonts w:hint="eastAsia" w:ascii="Times New Roman" w:hAnsi="Times New Roman" w:eastAsia="宋体" w:cs="宋体"/>
                <w:kern w:val="0"/>
                <w:szCs w:val="21"/>
              </w:rPr>
              <w:t>区住建局</w:t>
            </w:r>
          </w:p>
        </w:tc>
      </w:tr>
      <w:tr w14:paraId="3227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643C0A9B">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restart"/>
            <w:shd w:val="clear" w:color="auto" w:fill="auto"/>
            <w:vAlign w:val="center"/>
          </w:tcPr>
          <w:p w14:paraId="6E6FC26F">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固体废物资源化利用</w:t>
            </w:r>
          </w:p>
        </w:tc>
        <w:tc>
          <w:tcPr>
            <w:tcW w:w="451" w:type="pct"/>
            <w:vMerge w:val="restart"/>
            <w:shd w:val="clear" w:color="auto" w:fill="auto"/>
            <w:vAlign w:val="center"/>
          </w:tcPr>
          <w:p w14:paraId="50830C44">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工业固体废物资源化利用</w:t>
            </w:r>
          </w:p>
        </w:tc>
        <w:tc>
          <w:tcPr>
            <w:tcW w:w="1681" w:type="pct"/>
            <w:shd w:val="clear" w:color="auto" w:fill="auto"/>
            <w:vAlign w:val="center"/>
          </w:tcPr>
          <w:p w14:paraId="4E7A74EE">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一般工业固体废物综合利用率★</w:t>
            </w:r>
          </w:p>
        </w:tc>
        <w:tc>
          <w:tcPr>
            <w:tcW w:w="574" w:type="pct"/>
            <w:shd w:val="clear" w:color="auto" w:fill="auto"/>
            <w:vAlign w:val="center"/>
          </w:tcPr>
          <w:p w14:paraId="4AE49B56">
            <w:pPr>
              <w:widowControl/>
              <w:jc w:val="center"/>
              <w:rPr>
                <w:rFonts w:ascii="Times New Roman" w:hAnsi="Times New Roman" w:eastAsia="宋体" w:cs="Times New Roman"/>
                <w:color w:val="000000"/>
                <w:kern w:val="0"/>
                <w:szCs w:val="21"/>
              </w:rPr>
            </w:pPr>
            <w:r>
              <w:rPr>
                <w:rFonts w:ascii="Times New Roman" w:hAnsi="Times New Roman" w:eastAsia="宋体" w:cs="Times New Roman"/>
                <w:kern w:val="0"/>
                <w:szCs w:val="21"/>
              </w:rPr>
              <w:t>75.45%</w:t>
            </w:r>
          </w:p>
        </w:tc>
        <w:tc>
          <w:tcPr>
            <w:tcW w:w="574" w:type="pct"/>
            <w:shd w:val="clear" w:color="auto" w:fill="auto"/>
            <w:vAlign w:val="center"/>
          </w:tcPr>
          <w:p w14:paraId="007AFB40">
            <w:pPr>
              <w:widowControl/>
              <w:jc w:val="center"/>
              <w:rPr>
                <w:rFonts w:ascii="Times New Roman" w:hAnsi="Times New Roman" w:eastAsia="宋体" w:cs="宋体"/>
                <w:color w:val="000000"/>
                <w:kern w:val="0"/>
                <w:szCs w:val="21"/>
              </w:rPr>
            </w:pPr>
            <w:r>
              <w:rPr>
                <w:rFonts w:ascii="Times New Roman" w:hAnsi="Times New Roman" w:eastAsia="宋体" w:cs="宋体"/>
                <w:kern w:val="0"/>
                <w:szCs w:val="21"/>
              </w:rPr>
              <w:t>85%</w:t>
            </w:r>
          </w:p>
        </w:tc>
        <w:tc>
          <w:tcPr>
            <w:tcW w:w="1003" w:type="pct"/>
            <w:shd w:val="clear" w:color="auto" w:fill="auto"/>
            <w:vAlign w:val="center"/>
          </w:tcPr>
          <w:p w14:paraId="09057A07">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区生态环境分局</w:t>
            </w:r>
          </w:p>
        </w:tc>
      </w:tr>
      <w:tr w14:paraId="68D3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22DF24FB">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659A6931">
            <w:pPr>
              <w:widowControl/>
              <w:jc w:val="center"/>
              <w:rPr>
                <w:rFonts w:ascii="Times New Roman" w:hAnsi="Times New Roman" w:eastAsia="宋体" w:cs="宋体"/>
                <w:color w:val="000000"/>
                <w:kern w:val="0"/>
                <w:szCs w:val="21"/>
              </w:rPr>
            </w:pPr>
          </w:p>
        </w:tc>
        <w:tc>
          <w:tcPr>
            <w:tcW w:w="451" w:type="pct"/>
            <w:vMerge w:val="continue"/>
            <w:vAlign w:val="center"/>
          </w:tcPr>
          <w:p w14:paraId="6FC2613D">
            <w:pPr>
              <w:widowControl/>
              <w:jc w:val="center"/>
              <w:rPr>
                <w:rFonts w:ascii="Times New Roman" w:hAnsi="Times New Roman" w:eastAsia="宋体" w:cs="宋体"/>
                <w:color w:val="000000"/>
                <w:kern w:val="0"/>
                <w:szCs w:val="21"/>
              </w:rPr>
            </w:pPr>
          </w:p>
        </w:tc>
        <w:tc>
          <w:tcPr>
            <w:tcW w:w="1681" w:type="pct"/>
            <w:shd w:val="clear" w:color="auto" w:fill="auto"/>
            <w:vAlign w:val="center"/>
          </w:tcPr>
          <w:p w14:paraId="0F1960FE">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危险废物综合利用率★</w:t>
            </w:r>
          </w:p>
        </w:tc>
        <w:tc>
          <w:tcPr>
            <w:tcW w:w="574" w:type="pct"/>
            <w:shd w:val="clear" w:color="auto" w:fill="auto"/>
            <w:vAlign w:val="center"/>
          </w:tcPr>
          <w:p w14:paraId="5BAA9F41">
            <w:pPr>
              <w:widowControl/>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5.97%</w:t>
            </w:r>
          </w:p>
        </w:tc>
        <w:tc>
          <w:tcPr>
            <w:tcW w:w="574" w:type="pct"/>
            <w:shd w:val="clear" w:color="auto" w:fill="auto"/>
            <w:vAlign w:val="center"/>
          </w:tcPr>
          <w:p w14:paraId="5D730D2F">
            <w:pPr>
              <w:widowControl/>
              <w:jc w:val="center"/>
              <w:rPr>
                <w:rFonts w:ascii="Times New Roman" w:hAnsi="Times New Roman" w:eastAsia="宋体" w:cs="宋体"/>
                <w:color w:val="000000"/>
                <w:kern w:val="0"/>
                <w:szCs w:val="21"/>
              </w:rPr>
            </w:pPr>
            <w:r>
              <w:rPr>
                <w:rFonts w:hint="eastAsia" w:ascii="Times New Roman" w:hAnsi="Times New Roman" w:eastAsia="宋体" w:cs="宋体"/>
                <w:kern w:val="0"/>
                <w:szCs w:val="21"/>
              </w:rPr>
              <w:t>8</w:t>
            </w:r>
            <w:r>
              <w:rPr>
                <w:rFonts w:ascii="Times New Roman" w:hAnsi="Times New Roman" w:eastAsia="宋体" w:cs="宋体"/>
                <w:kern w:val="0"/>
                <w:szCs w:val="21"/>
              </w:rPr>
              <w:t>%</w:t>
            </w:r>
          </w:p>
        </w:tc>
        <w:tc>
          <w:tcPr>
            <w:tcW w:w="1003" w:type="pct"/>
            <w:shd w:val="clear" w:color="auto" w:fill="auto"/>
            <w:vAlign w:val="center"/>
          </w:tcPr>
          <w:p w14:paraId="21CDA230">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区生态环境分局</w:t>
            </w:r>
          </w:p>
        </w:tc>
      </w:tr>
      <w:tr w14:paraId="18836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1F1EDF5F">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7E6BFCBA">
            <w:pPr>
              <w:widowControl/>
              <w:jc w:val="center"/>
              <w:rPr>
                <w:rFonts w:ascii="Times New Roman" w:hAnsi="Times New Roman" w:eastAsia="宋体" w:cs="宋体"/>
                <w:color w:val="000000"/>
                <w:kern w:val="0"/>
                <w:szCs w:val="21"/>
              </w:rPr>
            </w:pPr>
          </w:p>
        </w:tc>
        <w:tc>
          <w:tcPr>
            <w:tcW w:w="451" w:type="pct"/>
            <w:vMerge w:val="restart"/>
            <w:shd w:val="clear" w:color="auto" w:fill="auto"/>
            <w:vAlign w:val="center"/>
          </w:tcPr>
          <w:p w14:paraId="0FCB54C6">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农业固体废物资源化利用</w:t>
            </w:r>
          </w:p>
        </w:tc>
        <w:tc>
          <w:tcPr>
            <w:tcW w:w="1681" w:type="pct"/>
            <w:shd w:val="clear" w:color="auto" w:fill="auto"/>
            <w:vAlign w:val="center"/>
          </w:tcPr>
          <w:p w14:paraId="067FE44F">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秸秆综合利用率★</w:t>
            </w:r>
          </w:p>
        </w:tc>
        <w:tc>
          <w:tcPr>
            <w:tcW w:w="574" w:type="pct"/>
            <w:shd w:val="clear" w:color="auto" w:fill="auto"/>
            <w:vAlign w:val="center"/>
          </w:tcPr>
          <w:p w14:paraId="1C2E191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p w14:paraId="73665CE6">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023</w:t>
            </w:r>
            <w:r>
              <w:rPr>
                <w:rFonts w:hint="eastAsia" w:ascii="Times New Roman" w:hAnsi="Times New Roman" w:eastAsia="宋体" w:cs="Times New Roman"/>
                <w:kern w:val="0"/>
                <w:szCs w:val="21"/>
              </w:rPr>
              <w:t>年）</w:t>
            </w:r>
          </w:p>
        </w:tc>
        <w:tc>
          <w:tcPr>
            <w:tcW w:w="574" w:type="pct"/>
            <w:shd w:val="clear" w:color="auto" w:fill="auto"/>
            <w:vAlign w:val="center"/>
          </w:tcPr>
          <w:p w14:paraId="56A1AF23">
            <w:pPr>
              <w:widowControl/>
              <w:jc w:val="center"/>
              <w:rPr>
                <w:rFonts w:ascii="Times New Roman" w:hAnsi="Times New Roman" w:eastAsia="宋体" w:cs="宋体"/>
                <w:color w:val="000000"/>
                <w:kern w:val="0"/>
                <w:szCs w:val="21"/>
              </w:rPr>
            </w:pPr>
            <w:r>
              <w:rPr>
                <w:rFonts w:ascii="Times New Roman" w:hAnsi="Times New Roman" w:eastAsia="宋体" w:cs="Times New Roman"/>
                <w:kern w:val="0"/>
                <w:szCs w:val="21"/>
              </w:rPr>
              <w:t>100%</w:t>
            </w:r>
          </w:p>
        </w:tc>
        <w:tc>
          <w:tcPr>
            <w:tcW w:w="1003" w:type="pct"/>
            <w:shd w:val="clear" w:color="auto" w:fill="auto"/>
            <w:vAlign w:val="center"/>
          </w:tcPr>
          <w:p w14:paraId="13C8C6E8">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区农水局</w:t>
            </w:r>
          </w:p>
        </w:tc>
      </w:tr>
      <w:tr w14:paraId="7688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6456BA9E">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6E421DF5">
            <w:pPr>
              <w:widowControl/>
              <w:jc w:val="center"/>
              <w:rPr>
                <w:rFonts w:ascii="Times New Roman" w:hAnsi="Times New Roman" w:eastAsia="宋体" w:cs="宋体"/>
                <w:color w:val="000000"/>
                <w:kern w:val="0"/>
                <w:szCs w:val="21"/>
              </w:rPr>
            </w:pPr>
          </w:p>
        </w:tc>
        <w:tc>
          <w:tcPr>
            <w:tcW w:w="451" w:type="pct"/>
            <w:vMerge w:val="continue"/>
            <w:vAlign w:val="center"/>
          </w:tcPr>
          <w:p w14:paraId="798422AE">
            <w:pPr>
              <w:widowControl/>
              <w:jc w:val="center"/>
              <w:rPr>
                <w:rFonts w:ascii="Times New Roman" w:hAnsi="Times New Roman" w:eastAsia="宋体" w:cs="宋体"/>
                <w:color w:val="000000"/>
                <w:kern w:val="0"/>
                <w:szCs w:val="21"/>
              </w:rPr>
            </w:pPr>
          </w:p>
        </w:tc>
        <w:tc>
          <w:tcPr>
            <w:tcW w:w="1681" w:type="pct"/>
            <w:shd w:val="clear" w:color="auto" w:fill="auto"/>
            <w:vAlign w:val="center"/>
          </w:tcPr>
          <w:p w14:paraId="5D3375F4">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农膜回收率★</w:t>
            </w:r>
          </w:p>
        </w:tc>
        <w:tc>
          <w:tcPr>
            <w:tcW w:w="574" w:type="pct"/>
            <w:shd w:val="clear" w:color="auto" w:fill="auto"/>
            <w:vAlign w:val="center"/>
          </w:tcPr>
          <w:p w14:paraId="1DD0EDD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p w14:paraId="1A40FE84">
            <w:pPr>
              <w:widowControl/>
              <w:jc w:val="center"/>
              <w:rPr>
                <w:rFonts w:ascii="Times New Roman" w:hAnsi="Times New Roman" w:eastAsia="宋体" w:cs="宋体"/>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023</w:t>
            </w:r>
            <w:r>
              <w:rPr>
                <w:rFonts w:hint="eastAsia" w:ascii="Times New Roman" w:hAnsi="Times New Roman" w:eastAsia="宋体" w:cs="Times New Roman"/>
                <w:kern w:val="0"/>
                <w:szCs w:val="21"/>
              </w:rPr>
              <w:t>年）</w:t>
            </w:r>
          </w:p>
        </w:tc>
        <w:tc>
          <w:tcPr>
            <w:tcW w:w="574" w:type="pct"/>
            <w:shd w:val="clear" w:color="auto" w:fill="auto"/>
            <w:vAlign w:val="center"/>
          </w:tcPr>
          <w:p w14:paraId="62494FAD">
            <w:pPr>
              <w:widowControl/>
              <w:jc w:val="center"/>
              <w:rPr>
                <w:rFonts w:ascii="Times New Roman" w:hAnsi="Times New Roman" w:eastAsia="宋体" w:cs="宋体"/>
                <w:color w:val="000000"/>
                <w:kern w:val="0"/>
                <w:szCs w:val="21"/>
              </w:rPr>
            </w:pPr>
            <w:r>
              <w:rPr>
                <w:rFonts w:ascii="Times New Roman" w:hAnsi="Times New Roman" w:eastAsia="宋体" w:cs="Times New Roman"/>
                <w:kern w:val="0"/>
                <w:szCs w:val="21"/>
              </w:rPr>
              <w:t>100%</w:t>
            </w:r>
          </w:p>
        </w:tc>
        <w:tc>
          <w:tcPr>
            <w:tcW w:w="1003" w:type="pct"/>
            <w:shd w:val="clear" w:color="auto" w:fill="auto"/>
            <w:vAlign w:val="center"/>
          </w:tcPr>
          <w:p w14:paraId="31828082">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区农水局</w:t>
            </w:r>
          </w:p>
        </w:tc>
      </w:tr>
      <w:tr w14:paraId="0940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65796485">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7D122E0F">
            <w:pPr>
              <w:widowControl/>
              <w:jc w:val="center"/>
              <w:rPr>
                <w:rFonts w:ascii="Times New Roman" w:hAnsi="Times New Roman" w:eastAsia="宋体" w:cs="宋体"/>
                <w:color w:val="000000"/>
                <w:kern w:val="0"/>
                <w:szCs w:val="21"/>
              </w:rPr>
            </w:pPr>
          </w:p>
        </w:tc>
        <w:tc>
          <w:tcPr>
            <w:tcW w:w="451" w:type="pct"/>
            <w:vMerge w:val="continue"/>
            <w:vAlign w:val="center"/>
          </w:tcPr>
          <w:p w14:paraId="3D7DFD4B">
            <w:pPr>
              <w:widowControl/>
              <w:jc w:val="center"/>
              <w:rPr>
                <w:rFonts w:ascii="Times New Roman" w:hAnsi="Times New Roman" w:eastAsia="宋体" w:cs="宋体"/>
                <w:color w:val="000000"/>
                <w:kern w:val="0"/>
                <w:szCs w:val="21"/>
              </w:rPr>
            </w:pPr>
          </w:p>
        </w:tc>
        <w:tc>
          <w:tcPr>
            <w:tcW w:w="1681" w:type="pct"/>
            <w:shd w:val="clear" w:color="auto" w:fill="auto"/>
            <w:vAlign w:val="center"/>
          </w:tcPr>
          <w:p w14:paraId="256B0C3A">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农药包装废弃物回收率</w:t>
            </w:r>
          </w:p>
        </w:tc>
        <w:tc>
          <w:tcPr>
            <w:tcW w:w="574" w:type="pct"/>
            <w:shd w:val="clear" w:color="auto" w:fill="auto"/>
            <w:vAlign w:val="center"/>
          </w:tcPr>
          <w:p w14:paraId="1D606CA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p w14:paraId="16C0C8B7">
            <w:pPr>
              <w:widowControl/>
              <w:jc w:val="center"/>
              <w:rPr>
                <w:rFonts w:ascii="Times New Roman" w:hAnsi="Times New Roman" w:eastAsia="宋体" w:cs="宋体"/>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023</w:t>
            </w:r>
            <w:r>
              <w:rPr>
                <w:rFonts w:hint="eastAsia" w:ascii="Times New Roman" w:hAnsi="Times New Roman" w:eastAsia="宋体" w:cs="Times New Roman"/>
                <w:kern w:val="0"/>
                <w:szCs w:val="21"/>
              </w:rPr>
              <w:t>年）</w:t>
            </w:r>
          </w:p>
        </w:tc>
        <w:tc>
          <w:tcPr>
            <w:tcW w:w="574" w:type="pct"/>
            <w:shd w:val="clear" w:color="auto" w:fill="auto"/>
            <w:vAlign w:val="center"/>
          </w:tcPr>
          <w:p w14:paraId="7CE0DE6E">
            <w:pPr>
              <w:widowControl/>
              <w:jc w:val="center"/>
              <w:rPr>
                <w:rFonts w:ascii="Times New Roman" w:hAnsi="Times New Roman" w:eastAsia="宋体" w:cs="宋体"/>
                <w:color w:val="000000"/>
                <w:kern w:val="0"/>
                <w:szCs w:val="21"/>
              </w:rPr>
            </w:pPr>
            <w:r>
              <w:rPr>
                <w:rFonts w:ascii="Times New Roman" w:hAnsi="Times New Roman" w:eastAsia="宋体" w:cs="Times New Roman"/>
                <w:kern w:val="0"/>
                <w:szCs w:val="21"/>
              </w:rPr>
              <w:t>100%</w:t>
            </w:r>
          </w:p>
        </w:tc>
        <w:tc>
          <w:tcPr>
            <w:tcW w:w="1003" w:type="pct"/>
            <w:shd w:val="clear" w:color="auto" w:fill="auto"/>
            <w:vAlign w:val="center"/>
          </w:tcPr>
          <w:p w14:paraId="59C22CE0">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区农水局</w:t>
            </w:r>
          </w:p>
        </w:tc>
      </w:tr>
      <w:tr w14:paraId="4E85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7674AC1C">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74FB9E7D">
            <w:pPr>
              <w:widowControl/>
              <w:jc w:val="center"/>
              <w:rPr>
                <w:rFonts w:ascii="Times New Roman" w:hAnsi="Times New Roman" w:eastAsia="宋体" w:cs="宋体"/>
                <w:color w:val="000000"/>
                <w:kern w:val="0"/>
                <w:szCs w:val="21"/>
              </w:rPr>
            </w:pPr>
          </w:p>
        </w:tc>
        <w:tc>
          <w:tcPr>
            <w:tcW w:w="451" w:type="pct"/>
            <w:shd w:val="clear" w:color="auto" w:fill="auto"/>
            <w:vAlign w:val="center"/>
          </w:tcPr>
          <w:p w14:paraId="73FC0609">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建筑垃圾资源化利用</w:t>
            </w:r>
          </w:p>
        </w:tc>
        <w:tc>
          <w:tcPr>
            <w:tcW w:w="1681" w:type="pct"/>
            <w:shd w:val="clear" w:color="auto" w:fill="auto"/>
            <w:vAlign w:val="center"/>
          </w:tcPr>
          <w:p w14:paraId="26808560">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建筑垃圾资源化利用率★</w:t>
            </w:r>
          </w:p>
        </w:tc>
        <w:tc>
          <w:tcPr>
            <w:tcW w:w="574" w:type="pct"/>
            <w:shd w:val="clear" w:color="auto" w:fill="auto"/>
            <w:vAlign w:val="center"/>
          </w:tcPr>
          <w:p w14:paraId="2B898254">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574" w:type="pct"/>
            <w:shd w:val="clear" w:color="auto" w:fill="auto"/>
            <w:vAlign w:val="center"/>
          </w:tcPr>
          <w:p w14:paraId="672F0D2D">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w:t>
            </w:r>
            <w:r>
              <w:rPr>
                <w:rFonts w:ascii="Times New Roman" w:hAnsi="Times New Roman" w:eastAsia="宋体" w:cs="Times New Roman"/>
                <w:color w:val="000000"/>
                <w:kern w:val="0"/>
                <w:szCs w:val="21"/>
              </w:rPr>
              <w:t>0%</w:t>
            </w:r>
          </w:p>
        </w:tc>
        <w:tc>
          <w:tcPr>
            <w:tcW w:w="1003" w:type="pct"/>
            <w:shd w:val="clear" w:color="auto" w:fill="auto"/>
            <w:vAlign w:val="center"/>
          </w:tcPr>
          <w:p w14:paraId="1319595B">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区城管局、区住建局</w:t>
            </w:r>
          </w:p>
        </w:tc>
      </w:tr>
      <w:tr w14:paraId="6A8A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7C70D1A4">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0F2777A4">
            <w:pPr>
              <w:widowControl/>
              <w:jc w:val="center"/>
              <w:rPr>
                <w:rFonts w:ascii="Times New Roman" w:hAnsi="Times New Roman" w:eastAsia="宋体" w:cs="宋体"/>
                <w:color w:val="000000"/>
                <w:kern w:val="0"/>
                <w:szCs w:val="21"/>
              </w:rPr>
            </w:pPr>
          </w:p>
        </w:tc>
        <w:tc>
          <w:tcPr>
            <w:tcW w:w="451" w:type="pct"/>
            <w:vMerge w:val="restart"/>
            <w:shd w:val="clear" w:color="auto" w:fill="auto"/>
            <w:vAlign w:val="center"/>
          </w:tcPr>
          <w:p w14:paraId="78259A2D">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生活领域固体废物资源化利用</w:t>
            </w:r>
          </w:p>
        </w:tc>
        <w:tc>
          <w:tcPr>
            <w:tcW w:w="1681" w:type="pct"/>
            <w:shd w:val="clear" w:color="auto" w:fill="auto"/>
            <w:vAlign w:val="center"/>
          </w:tcPr>
          <w:p w14:paraId="5598BB1D">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生活垃圾回收利用率★</w:t>
            </w:r>
          </w:p>
        </w:tc>
        <w:tc>
          <w:tcPr>
            <w:tcW w:w="574" w:type="pct"/>
            <w:shd w:val="clear" w:color="auto" w:fill="auto"/>
            <w:vAlign w:val="center"/>
          </w:tcPr>
          <w:p w14:paraId="5F4F30A8">
            <w:pPr>
              <w:widowControl/>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28%</w:t>
            </w:r>
          </w:p>
        </w:tc>
        <w:tc>
          <w:tcPr>
            <w:tcW w:w="574" w:type="pct"/>
            <w:shd w:val="clear" w:color="auto" w:fill="auto"/>
            <w:vAlign w:val="center"/>
          </w:tcPr>
          <w:p w14:paraId="3D5602F2">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5%</w:t>
            </w:r>
          </w:p>
        </w:tc>
        <w:tc>
          <w:tcPr>
            <w:tcW w:w="1003" w:type="pct"/>
            <w:shd w:val="clear" w:color="auto" w:fill="auto"/>
            <w:vAlign w:val="center"/>
          </w:tcPr>
          <w:p w14:paraId="27BBCBEB">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区城管局</w:t>
            </w:r>
          </w:p>
        </w:tc>
      </w:tr>
      <w:tr w14:paraId="4D1E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0A9A951F">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675775FD">
            <w:pPr>
              <w:widowControl/>
              <w:jc w:val="center"/>
              <w:rPr>
                <w:rFonts w:ascii="Times New Roman" w:hAnsi="Times New Roman" w:eastAsia="宋体" w:cs="宋体"/>
                <w:color w:val="000000"/>
                <w:kern w:val="0"/>
                <w:szCs w:val="21"/>
              </w:rPr>
            </w:pPr>
          </w:p>
        </w:tc>
        <w:tc>
          <w:tcPr>
            <w:tcW w:w="451" w:type="pct"/>
            <w:vMerge w:val="continue"/>
            <w:vAlign w:val="center"/>
          </w:tcPr>
          <w:p w14:paraId="21565FCD">
            <w:pPr>
              <w:widowControl/>
              <w:jc w:val="center"/>
              <w:rPr>
                <w:rFonts w:ascii="Times New Roman" w:hAnsi="Times New Roman" w:eastAsia="宋体" w:cs="宋体"/>
                <w:color w:val="000000"/>
                <w:kern w:val="0"/>
                <w:szCs w:val="21"/>
              </w:rPr>
            </w:pPr>
          </w:p>
        </w:tc>
        <w:tc>
          <w:tcPr>
            <w:tcW w:w="1681" w:type="pct"/>
            <w:shd w:val="clear" w:color="auto" w:fill="auto"/>
            <w:vAlign w:val="center"/>
          </w:tcPr>
          <w:p w14:paraId="09A5FCBD">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医疗卫生机构可回收物回收率★</w:t>
            </w:r>
          </w:p>
        </w:tc>
        <w:tc>
          <w:tcPr>
            <w:tcW w:w="574" w:type="pct"/>
            <w:shd w:val="clear" w:color="auto" w:fill="auto"/>
            <w:vAlign w:val="center"/>
          </w:tcPr>
          <w:p w14:paraId="3FDD9A27">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100%</w:t>
            </w:r>
          </w:p>
        </w:tc>
        <w:tc>
          <w:tcPr>
            <w:tcW w:w="574" w:type="pct"/>
            <w:shd w:val="clear" w:color="auto" w:fill="auto"/>
            <w:vAlign w:val="center"/>
          </w:tcPr>
          <w:p w14:paraId="5E3B63A7">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100%</w:t>
            </w:r>
          </w:p>
        </w:tc>
        <w:tc>
          <w:tcPr>
            <w:tcW w:w="1003" w:type="pct"/>
            <w:shd w:val="clear" w:color="auto" w:fill="auto"/>
            <w:vAlign w:val="center"/>
          </w:tcPr>
          <w:p w14:paraId="276AF3FB">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区卫健委、区商务局</w:t>
            </w:r>
          </w:p>
        </w:tc>
      </w:tr>
      <w:tr w14:paraId="53D8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629C79FB">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restart"/>
            <w:shd w:val="clear" w:color="auto" w:fill="auto"/>
            <w:vAlign w:val="center"/>
          </w:tcPr>
          <w:p w14:paraId="280088CC">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固体废物最终处置</w:t>
            </w:r>
          </w:p>
        </w:tc>
        <w:tc>
          <w:tcPr>
            <w:tcW w:w="451" w:type="pct"/>
            <w:vMerge w:val="restart"/>
            <w:shd w:val="clear" w:color="auto" w:fill="auto"/>
            <w:vAlign w:val="center"/>
          </w:tcPr>
          <w:p w14:paraId="378CC231">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危险废物安全处置</w:t>
            </w:r>
          </w:p>
        </w:tc>
        <w:tc>
          <w:tcPr>
            <w:tcW w:w="1681" w:type="pct"/>
            <w:shd w:val="clear" w:color="auto" w:fill="auto"/>
            <w:vAlign w:val="center"/>
          </w:tcPr>
          <w:p w14:paraId="2E02A19A">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危险废物利用处置率☆</w:t>
            </w:r>
          </w:p>
        </w:tc>
        <w:tc>
          <w:tcPr>
            <w:tcW w:w="574" w:type="pct"/>
            <w:shd w:val="clear" w:color="auto" w:fill="auto"/>
            <w:vAlign w:val="center"/>
          </w:tcPr>
          <w:p w14:paraId="35FE5595">
            <w:pPr>
              <w:widowControl/>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100</w:t>
            </w:r>
            <w:r>
              <w:rPr>
                <w:rFonts w:hint="eastAsia" w:ascii="Times New Roman" w:hAnsi="Times New Roman" w:eastAsia="宋体" w:cs="宋体"/>
                <w:color w:val="000000"/>
                <w:kern w:val="0"/>
                <w:szCs w:val="21"/>
              </w:rPr>
              <w:t>%</w:t>
            </w:r>
          </w:p>
        </w:tc>
        <w:tc>
          <w:tcPr>
            <w:tcW w:w="574" w:type="pct"/>
            <w:shd w:val="clear" w:color="auto" w:fill="auto"/>
            <w:vAlign w:val="center"/>
          </w:tcPr>
          <w:p w14:paraId="408CBAA2">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100%</w:t>
            </w:r>
          </w:p>
        </w:tc>
        <w:tc>
          <w:tcPr>
            <w:tcW w:w="1003" w:type="pct"/>
            <w:shd w:val="clear" w:color="auto" w:fill="auto"/>
            <w:vAlign w:val="center"/>
          </w:tcPr>
          <w:p w14:paraId="71E0B04A">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区生态环境分局</w:t>
            </w:r>
          </w:p>
        </w:tc>
      </w:tr>
      <w:tr w14:paraId="0AB4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082428BC">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shd w:val="clear" w:color="auto" w:fill="auto"/>
            <w:vAlign w:val="center"/>
          </w:tcPr>
          <w:p w14:paraId="6E3B6C6A">
            <w:pPr>
              <w:widowControl/>
              <w:jc w:val="center"/>
              <w:rPr>
                <w:rFonts w:ascii="Times New Roman" w:hAnsi="Times New Roman" w:eastAsia="宋体" w:cs="宋体"/>
                <w:color w:val="000000"/>
                <w:kern w:val="0"/>
                <w:szCs w:val="21"/>
              </w:rPr>
            </w:pPr>
          </w:p>
        </w:tc>
        <w:tc>
          <w:tcPr>
            <w:tcW w:w="451" w:type="pct"/>
            <w:vMerge w:val="continue"/>
            <w:shd w:val="clear" w:color="auto" w:fill="auto"/>
            <w:vAlign w:val="center"/>
          </w:tcPr>
          <w:p w14:paraId="78BB2095">
            <w:pPr>
              <w:widowControl/>
              <w:jc w:val="center"/>
              <w:rPr>
                <w:rFonts w:ascii="Times New Roman" w:hAnsi="Times New Roman" w:eastAsia="宋体" w:cs="宋体"/>
                <w:color w:val="000000"/>
                <w:kern w:val="0"/>
                <w:szCs w:val="21"/>
              </w:rPr>
            </w:pPr>
          </w:p>
        </w:tc>
        <w:tc>
          <w:tcPr>
            <w:tcW w:w="1681" w:type="pct"/>
            <w:shd w:val="clear" w:color="auto" w:fill="auto"/>
            <w:vAlign w:val="center"/>
          </w:tcPr>
          <w:p w14:paraId="3DDDDA8E">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医疗废物收集处置体系覆盖率★</w:t>
            </w:r>
          </w:p>
        </w:tc>
        <w:tc>
          <w:tcPr>
            <w:tcW w:w="574" w:type="pct"/>
            <w:shd w:val="clear" w:color="auto" w:fill="auto"/>
            <w:vAlign w:val="center"/>
          </w:tcPr>
          <w:p w14:paraId="03165F1E">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100%</w:t>
            </w:r>
          </w:p>
        </w:tc>
        <w:tc>
          <w:tcPr>
            <w:tcW w:w="574" w:type="pct"/>
            <w:shd w:val="clear" w:color="auto" w:fill="auto"/>
            <w:vAlign w:val="center"/>
          </w:tcPr>
          <w:p w14:paraId="502F0D67">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100%</w:t>
            </w:r>
          </w:p>
        </w:tc>
        <w:tc>
          <w:tcPr>
            <w:tcW w:w="1003" w:type="pct"/>
            <w:shd w:val="clear" w:color="auto" w:fill="auto"/>
            <w:vAlign w:val="center"/>
          </w:tcPr>
          <w:p w14:paraId="3821FB5B">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区卫健委、区生态环境分局</w:t>
            </w:r>
          </w:p>
        </w:tc>
      </w:tr>
      <w:tr w14:paraId="171E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4E591D91">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shd w:val="clear" w:color="auto" w:fill="auto"/>
            <w:vAlign w:val="center"/>
          </w:tcPr>
          <w:p w14:paraId="4BD01280">
            <w:pPr>
              <w:widowControl/>
              <w:jc w:val="center"/>
              <w:rPr>
                <w:rFonts w:ascii="Times New Roman" w:hAnsi="Times New Roman" w:eastAsia="宋体" w:cs="宋体"/>
                <w:color w:val="000000"/>
                <w:kern w:val="0"/>
                <w:szCs w:val="21"/>
              </w:rPr>
            </w:pPr>
          </w:p>
        </w:tc>
        <w:tc>
          <w:tcPr>
            <w:tcW w:w="451" w:type="pct"/>
            <w:shd w:val="clear" w:color="auto" w:fill="auto"/>
            <w:vAlign w:val="center"/>
          </w:tcPr>
          <w:p w14:paraId="086295A4">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一般工业固体废物贮存处置</w:t>
            </w:r>
          </w:p>
        </w:tc>
        <w:tc>
          <w:tcPr>
            <w:tcW w:w="1681" w:type="pct"/>
            <w:shd w:val="clear" w:color="auto" w:fill="auto"/>
            <w:vAlign w:val="center"/>
          </w:tcPr>
          <w:p w14:paraId="49135F96">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一般工业固体废物贮存处置量下降幅度★</w:t>
            </w:r>
          </w:p>
        </w:tc>
        <w:tc>
          <w:tcPr>
            <w:tcW w:w="574" w:type="pct"/>
            <w:shd w:val="clear" w:color="auto" w:fill="auto"/>
            <w:vAlign w:val="center"/>
          </w:tcPr>
          <w:p w14:paraId="0746E160">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22.10%</w:t>
            </w:r>
          </w:p>
        </w:tc>
        <w:tc>
          <w:tcPr>
            <w:tcW w:w="574" w:type="pct"/>
            <w:shd w:val="clear" w:color="auto" w:fill="auto"/>
            <w:vAlign w:val="center"/>
          </w:tcPr>
          <w:p w14:paraId="63B3CCF6">
            <w:pPr>
              <w:widowControl/>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Cs w:val="21"/>
              </w:rPr>
              <w:t>≥1</w:t>
            </w:r>
            <w:r>
              <w:rPr>
                <w:rFonts w:ascii="Times New Roman" w:hAnsi="Times New Roman" w:eastAsia="宋体" w:cs="Times New Roman"/>
                <w:color w:val="000000"/>
                <w:kern w:val="0"/>
                <w:szCs w:val="21"/>
              </w:rPr>
              <w:t>0%</w:t>
            </w:r>
          </w:p>
        </w:tc>
        <w:tc>
          <w:tcPr>
            <w:tcW w:w="1003" w:type="pct"/>
            <w:shd w:val="clear" w:color="auto" w:fill="auto"/>
            <w:vAlign w:val="center"/>
          </w:tcPr>
          <w:p w14:paraId="03CAD36F">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区生态环境分局</w:t>
            </w:r>
          </w:p>
        </w:tc>
      </w:tr>
      <w:tr w14:paraId="12E1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1CE8715A">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shd w:val="clear" w:color="auto" w:fill="auto"/>
            <w:vAlign w:val="center"/>
          </w:tcPr>
          <w:p w14:paraId="1C515573">
            <w:pPr>
              <w:widowControl/>
              <w:jc w:val="center"/>
              <w:rPr>
                <w:rFonts w:ascii="Times New Roman" w:hAnsi="Times New Roman" w:eastAsia="宋体" w:cs="宋体"/>
                <w:color w:val="000000"/>
                <w:kern w:val="0"/>
                <w:szCs w:val="21"/>
              </w:rPr>
            </w:pPr>
          </w:p>
        </w:tc>
        <w:tc>
          <w:tcPr>
            <w:tcW w:w="451" w:type="pct"/>
            <w:vMerge w:val="restart"/>
            <w:vAlign w:val="center"/>
          </w:tcPr>
          <w:p w14:paraId="7747E8C0">
            <w:pPr>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生活领域固体废物处置</w:t>
            </w:r>
          </w:p>
        </w:tc>
        <w:tc>
          <w:tcPr>
            <w:tcW w:w="1681" w:type="pct"/>
            <w:shd w:val="clear" w:color="auto" w:fill="auto"/>
            <w:vAlign w:val="center"/>
          </w:tcPr>
          <w:p w14:paraId="1CB91500">
            <w:pPr>
              <w:widowControl/>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生活垃圾焚烧处理率</w:t>
            </w:r>
            <w:r>
              <w:rPr>
                <w:rFonts w:hint="eastAsia" w:ascii="Times New Roman" w:hAnsi="Times New Roman" w:eastAsia="宋体" w:cs="宋体"/>
                <w:color w:val="000000"/>
                <w:kern w:val="0"/>
                <w:szCs w:val="21"/>
              </w:rPr>
              <w:t>★</w:t>
            </w:r>
          </w:p>
        </w:tc>
        <w:tc>
          <w:tcPr>
            <w:tcW w:w="574" w:type="pct"/>
            <w:shd w:val="clear" w:color="auto" w:fill="auto"/>
            <w:vAlign w:val="center"/>
          </w:tcPr>
          <w:p w14:paraId="03674F3C">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100%</w:t>
            </w:r>
          </w:p>
        </w:tc>
        <w:tc>
          <w:tcPr>
            <w:tcW w:w="574" w:type="pct"/>
            <w:shd w:val="clear" w:color="auto" w:fill="auto"/>
            <w:vAlign w:val="center"/>
          </w:tcPr>
          <w:p w14:paraId="2D57670C">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100%</w:t>
            </w:r>
          </w:p>
        </w:tc>
        <w:tc>
          <w:tcPr>
            <w:tcW w:w="1003" w:type="pct"/>
            <w:shd w:val="clear" w:color="auto" w:fill="auto"/>
            <w:vAlign w:val="center"/>
          </w:tcPr>
          <w:p w14:paraId="0D18FE52">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区城管局</w:t>
            </w:r>
          </w:p>
        </w:tc>
      </w:tr>
      <w:tr w14:paraId="3351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303BE5EE">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shd w:val="clear" w:color="auto" w:fill="auto"/>
            <w:vAlign w:val="center"/>
          </w:tcPr>
          <w:p w14:paraId="04F0A891">
            <w:pPr>
              <w:widowControl/>
              <w:jc w:val="center"/>
              <w:rPr>
                <w:rFonts w:ascii="Times New Roman" w:hAnsi="Times New Roman" w:eastAsia="宋体" w:cs="宋体"/>
                <w:color w:val="000000"/>
                <w:kern w:val="0"/>
                <w:szCs w:val="21"/>
              </w:rPr>
            </w:pPr>
          </w:p>
        </w:tc>
        <w:tc>
          <w:tcPr>
            <w:tcW w:w="451" w:type="pct"/>
            <w:vMerge w:val="continue"/>
            <w:vAlign w:val="center"/>
          </w:tcPr>
          <w:p w14:paraId="1F7F72A2">
            <w:pPr>
              <w:widowControl/>
              <w:jc w:val="center"/>
              <w:rPr>
                <w:rFonts w:ascii="Times New Roman" w:hAnsi="Times New Roman" w:eastAsia="宋体" w:cs="宋体"/>
                <w:color w:val="000000"/>
                <w:kern w:val="0"/>
                <w:szCs w:val="21"/>
              </w:rPr>
            </w:pPr>
          </w:p>
        </w:tc>
        <w:tc>
          <w:tcPr>
            <w:tcW w:w="1681" w:type="pct"/>
            <w:shd w:val="clear" w:color="auto" w:fill="auto"/>
            <w:vAlign w:val="center"/>
          </w:tcPr>
          <w:p w14:paraId="775D6DEA">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市政污泥无害化处置率★</w:t>
            </w:r>
          </w:p>
        </w:tc>
        <w:tc>
          <w:tcPr>
            <w:tcW w:w="574" w:type="pct"/>
            <w:shd w:val="clear" w:color="auto" w:fill="auto"/>
            <w:vAlign w:val="center"/>
          </w:tcPr>
          <w:p w14:paraId="564EABA2">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100%</w:t>
            </w:r>
          </w:p>
        </w:tc>
        <w:tc>
          <w:tcPr>
            <w:tcW w:w="574" w:type="pct"/>
            <w:shd w:val="clear" w:color="auto" w:fill="auto"/>
            <w:vAlign w:val="center"/>
          </w:tcPr>
          <w:p w14:paraId="68CBAAEF">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100%</w:t>
            </w:r>
          </w:p>
        </w:tc>
        <w:tc>
          <w:tcPr>
            <w:tcW w:w="1003" w:type="pct"/>
            <w:shd w:val="clear" w:color="auto" w:fill="auto"/>
            <w:vAlign w:val="center"/>
          </w:tcPr>
          <w:p w14:paraId="68698649">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区住建局</w:t>
            </w:r>
          </w:p>
        </w:tc>
      </w:tr>
      <w:tr w14:paraId="2B8F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5CBBD6F5">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restart"/>
            <w:shd w:val="clear" w:color="auto" w:fill="auto"/>
            <w:vAlign w:val="center"/>
          </w:tcPr>
          <w:p w14:paraId="2D325045">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保障能力</w:t>
            </w:r>
          </w:p>
        </w:tc>
        <w:tc>
          <w:tcPr>
            <w:tcW w:w="451" w:type="pct"/>
            <w:vMerge w:val="restart"/>
            <w:shd w:val="clear" w:color="auto" w:fill="auto"/>
            <w:vAlign w:val="center"/>
          </w:tcPr>
          <w:p w14:paraId="7E3E23AE">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制度体系建设</w:t>
            </w:r>
          </w:p>
        </w:tc>
        <w:tc>
          <w:tcPr>
            <w:tcW w:w="1681" w:type="pct"/>
            <w:shd w:val="clear" w:color="auto" w:fill="auto"/>
            <w:vAlign w:val="center"/>
          </w:tcPr>
          <w:p w14:paraId="30EBC864">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“无废城市”建设政策性文件及有关规划制定★</w:t>
            </w:r>
          </w:p>
        </w:tc>
        <w:tc>
          <w:tcPr>
            <w:tcW w:w="574" w:type="pct"/>
            <w:shd w:val="clear" w:color="auto" w:fill="auto"/>
            <w:vAlign w:val="center"/>
          </w:tcPr>
          <w:p w14:paraId="607379AB">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0项</w:t>
            </w:r>
          </w:p>
        </w:tc>
        <w:tc>
          <w:tcPr>
            <w:tcW w:w="574" w:type="pct"/>
            <w:shd w:val="clear" w:color="auto" w:fill="auto"/>
            <w:vAlign w:val="center"/>
          </w:tcPr>
          <w:p w14:paraId="753C8A31">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5项</w:t>
            </w:r>
          </w:p>
        </w:tc>
        <w:tc>
          <w:tcPr>
            <w:tcW w:w="1003" w:type="pct"/>
            <w:shd w:val="clear" w:color="auto" w:fill="auto"/>
            <w:vAlign w:val="center"/>
          </w:tcPr>
          <w:p w14:paraId="2E8E7E46">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“无废城市”建设联席会议成员单位及建设工作专班</w:t>
            </w:r>
          </w:p>
        </w:tc>
      </w:tr>
      <w:tr w14:paraId="14E9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2D31A86E">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6517412D">
            <w:pPr>
              <w:widowControl/>
              <w:jc w:val="center"/>
              <w:rPr>
                <w:rFonts w:ascii="Times New Roman" w:hAnsi="Times New Roman" w:eastAsia="宋体" w:cs="宋体"/>
                <w:color w:val="000000"/>
                <w:kern w:val="0"/>
                <w:szCs w:val="21"/>
              </w:rPr>
            </w:pPr>
          </w:p>
        </w:tc>
        <w:tc>
          <w:tcPr>
            <w:tcW w:w="451" w:type="pct"/>
            <w:vMerge w:val="continue"/>
            <w:vAlign w:val="center"/>
          </w:tcPr>
          <w:p w14:paraId="482C448C">
            <w:pPr>
              <w:widowControl/>
              <w:jc w:val="center"/>
              <w:rPr>
                <w:rFonts w:ascii="Times New Roman" w:hAnsi="Times New Roman" w:eastAsia="宋体" w:cs="宋体"/>
                <w:color w:val="000000"/>
                <w:kern w:val="0"/>
                <w:szCs w:val="21"/>
              </w:rPr>
            </w:pPr>
          </w:p>
        </w:tc>
        <w:tc>
          <w:tcPr>
            <w:tcW w:w="1681" w:type="pct"/>
            <w:shd w:val="clear" w:color="auto" w:fill="auto"/>
            <w:vAlign w:val="center"/>
          </w:tcPr>
          <w:p w14:paraId="654E8998">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“无废城市”建设协调机制★</w:t>
            </w:r>
          </w:p>
        </w:tc>
        <w:tc>
          <w:tcPr>
            <w:tcW w:w="574" w:type="pct"/>
            <w:shd w:val="clear" w:color="auto" w:fill="auto"/>
            <w:vAlign w:val="center"/>
          </w:tcPr>
          <w:p w14:paraId="11018B27">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p>
        </w:tc>
        <w:tc>
          <w:tcPr>
            <w:tcW w:w="574" w:type="pct"/>
            <w:shd w:val="clear" w:color="auto" w:fill="auto"/>
            <w:vAlign w:val="center"/>
          </w:tcPr>
          <w:p w14:paraId="629E8187">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建立协调机制</w:t>
            </w:r>
          </w:p>
        </w:tc>
        <w:tc>
          <w:tcPr>
            <w:tcW w:w="1003" w:type="pct"/>
            <w:shd w:val="clear" w:color="auto" w:fill="auto"/>
            <w:vAlign w:val="center"/>
          </w:tcPr>
          <w:p w14:paraId="75DC0643">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“无废城市”建设联席会议成员单位及建设工作专班</w:t>
            </w:r>
          </w:p>
        </w:tc>
      </w:tr>
      <w:tr w14:paraId="6624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50FA4BF3">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2D409879">
            <w:pPr>
              <w:widowControl/>
              <w:jc w:val="center"/>
              <w:rPr>
                <w:rFonts w:ascii="Times New Roman" w:hAnsi="Times New Roman" w:eastAsia="宋体" w:cs="宋体"/>
                <w:color w:val="000000"/>
                <w:kern w:val="0"/>
                <w:szCs w:val="21"/>
              </w:rPr>
            </w:pPr>
          </w:p>
        </w:tc>
        <w:tc>
          <w:tcPr>
            <w:tcW w:w="451" w:type="pct"/>
            <w:vMerge w:val="continue"/>
            <w:vAlign w:val="center"/>
          </w:tcPr>
          <w:p w14:paraId="222622B7">
            <w:pPr>
              <w:widowControl/>
              <w:jc w:val="center"/>
              <w:rPr>
                <w:rFonts w:ascii="Times New Roman" w:hAnsi="Times New Roman" w:eastAsia="宋体" w:cs="宋体"/>
                <w:color w:val="000000"/>
                <w:kern w:val="0"/>
                <w:szCs w:val="21"/>
              </w:rPr>
            </w:pPr>
          </w:p>
        </w:tc>
        <w:tc>
          <w:tcPr>
            <w:tcW w:w="1681" w:type="pct"/>
            <w:shd w:val="clear" w:color="auto" w:fill="auto"/>
            <w:vAlign w:val="center"/>
          </w:tcPr>
          <w:p w14:paraId="2C0E8845">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“无废城市”建设成效纳入政绩考核情况</w:t>
            </w:r>
          </w:p>
        </w:tc>
        <w:tc>
          <w:tcPr>
            <w:tcW w:w="574" w:type="pct"/>
            <w:shd w:val="clear" w:color="auto" w:fill="auto"/>
            <w:vAlign w:val="center"/>
          </w:tcPr>
          <w:p w14:paraId="448E84F9">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p>
        </w:tc>
        <w:tc>
          <w:tcPr>
            <w:tcW w:w="574" w:type="pct"/>
            <w:shd w:val="clear" w:color="auto" w:fill="auto"/>
            <w:vAlign w:val="center"/>
          </w:tcPr>
          <w:p w14:paraId="789BDC1C">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建立考核办法</w:t>
            </w:r>
          </w:p>
        </w:tc>
        <w:tc>
          <w:tcPr>
            <w:tcW w:w="1003" w:type="pct"/>
            <w:shd w:val="clear" w:color="auto" w:fill="auto"/>
            <w:vAlign w:val="center"/>
          </w:tcPr>
          <w:p w14:paraId="0E582233">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“无废城市”建设联席会议成员单位及建设工作专班</w:t>
            </w:r>
          </w:p>
        </w:tc>
      </w:tr>
      <w:tr w14:paraId="238F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291E1E6A">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0381A19A">
            <w:pPr>
              <w:widowControl/>
              <w:jc w:val="center"/>
              <w:rPr>
                <w:rFonts w:ascii="Times New Roman" w:hAnsi="Times New Roman" w:eastAsia="宋体" w:cs="宋体"/>
                <w:color w:val="000000"/>
                <w:kern w:val="0"/>
                <w:szCs w:val="21"/>
              </w:rPr>
            </w:pPr>
          </w:p>
        </w:tc>
        <w:tc>
          <w:tcPr>
            <w:tcW w:w="451" w:type="pct"/>
            <w:vMerge w:val="continue"/>
            <w:vAlign w:val="center"/>
          </w:tcPr>
          <w:p w14:paraId="1F21434D">
            <w:pPr>
              <w:widowControl/>
              <w:jc w:val="center"/>
              <w:rPr>
                <w:rFonts w:ascii="Times New Roman" w:hAnsi="Times New Roman" w:eastAsia="宋体" w:cs="宋体"/>
                <w:color w:val="000000"/>
                <w:kern w:val="0"/>
                <w:szCs w:val="21"/>
              </w:rPr>
            </w:pPr>
          </w:p>
        </w:tc>
        <w:tc>
          <w:tcPr>
            <w:tcW w:w="1681" w:type="pct"/>
            <w:shd w:val="clear" w:color="auto" w:fill="auto"/>
            <w:vAlign w:val="center"/>
          </w:tcPr>
          <w:p w14:paraId="5A1F96D8">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开展“无废城市细胞”建设的单位数量</w:t>
            </w:r>
          </w:p>
        </w:tc>
        <w:tc>
          <w:tcPr>
            <w:tcW w:w="574" w:type="pct"/>
            <w:shd w:val="clear" w:color="auto" w:fill="auto"/>
            <w:vAlign w:val="center"/>
          </w:tcPr>
          <w:p w14:paraId="2A3A1262">
            <w:pPr>
              <w:widowControl/>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12</w:t>
            </w:r>
            <w:r>
              <w:rPr>
                <w:rFonts w:hint="eastAsia" w:ascii="Times New Roman" w:hAnsi="Times New Roman" w:eastAsia="宋体" w:cs="宋体"/>
                <w:color w:val="000000"/>
                <w:kern w:val="0"/>
                <w:szCs w:val="21"/>
              </w:rPr>
              <w:t>个</w:t>
            </w:r>
          </w:p>
          <w:p w14:paraId="08EACD50">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w:t>
            </w:r>
            <w:r>
              <w:rPr>
                <w:rFonts w:ascii="Times New Roman" w:hAnsi="Times New Roman" w:eastAsia="宋体" w:cs="宋体"/>
                <w:color w:val="000000"/>
                <w:kern w:val="0"/>
                <w:szCs w:val="21"/>
              </w:rPr>
              <w:t>023</w:t>
            </w:r>
            <w:r>
              <w:rPr>
                <w:rFonts w:hint="eastAsia" w:ascii="Times New Roman" w:hAnsi="Times New Roman" w:eastAsia="宋体" w:cs="宋体"/>
                <w:color w:val="000000"/>
                <w:kern w:val="0"/>
                <w:szCs w:val="21"/>
              </w:rPr>
              <w:t>年）</w:t>
            </w:r>
          </w:p>
        </w:tc>
        <w:tc>
          <w:tcPr>
            <w:tcW w:w="574" w:type="pct"/>
            <w:shd w:val="clear" w:color="auto" w:fill="auto"/>
            <w:vAlign w:val="center"/>
          </w:tcPr>
          <w:p w14:paraId="6D180055">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r>
              <w:rPr>
                <w:rFonts w:ascii="Times New Roman" w:hAnsi="Times New Roman" w:eastAsia="宋体" w:cs="宋体"/>
                <w:color w:val="000000"/>
                <w:kern w:val="0"/>
                <w:szCs w:val="21"/>
              </w:rPr>
              <w:t>3</w:t>
            </w:r>
            <w:r>
              <w:rPr>
                <w:rFonts w:hint="eastAsia" w:ascii="Times New Roman" w:hAnsi="Times New Roman" w:eastAsia="宋体" w:cs="宋体"/>
                <w:color w:val="000000"/>
                <w:kern w:val="0"/>
                <w:szCs w:val="21"/>
              </w:rPr>
              <w:t>个</w:t>
            </w:r>
          </w:p>
        </w:tc>
        <w:tc>
          <w:tcPr>
            <w:tcW w:w="1003" w:type="pct"/>
            <w:shd w:val="clear" w:color="auto" w:fill="auto"/>
            <w:vAlign w:val="center"/>
          </w:tcPr>
          <w:p w14:paraId="4CD1B164">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“无废城市”建设联席会议成员单位及建设工作专班</w:t>
            </w:r>
          </w:p>
        </w:tc>
      </w:tr>
      <w:tr w14:paraId="7D2E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47DFDC4A">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7212DF44">
            <w:pPr>
              <w:widowControl/>
              <w:jc w:val="center"/>
              <w:rPr>
                <w:rFonts w:ascii="Times New Roman" w:hAnsi="Times New Roman" w:eastAsia="宋体" w:cs="宋体"/>
                <w:color w:val="000000"/>
                <w:kern w:val="0"/>
                <w:szCs w:val="21"/>
              </w:rPr>
            </w:pPr>
          </w:p>
        </w:tc>
        <w:tc>
          <w:tcPr>
            <w:tcW w:w="451" w:type="pct"/>
            <w:vMerge w:val="restart"/>
            <w:shd w:val="clear" w:color="auto" w:fill="auto"/>
            <w:vAlign w:val="center"/>
          </w:tcPr>
          <w:p w14:paraId="590C327B">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市场体系建设</w:t>
            </w:r>
          </w:p>
        </w:tc>
        <w:tc>
          <w:tcPr>
            <w:tcW w:w="1681" w:type="pct"/>
            <w:shd w:val="clear" w:color="auto" w:fill="auto"/>
            <w:vAlign w:val="center"/>
          </w:tcPr>
          <w:p w14:paraId="43F97F69">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“无废城市”建设项目投资总额★</w:t>
            </w:r>
          </w:p>
        </w:tc>
        <w:tc>
          <w:tcPr>
            <w:tcW w:w="574" w:type="pct"/>
            <w:shd w:val="clear" w:color="auto" w:fill="auto"/>
            <w:vAlign w:val="center"/>
          </w:tcPr>
          <w:p w14:paraId="5599BA1B">
            <w:pPr>
              <w:widowControl/>
              <w:jc w:val="center"/>
              <w:rPr>
                <w:rFonts w:ascii="Times New Roman" w:hAnsi="Times New Roman" w:eastAsia="宋体" w:cs="Times New Roman"/>
                <w:kern w:val="0"/>
                <w:szCs w:val="21"/>
              </w:rPr>
            </w:pPr>
            <w:r>
              <w:rPr>
                <w:rFonts w:hint="eastAsia" w:ascii="Times New Roman" w:hAnsi="Times New Roman" w:eastAsia="宋体" w:cs="宋体"/>
                <w:color w:val="000000"/>
                <w:kern w:val="0"/>
                <w:szCs w:val="21"/>
              </w:rPr>
              <w:t>-</w:t>
            </w:r>
          </w:p>
        </w:tc>
        <w:tc>
          <w:tcPr>
            <w:tcW w:w="574" w:type="pct"/>
            <w:shd w:val="clear" w:color="auto" w:fill="auto"/>
            <w:vAlign w:val="center"/>
          </w:tcPr>
          <w:p w14:paraId="6F3D0B17">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w:t>
            </w:r>
            <w:r>
              <w:rPr>
                <w:rFonts w:ascii="Times New Roman" w:hAnsi="Times New Roman" w:eastAsia="宋体" w:cs="宋体"/>
                <w:color w:val="000000"/>
                <w:kern w:val="0"/>
                <w:szCs w:val="21"/>
              </w:rPr>
              <w:t>60</w:t>
            </w:r>
            <w:r>
              <w:rPr>
                <w:rFonts w:hint="eastAsia" w:ascii="Times New Roman" w:hAnsi="Times New Roman" w:eastAsia="宋体" w:cs="宋体"/>
                <w:color w:val="000000"/>
                <w:kern w:val="0"/>
                <w:szCs w:val="21"/>
              </w:rPr>
              <w:t>0</w:t>
            </w:r>
            <w:r>
              <w:rPr>
                <w:rFonts w:ascii="Times New Roman" w:hAnsi="Times New Roman" w:eastAsia="宋体" w:cs="宋体"/>
                <w:color w:val="000000"/>
                <w:kern w:val="0"/>
                <w:szCs w:val="21"/>
              </w:rPr>
              <w:t>0</w:t>
            </w:r>
            <w:r>
              <w:rPr>
                <w:rFonts w:hint="eastAsia" w:ascii="Times New Roman" w:hAnsi="Times New Roman" w:eastAsia="宋体" w:cs="宋体"/>
                <w:color w:val="000000"/>
                <w:kern w:val="0"/>
                <w:szCs w:val="21"/>
              </w:rPr>
              <w:t>万元</w:t>
            </w:r>
          </w:p>
        </w:tc>
        <w:tc>
          <w:tcPr>
            <w:tcW w:w="1003" w:type="pct"/>
            <w:shd w:val="clear" w:color="auto" w:fill="auto"/>
            <w:vAlign w:val="center"/>
          </w:tcPr>
          <w:p w14:paraId="13DF6B91">
            <w:pPr>
              <w:widowControl/>
              <w:jc w:val="center"/>
              <w:rPr>
                <w:rFonts w:ascii="Times New Roman" w:hAnsi="Times New Roman" w:eastAsia="宋体" w:cs="宋体"/>
                <w:kern w:val="0"/>
                <w:szCs w:val="21"/>
              </w:rPr>
            </w:pPr>
            <w:r>
              <w:rPr>
                <w:rFonts w:hint="eastAsia" w:ascii="Times New Roman" w:hAnsi="Times New Roman" w:eastAsia="宋体" w:cs="宋体"/>
                <w:kern w:val="0"/>
                <w:szCs w:val="21"/>
              </w:rPr>
              <w:t>区发改委、区财政局等各领域主管部门</w:t>
            </w:r>
          </w:p>
        </w:tc>
      </w:tr>
      <w:tr w14:paraId="7F65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75CE11C4">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7D8C8535">
            <w:pPr>
              <w:widowControl/>
              <w:jc w:val="center"/>
              <w:rPr>
                <w:rFonts w:ascii="Times New Roman" w:hAnsi="Times New Roman" w:eastAsia="宋体" w:cs="宋体"/>
                <w:color w:val="000000"/>
                <w:kern w:val="0"/>
                <w:szCs w:val="21"/>
              </w:rPr>
            </w:pPr>
          </w:p>
        </w:tc>
        <w:tc>
          <w:tcPr>
            <w:tcW w:w="451" w:type="pct"/>
            <w:vMerge w:val="continue"/>
            <w:vAlign w:val="center"/>
          </w:tcPr>
          <w:p w14:paraId="12DF4FF2">
            <w:pPr>
              <w:widowControl/>
              <w:jc w:val="center"/>
              <w:rPr>
                <w:rFonts w:ascii="Times New Roman" w:hAnsi="Times New Roman" w:eastAsia="宋体" w:cs="宋体"/>
                <w:color w:val="000000"/>
                <w:kern w:val="0"/>
                <w:szCs w:val="21"/>
              </w:rPr>
            </w:pPr>
          </w:p>
        </w:tc>
        <w:tc>
          <w:tcPr>
            <w:tcW w:w="1681" w:type="pct"/>
            <w:shd w:val="clear" w:color="auto" w:fill="auto"/>
            <w:vAlign w:val="center"/>
          </w:tcPr>
          <w:p w14:paraId="1C0ABCF9">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纳入企业环境信用评价范围的固体废物相关企业数量</w:t>
            </w:r>
          </w:p>
        </w:tc>
        <w:tc>
          <w:tcPr>
            <w:tcW w:w="574" w:type="pct"/>
            <w:shd w:val="clear" w:color="auto" w:fill="auto"/>
            <w:vAlign w:val="center"/>
          </w:tcPr>
          <w:p w14:paraId="63006FE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r>
              <w:rPr>
                <w:rFonts w:hint="eastAsia" w:ascii="Times New Roman" w:hAnsi="Times New Roman" w:eastAsia="宋体" w:cs="Times New Roman"/>
                <w:color w:val="000000"/>
                <w:kern w:val="0"/>
                <w:szCs w:val="21"/>
              </w:rPr>
              <w:t>家</w:t>
            </w:r>
          </w:p>
        </w:tc>
        <w:tc>
          <w:tcPr>
            <w:tcW w:w="574" w:type="pct"/>
            <w:shd w:val="clear" w:color="auto" w:fill="auto"/>
            <w:vAlign w:val="center"/>
          </w:tcPr>
          <w:p w14:paraId="09DA61D8">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完成上级下达的要求</w:t>
            </w:r>
          </w:p>
        </w:tc>
        <w:tc>
          <w:tcPr>
            <w:tcW w:w="1003" w:type="pct"/>
            <w:shd w:val="clear" w:color="auto" w:fill="auto"/>
            <w:vAlign w:val="center"/>
          </w:tcPr>
          <w:p w14:paraId="19E849DA">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区生态环境分局</w:t>
            </w:r>
          </w:p>
        </w:tc>
      </w:tr>
      <w:tr w14:paraId="0797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08632ED0">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600791F7">
            <w:pPr>
              <w:widowControl/>
              <w:jc w:val="center"/>
              <w:rPr>
                <w:rFonts w:ascii="Times New Roman" w:hAnsi="Times New Roman" w:eastAsia="宋体" w:cs="宋体"/>
                <w:color w:val="000000"/>
                <w:kern w:val="0"/>
                <w:szCs w:val="21"/>
              </w:rPr>
            </w:pPr>
          </w:p>
        </w:tc>
        <w:tc>
          <w:tcPr>
            <w:tcW w:w="451" w:type="pct"/>
            <w:vMerge w:val="restart"/>
            <w:shd w:val="clear" w:color="auto" w:fill="auto"/>
            <w:vAlign w:val="center"/>
          </w:tcPr>
          <w:p w14:paraId="1D77979C">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技术体系建设</w:t>
            </w:r>
          </w:p>
        </w:tc>
        <w:tc>
          <w:tcPr>
            <w:tcW w:w="1681" w:type="pct"/>
            <w:shd w:val="clear" w:color="auto" w:fill="auto"/>
            <w:vAlign w:val="center"/>
          </w:tcPr>
          <w:p w14:paraId="0FFFFE36">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主要参与制定固体废物资源化、无害化技术标准与规范数量</w:t>
            </w:r>
          </w:p>
        </w:tc>
        <w:tc>
          <w:tcPr>
            <w:tcW w:w="574" w:type="pct"/>
            <w:shd w:val="clear" w:color="auto" w:fill="auto"/>
            <w:vAlign w:val="center"/>
          </w:tcPr>
          <w:p w14:paraId="6AC81C7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574" w:type="pct"/>
            <w:shd w:val="clear" w:color="auto" w:fill="auto"/>
            <w:vAlign w:val="center"/>
          </w:tcPr>
          <w:p w14:paraId="143F9040">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完成上级下达的要求</w:t>
            </w:r>
          </w:p>
        </w:tc>
        <w:tc>
          <w:tcPr>
            <w:tcW w:w="1003" w:type="pct"/>
            <w:shd w:val="clear" w:color="auto" w:fill="auto"/>
            <w:vAlign w:val="center"/>
          </w:tcPr>
          <w:p w14:paraId="658DAFA1">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区科技局、区市场监管局等各领域主管部门</w:t>
            </w:r>
          </w:p>
        </w:tc>
      </w:tr>
      <w:tr w14:paraId="7AFC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5EC1C268">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4A4BF9CE">
            <w:pPr>
              <w:widowControl/>
              <w:jc w:val="center"/>
              <w:rPr>
                <w:rFonts w:ascii="Times New Roman" w:hAnsi="Times New Roman" w:eastAsia="宋体" w:cs="宋体"/>
                <w:color w:val="000000"/>
                <w:kern w:val="0"/>
                <w:szCs w:val="21"/>
              </w:rPr>
            </w:pPr>
          </w:p>
        </w:tc>
        <w:tc>
          <w:tcPr>
            <w:tcW w:w="451" w:type="pct"/>
            <w:vMerge w:val="continue"/>
            <w:vAlign w:val="center"/>
          </w:tcPr>
          <w:p w14:paraId="5FBB2E7F">
            <w:pPr>
              <w:widowControl/>
              <w:jc w:val="center"/>
              <w:rPr>
                <w:rFonts w:ascii="Times New Roman" w:hAnsi="Times New Roman" w:eastAsia="宋体" w:cs="宋体"/>
                <w:color w:val="000000"/>
                <w:kern w:val="0"/>
                <w:szCs w:val="21"/>
              </w:rPr>
            </w:pPr>
          </w:p>
        </w:tc>
        <w:tc>
          <w:tcPr>
            <w:tcW w:w="1681" w:type="pct"/>
            <w:shd w:val="clear" w:color="auto" w:fill="auto"/>
            <w:vAlign w:val="center"/>
          </w:tcPr>
          <w:p w14:paraId="2AF3B619">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固体废物回收利用处置关键技术工艺、设备研发及成果转化</w:t>
            </w:r>
          </w:p>
        </w:tc>
        <w:tc>
          <w:tcPr>
            <w:tcW w:w="574" w:type="pct"/>
            <w:shd w:val="clear" w:color="auto" w:fill="auto"/>
            <w:vAlign w:val="center"/>
          </w:tcPr>
          <w:p w14:paraId="629DAF8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574" w:type="pct"/>
            <w:shd w:val="clear" w:color="auto" w:fill="auto"/>
            <w:vAlign w:val="center"/>
          </w:tcPr>
          <w:p w14:paraId="248E74FF">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完成上级下达的要求</w:t>
            </w:r>
          </w:p>
        </w:tc>
        <w:tc>
          <w:tcPr>
            <w:tcW w:w="1003" w:type="pct"/>
            <w:shd w:val="clear" w:color="auto" w:fill="auto"/>
            <w:vAlign w:val="center"/>
          </w:tcPr>
          <w:p w14:paraId="082B2A24">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区科技局、区发改委等</w:t>
            </w:r>
            <w:r>
              <w:rPr>
                <w:rFonts w:hint="eastAsia" w:ascii="Times New Roman" w:hAnsi="Times New Roman" w:eastAsia="宋体" w:cs="宋体"/>
                <w:kern w:val="0"/>
                <w:szCs w:val="21"/>
              </w:rPr>
              <w:t>各领域主管部门</w:t>
            </w:r>
          </w:p>
        </w:tc>
      </w:tr>
      <w:tr w14:paraId="51C9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3C8FBDC0">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716F5613">
            <w:pPr>
              <w:widowControl/>
              <w:jc w:val="center"/>
              <w:rPr>
                <w:rFonts w:ascii="Times New Roman" w:hAnsi="Times New Roman" w:eastAsia="宋体" w:cs="宋体"/>
                <w:color w:val="000000"/>
                <w:kern w:val="0"/>
                <w:szCs w:val="21"/>
              </w:rPr>
            </w:pPr>
          </w:p>
        </w:tc>
        <w:tc>
          <w:tcPr>
            <w:tcW w:w="451" w:type="pct"/>
            <w:vMerge w:val="restart"/>
            <w:shd w:val="clear" w:color="auto" w:fill="auto"/>
            <w:vAlign w:val="center"/>
          </w:tcPr>
          <w:p w14:paraId="5746033F">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监管体系建设</w:t>
            </w:r>
          </w:p>
        </w:tc>
        <w:tc>
          <w:tcPr>
            <w:tcW w:w="1681" w:type="pct"/>
            <w:shd w:val="clear" w:color="auto" w:fill="auto"/>
            <w:vAlign w:val="center"/>
          </w:tcPr>
          <w:p w14:paraId="33F77AE7">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固体废物管理信息化监管情况★</w:t>
            </w:r>
          </w:p>
        </w:tc>
        <w:tc>
          <w:tcPr>
            <w:tcW w:w="574" w:type="pct"/>
            <w:shd w:val="clear" w:color="auto" w:fill="auto"/>
            <w:vAlign w:val="center"/>
          </w:tcPr>
          <w:p w14:paraId="3832C2CA">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建立</w:t>
            </w:r>
          </w:p>
        </w:tc>
        <w:tc>
          <w:tcPr>
            <w:tcW w:w="574" w:type="pct"/>
            <w:shd w:val="clear" w:color="auto" w:fill="auto"/>
            <w:vAlign w:val="center"/>
          </w:tcPr>
          <w:p w14:paraId="36D2B85D">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逐步完善</w:t>
            </w:r>
          </w:p>
        </w:tc>
        <w:tc>
          <w:tcPr>
            <w:tcW w:w="1003" w:type="pct"/>
            <w:shd w:val="clear" w:color="auto" w:fill="auto"/>
            <w:vAlign w:val="center"/>
          </w:tcPr>
          <w:p w14:paraId="4CF79988">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区生态环境分局、区数据资源局、区住建局、区农水局、区城管局等</w:t>
            </w:r>
          </w:p>
        </w:tc>
      </w:tr>
      <w:tr w14:paraId="49F5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4740E74F">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1FF68DD4">
            <w:pPr>
              <w:widowControl/>
              <w:jc w:val="center"/>
              <w:rPr>
                <w:rFonts w:ascii="Times New Roman" w:hAnsi="Times New Roman" w:eastAsia="宋体" w:cs="宋体"/>
                <w:color w:val="000000"/>
                <w:kern w:val="0"/>
                <w:szCs w:val="21"/>
              </w:rPr>
            </w:pPr>
          </w:p>
        </w:tc>
        <w:tc>
          <w:tcPr>
            <w:tcW w:w="451" w:type="pct"/>
            <w:vMerge w:val="continue"/>
            <w:vAlign w:val="center"/>
          </w:tcPr>
          <w:p w14:paraId="50ABC678">
            <w:pPr>
              <w:widowControl/>
              <w:jc w:val="center"/>
              <w:rPr>
                <w:rFonts w:ascii="Times New Roman" w:hAnsi="Times New Roman" w:eastAsia="宋体" w:cs="宋体"/>
                <w:color w:val="000000"/>
                <w:kern w:val="0"/>
                <w:szCs w:val="21"/>
              </w:rPr>
            </w:pPr>
          </w:p>
        </w:tc>
        <w:tc>
          <w:tcPr>
            <w:tcW w:w="1681" w:type="pct"/>
            <w:shd w:val="clear" w:color="auto" w:fill="auto"/>
            <w:vAlign w:val="center"/>
          </w:tcPr>
          <w:p w14:paraId="68E9DC3B">
            <w:pPr>
              <w:widowControl/>
              <w:jc w:val="center"/>
              <w:rPr>
                <w:rFonts w:ascii="Times New Roman" w:hAnsi="Times New Roman" w:eastAsia="宋体" w:cs="宋体"/>
                <w:color w:val="000000"/>
                <w:kern w:val="0"/>
                <w:szCs w:val="21"/>
              </w:rPr>
            </w:pPr>
            <w:bookmarkStart w:id="19" w:name="RANGE!D42"/>
            <w:r>
              <w:rPr>
                <w:rFonts w:hint="eastAsia" w:ascii="Times New Roman" w:hAnsi="Times New Roman" w:eastAsia="宋体" w:cs="宋体"/>
                <w:color w:val="000000"/>
                <w:kern w:val="0"/>
                <w:szCs w:val="21"/>
              </w:rPr>
              <w:t>固体废物环境污染刑事案件立案率★</w:t>
            </w:r>
            <w:bookmarkEnd w:id="19"/>
          </w:p>
        </w:tc>
        <w:tc>
          <w:tcPr>
            <w:tcW w:w="574" w:type="pct"/>
            <w:shd w:val="clear" w:color="auto" w:fill="auto"/>
            <w:vAlign w:val="center"/>
          </w:tcPr>
          <w:p w14:paraId="16F4155A">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100%</w:t>
            </w:r>
          </w:p>
          <w:p w14:paraId="6EB2C030">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w:t>
            </w:r>
            <w:r>
              <w:rPr>
                <w:rFonts w:ascii="Times New Roman" w:hAnsi="Times New Roman" w:eastAsia="宋体" w:cs="宋体"/>
                <w:color w:val="000000"/>
                <w:kern w:val="0"/>
                <w:szCs w:val="21"/>
              </w:rPr>
              <w:t>023</w:t>
            </w:r>
            <w:r>
              <w:rPr>
                <w:rFonts w:hint="eastAsia" w:ascii="Times New Roman" w:hAnsi="Times New Roman" w:eastAsia="宋体" w:cs="宋体"/>
                <w:color w:val="000000"/>
                <w:kern w:val="0"/>
                <w:szCs w:val="21"/>
              </w:rPr>
              <w:t>年）</w:t>
            </w:r>
          </w:p>
        </w:tc>
        <w:tc>
          <w:tcPr>
            <w:tcW w:w="574" w:type="pct"/>
            <w:shd w:val="clear" w:color="auto" w:fill="auto"/>
            <w:vAlign w:val="center"/>
          </w:tcPr>
          <w:p w14:paraId="0F9577E3">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100%</w:t>
            </w:r>
          </w:p>
        </w:tc>
        <w:tc>
          <w:tcPr>
            <w:tcW w:w="1003" w:type="pct"/>
            <w:shd w:val="clear" w:color="auto" w:fill="auto"/>
            <w:vAlign w:val="center"/>
          </w:tcPr>
          <w:p w14:paraId="7424FC74">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公安瑶海分局、区生态环境分局</w:t>
            </w:r>
          </w:p>
        </w:tc>
      </w:tr>
      <w:tr w14:paraId="3095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79F0C148">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2433EBEE">
            <w:pPr>
              <w:widowControl/>
              <w:jc w:val="center"/>
              <w:rPr>
                <w:rFonts w:ascii="Times New Roman" w:hAnsi="Times New Roman" w:eastAsia="宋体" w:cs="宋体"/>
                <w:color w:val="000000"/>
                <w:kern w:val="0"/>
                <w:szCs w:val="21"/>
              </w:rPr>
            </w:pPr>
          </w:p>
        </w:tc>
        <w:tc>
          <w:tcPr>
            <w:tcW w:w="451" w:type="pct"/>
            <w:vMerge w:val="continue"/>
            <w:vAlign w:val="center"/>
          </w:tcPr>
          <w:p w14:paraId="76EEDE34">
            <w:pPr>
              <w:widowControl/>
              <w:jc w:val="center"/>
              <w:rPr>
                <w:rFonts w:ascii="Times New Roman" w:hAnsi="Times New Roman" w:eastAsia="宋体" w:cs="宋体"/>
                <w:color w:val="000000"/>
                <w:kern w:val="0"/>
                <w:szCs w:val="21"/>
              </w:rPr>
            </w:pPr>
          </w:p>
        </w:tc>
        <w:tc>
          <w:tcPr>
            <w:tcW w:w="1681" w:type="pct"/>
            <w:shd w:val="clear" w:color="auto" w:fill="auto"/>
            <w:vAlign w:val="center"/>
          </w:tcPr>
          <w:p w14:paraId="44CF5B70">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医疗废物电子联单运行率☆</w:t>
            </w:r>
          </w:p>
        </w:tc>
        <w:tc>
          <w:tcPr>
            <w:tcW w:w="574" w:type="pct"/>
            <w:shd w:val="clear" w:color="auto" w:fill="auto"/>
            <w:vAlign w:val="center"/>
          </w:tcPr>
          <w:p w14:paraId="61F3BCE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w:t>
            </w:r>
          </w:p>
        </w:tc>
        <w:tc>
          <w:tcPr>
            <w:tcW w:w="574" w:type="pct"/>
            <w:shd w:val="clear" w:color="auto" w:fill="auto"/>
            <w:vAlign w:val="center"/>
          </w:tcPr>
          <w:p w14:paraId="38C37A40">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100%</w:t>
            </w:r>
          </w:p>
        </w:tc>
        <w:tc>
          <w:tcPr>
            <w:tcW w:w="1003" w:type="pct"/>
            <w:shd w:val="clear" w:color="auto" w:fill="auto"/>
            <w:vAlign w:val="center"/>
          </w:tcPr>
          <w:p w14:paraId="3E35CA0F">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区生态环境分局、区卫健委</w:t>
            </w:r>
          </w:p>
        </w:tc>
      </w:tr>
      <w:tr w14:paraId="6843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6FD02CC3">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205225E9">
            <w:pPr>
              <w:widowControl/>
              <w:jc w:val="center"/>
              <w:rPr>
                <w:rFonts w:ascii="Times New Roman" w:hAnsi="Times New Roman" w:eastAsia="宋体" w:cs="宋体"/>
                <w:color w:val="000000"/>
                <w:kern w:val="0"/>
                <w:szCs w:val="21"/>
              </w:rPr>
            </w:pPr>
          </w:p>
        </w:tc>
        <w:tc>
          <w:tcPr>
            <w:tcW w:w="451" w:type="pct"/>
            <w:vMerge w:val="continue"/>
            <w:vAlign w:val="center"/>
          </w:tcPr>
          <w:p w14:paraId="0A8512DF">
            <w:pPr>
              <w:widowControl/>
              <w:jc w:val="center"/>
              <w:rPr>
                <w:rFonts w:ascii="Times New Roman" w:hAnsi="Times New Roman" w:eastAsia="宋体" w:cs="宋体"/>
                <w:color w:val="000000"/>
                <w:kern w:val="0"/>
                <w:szCs w:val="21"/>
              </w:rPr>
            </w:pPr>
          </w:p>
        </w:tc>
        <w:tc>
          <w:tcPr>
            <w:tcW w:w="1681" w:type="pct"/>
            <w:shd w:val="clear" w:color="auto" w:fill="auto"/>
            <w:vAlign w:val="center"/>
          </w:tcPr>
          <w:p w14:paraId="2E31A378">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危险废物规范化环境管理评估合格率☆</w:t>
            </w:r>
          </w:p>
        </w:tc>
        <w:tc>
          <w:tcPr>
            <w:tcW w:w="574" w:type="pct"/>
            <w:shd w:val="clear" w:color="auto" w:fill="auto"/>
            <w:vAlign w:val="center"/>
          </w:tcPr>
          <w:p w14:paraId="4158FDBF">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w:t>
            </w:r>
            <w:r>
              <w:rPr>
                <w:rFonts w:ascii="Times New Roman" w:hAnsi="Times New Roman" w:eastAsia="宋体" w:cs="Times New Roman"/>
                <w:color w:val="000000"/>
                <w:kern w:val="0"/>
                <w:szCs w:val="21"/>
              </w:rPr>
              <w:t>5.7%</w:t>
            </w:r>
          </w:p>
        </w:tc>
        <w:tc>
          <w:tcPr>
            <w:tcW w:w="574" w:type="pct"/>
            <w:shd w:val="clear" w:color="auto" w:fill="auto"/>
            <w:vAlign w:val="center"/>
          </w:tcPr>
          <w:p w14:paraId="66D53074">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90</w:t>
            </w:r>
            <w:r>
              <w:rPr>
                <w:rFonts w:ascii="Times New Roman" w:hAnsi="Times New Roman" w:eastAsia="宋体" w:cs="Times New Roman"/>
                <w:color w:val="000000"/>
                <w:kern w:val="0"/>
                <w:szCs w:val="21"/>
              </w:rPr>
              <w:t>%</w:t>
            </w:r>
          </w:p>
        </w:tc>
        <w:tc>
          <w:tcPr>
            <w:tcW w:w="1003" w:type="pct"/>
            <w:shd w:val="clear" w:color="auto" w:fill="auto"/>
            <w:vAlign w:val="center"/>
          </w:tcPr>
          <w:p w14:paraId="1BB0CA07">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区生态环境分局</w:t>
            </w:r>
          </w:p>
        </w:tc>
      </w:tr>
      <w:tr w14:paraId="5B56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7614C21A">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restart"/>
            <w:shd w:val="clear" w:color="auto" w:fill="auto"/>
            <w:vAlign w:val="center"/>
          </w:tcPr>
          <w:p w14:paraId="156750D1">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群众获得感</w:t>
            </w:r>
          </w:p>
        </w:tc>
        <w:tc>
          <w:tcPr>
            <w:tcW w:w="451" w:type="pct"/>
            <w:vMerge w:val="restart"/>
            <w:shd w:val="clear" w:color="auto" w:fill="auto"/>
            <w:vAlign w:val="center"/>
          </w:tcPr>
          <w:p w14:paraId="37940EA9">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群众获得感</w:t>
            </w:r>
          </w:p>
        </w:tc>
        <w:tc>
          <w:tcPr>
            <w:tcW w:w="1681" w:type="pct"/>
            <w:shd w:val="clear" w:color="auto" w:fill="auto"/>
            <w:vAlign w:val="center"/>
          </w:tcPr>
          <w:p w14:paraId="46032DBB">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“无废城市”建设宣传教育培训普及率</w:t>
            </w:r>
          </w:p>
        </w:tc>
        <w:tc>
          <w:tcPr>
            <w:tcW w:w="574" w:type="pct"/>
            <w:shd w:val="clear" w:color="auto" w:fill="auto"/>
            <w:vAlign w:val="center"/>
          </w:tcPr>
          <w:p w14:paraId="02FE2B97">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p>
        </w:tc>
        <w:tc>
          <w:tcPr>
            <w:tcW w:w="574" w:type="pct"/>
            <w:shd w:val="clear" w:color="auto" w:fill="auto"/>
            <w:vAlign w:val="center"/>
          </w:tcPr>
          <w:p w14:paraId="48AA8195">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≥9</w:t>
            </w:r>
            <w:r>
              <w:rPr>
                <w:rFonts w:ascii="Times New Roman" w:hAnsi="Times New Roman" w:eastAsia="宋体" w:cs="Times New Roman"/>
                <w:color w:val="000000"/>
                <w:kern w:val="0"/>
                <w:szCs w:val="21"/>
              </w:rPr>
              <w:t>0%</w:t>
            </w:r>
          </w:p>
        </w:tc>
        <w:tc>
          <w:tcPr>
            <w:tcW w:w="1003" w:type="pct"/>
            <w:shd w:val="clear" w:color="auto" w:fill="auto"/>
            <w:vAlign w:val="center"/>
          </w:tcPr>
          <w:p w14:paraId="5039FAC8">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“无废城市”建设联席会议成员单位及建设工作专班</w:t>
            </w:r>
          </w:p>
        </w:tc>
      </w:tr>
      <w:tr w14:paraId="2209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291EE936">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21E586A6">
            <w:pPr>
              <w:widowControl/>
              <w:jc w:val="center"/>
              <w:rPr>
                <w:rFonts w:ascii="Times New Roman" w:hAnsi="Times New Roman" w:eastAsia="宋体" w:cs="宋体"/>
                <w:color w:val="000000"/>
                <w:kern w:val="0"/>
                <w:szCs w:val="21"/>
              </w:rPr>
            </w:pPr>
          </w:p>
        </w:tc>
        <w:tc>
          <w:tcPr>
            <w:tcW w:w="451" w:type="pct"/>
            <w:vMerge w:val="continue"/>
            <w:vAlign w:val="center"/>
          </w:tcPr>
          <w:p w14:paraId="7D6B5376">
            <w:pPr>
              <w:widowControl/>
              <w:jc w:val="center"/>
              <w:rPr>
                <w:rFonts w:ascii="Times New Roman" w:hAnsi="Times New Roman" w:eastAsia="宋体" w:cs="宋体"/>
                <w:color w:val="000000"/>
                <w:kern w:val="0"/>
                <w:szCs w:val="21"/>
              </w:rPr>
            </w:pPr>
          </w:p>
        </w:tc>
        <w:tc>
          <w:tcPr>
            <w:tcW w:w="1681" w:type="pct"/>
            <w:shd w:val="clear" w:color="auto" w:fill="auto"/>
            <w:vAlign w:val="center"/>
          </w:tcPr>
          <w:p w14:paraId="196DC8CF">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政府、企事业单位、非政府环境组织、公众对“无废城市”建设的参与程度</w:t>
            </w:r>
          </w:p>
        </w:tc>
        <w:tc>
          <w:tcPr>
            <w:tcW w:w="574" w:type="pct"/>
            <w:shd w:val="clear" w:color="auto" w:fill="auto"/>
            <w:vAlign w:val="center"/>
          </w:tcPr>
          <w:p w14:paraId="23BD7941">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p>
        </w:tc>
        <w:tc>
          <w:tcPr>
            <w:tcW w:w="574" w:type="pct"/>
            <w:shd w:val="clear" w:color="auto" w:fill="auto"/>
            <w:vAlign w:val="center"/>
          </w:tcPr>
          <w:p w14:paraId="022FD9D9">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≥9</w:t>
            </w:r>
            <w:r>
              <w:rPr>
                <w:rFonts w:ascii="Times New Roman" w:hAnsi="Times New Roman" w:eastAsia="宋体" w:cs="Times New Roman"/>
                <w:color w:val="000000"/>
                <w:kern w:val="0"/>
                <w:szCs w:val="21"/>
              </w:rPr>
              <w:t>0%</w:t>
            </w:r>
          </w:p>
        </w:tc>
        <w:tc>
          <w:tcPr>
            <w:tcW w:w="1003" w:type="pct"/>
            <w:shd w:val="clear" w:color="auto" w:fill="auto"/>
            <w:vAlign w:val="center"/>
          </w:tcPr>
          <w:p w14:paraId="00C5097E">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“无废城市”建设联席会议成员单位及建设工作专班</w:t>
            </w:r>
          </w:p>
        </w:tc>
      </w:tr>
      <w:tr w14:paraId="704C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46" w:type="pct"/>
            <w:shd w:val="clear" w:color="auto" w:fill="auto"/>
            <w:vAlign w:val="center"/>
          </w:tcPr>
          <w:p w14:paraId="6C495179">
            <w:pPr>
              <w:pStyle w:val="18"/>
              <w:widowControl/>
              <w:numPr>
                <w:ilvl w:val="0"/>
                <w:numId w:val="1"/>
              </w:numPr>
              <w:ind w:firstLineChars="0"/>
              <w:jc w:val="center"/>
              <w:rPr>
                <w:rFonts w:ascii="Times New Roman" w:hAnsi="Times New Roman" w:eastAsia="宋体" w:cs="Times New Roman"/>
                <w:color w:val="000000"/>
                <w:kern w:val="0"/>
                <w:szCs w:val="21"/>
              </w:rPr>
            </w:pPr>
          </w:p>
        </w:tc>
        <w:tc>
          <w:tcPr>
            <w:tcW w:w="471" w:type="pct"/>
            <w:vMerge w:val="continue"/>
            <w:vAlign w:val="center"/>
          </w:tcPr>
          <w:p w14:paraId="53C77A97">
            <w:pPr>
              <w:widowControl/>
              <w:jc w:val="center"/>
              <w:rPr>
                <w:rFonts w:ascii="Times New Roman" w:hAnsi="Times New Roman" w:eastAsia="宋体" w:cs="宋体"/>
                <w:color w:val="000000"/>
                <w:kern w:val="0"/>
                <w:szCs w:val="21"/>
              </w:rPr>
            </w:pPr>
          </w:p>
        </w:tc>
        <w:tc>
          <w:tcPr>
            <w:tcW w:w="451" w:type="pct"/>
            <w:vMerge w:val="continue"/>
            <w:vAlign w:val="center"/>
          </w:tcPr>
          <w:p w14:paraId="26B6DD2E">
            <w:pPr>
              <w:widowControl/>
              <w:jc w:val="center"/>
              <w:rPr>
                <w:rFonts w:ascii="Times New Roman" w:hAnsi="Times New Roman" w:eastAsia="宋体" w:cs="宋体"/>
                <w:color w:val="000000"/>
                <w:kern w:val="0"/>
                <w:szCs w:val="21"/>
              </w:rPr>
            </w:pPr>
          </w:p>
        </w:tc>
        <w:tc>
          <w:tcPr>
            <w:tcW w:w="1681" w:type="pct"/>
            <w:shd w:val="clear" w:color="auto" w:fill="auto"/>
            <w:vAlign w:val="center"/>
          </w:tcPr>
          <w:p w14:paraId="504FFDE2">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公众对“无废城市”建设成效的满意程度★</w:t>
            </w:r>
          </w:p>
        </w:tc>
        <w:tc>
          <w:tcPr>
            <w:tcW w:w="574" w:type="pct"/>
            <w:shd w:val="clear" w:color="auto" w:fill="auto"/>
            <w:vAlign w:val="center"/>
          </w:tcPr>
          <w:p w14:paraId="27CBAE94">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w:t>
            </w:r>
          </w:p>
        </w:tc>
        <w:tc>
          <w:tcPr>
            <w:tcW w:w="574" w:type="pct"/>
            <w:shd w:val="clear" w:color="auto" w:fill="auto"/>
            <w:vAlign w:val="center"/>
          </w:tcPr>
          <w:p w14:paraId="19661F33">
            <w:pPr>
              <w:widowControl/>
              <w:jc w:val="center"/>
              <w:rPr>
                <w:rFonts w:ascii="Times New Roman" w:hAnsi="Times New Roman" w:eastAsia="宋体" w:cs="宋体"/>
                <w:color w:val="000000"/>
                <w:kern w:val="0"/>
                <w:szCs w:val="21"/>
              </w:rPr>
            </w:pPr>
            <w:r>
              <w:rPr>
                <w:rFonts w:hint="eastAsia" w:ascii="Times New Roman" w:hAnsi="Times New Roman" w:eastAsia="宋体" w:cs="Times New Roman"/>
                <w:color w:val="000000"/>
                <w:kern w:val="0"/>
                <w:szCs w:val="21"/>
              </w:rPr>
              <w:t>≥9</w:t>
            </w:r>
            <w:r>
              <w:rPr>
                <w:rFonts w:ascii="Times New Roman" w:hAnsi="Times New Roman" w:eastAsia="宋体" w:cs="Times New Roman"/>
                <w:color w:val="000000"/>
                <w:kern w:val="0"/>
                <w:szCs w:val="21"/>
              </w:rPr>
              <w:t>0%</w:t>
            </w:r>
          </w:p>
        </w:tc>
        <w:tc>
          <w:tcPr>
            <w:tcW w:w="1003" w:type="pct"/>
            <w:shd w:val="clear" w:color="auto" w:fill="auto"/>
            <w:vAlign w:val="center"/>
          </w:tcPr>
          <w:p w14:paraId="7DC7AD35">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“无废城市”建设联席会议成员单位及建设工作专班</w:t>
            </w:r>
          </w:p>
        </w:tc>
      </w:tr>
    </w:tbl>
    <w:p w14:paraId="4A2405D6">
      <w:pPr>
        <w:spacing w:line="360" w:lineRule="auto"/>
        <w:ind w:firstLine="723" w:firstLineChars="200"/>
        <w:rPr>
          <w:rFonts w:ascii="Times New Roman" w:hAnsi="Times New Roman" w:eastAsia="黑体"/>
          <w:b/>
          <w:bCs/>
          <w:sz w:val="36"/>
          <w:szCs w:val="36"/>
        </w:rPr>
        <w:sectPr>
          <w:pgSz w:w="16838" w:h="11906" w:orient="landscape"/>
          <w:pgMar w:top="1800" w:right="1440" w:bottom="1800" w:left="1440" w:header="851" w:footer="992" w:gutter="0"/>
          <w:cols w:space="425" w:num="1"/>
          <w:docGrid w:type="lines" w:linePitch="312" w:charSpace="0"/>
        </w:sectPr>
      </w:pPr>
    </w:p>
    <w:p w14:paraId="4FB2BAD9">
      <w:pPr>
        <w:pStyle w:val="25"/>
      </w:pPr>
      <w:bookmarkStart w:id="20" w:name="_Toc155617294"/>
      <w:r>
        <w:rPr>
          <w:rFonts w:hint="eastAsia"/>
        </w:rPr>
        <w:t>四、重点任务</w:t>
      </w:r>
      <w:bookmarkEnd w:id="20"/>
    </w:p>
    <w:p w14:paraId="12D6B355">
      <w:pPr>
        <w:pStyle w:val="23"/>
        <w:spacing w:before="156" w:after="156"/>
        <w:ind w:firstLine="640"/>
      </w:pPr>
      <w:bookmarkStart w:id="21" w:name="_Toc155617295"/>
      <w:r>
        <w:rPr>
          <w:rFonts w:hint="eastAsia"/>
        </w:rPr>
        <w:t>（一）坚持创新引领，</w:t>
      </w:r>
      <w:r>
        <w:t>健全一般工业固废全过程治理体系</w:t>
      </w:r>
      <w:bookmarkEnd w:id="21"/>
    </w:p>
    <w:p w14:paraId="520C9CD5">
      <w:pPr>
        <w:pStyle w:val="21"/>
        <w:ind w:firstLine="640"/>
      </w:pPr>
      <w:r>
        <w:rPr>
          <w:rFonts w:hint="eastAsia"/>
        </w:rPr>
        <w:t>坚持系统推进、</w:t>
      </w:r>
      <w:r>
        <w:t>重点突破、整体提升，健全一般工业固体废物全过程治理体系，推进源头减量、拓宽利用渠道、规范贮存处置</w:t>
      </w:r>
      <w:r>
        <w:rPr>
          <w:rFonts w:hint="eastAsia"/>
        </w:rPr>
        <w:t>，加快实现瑶海产业转型升级，打造循环经济产业链条，提升工业绿色化和高质量发展水平。</w:t>
      </w:r>
    </w:p>
    <w:p w14:paraId="334333B5">
      <w:pPr>
        <w:pStyle w:val="33"/>
        <w:numPr>
          <w:ilvl w:val="0"/>
          <w:numId w:val="2"/>
        </w:numPr>
        <w:spacing w:before="156" w:after="156"/>
        <w:ind w:left="0" w:firstLine="643"/>
      </w:pPr>
      <w:bookmarkStart w:id="22" w:name="_Toc155617296"/>
      <w:r>
        <w:t>加快全行业绿色</w:t>
      </w:r>
      <w:r>
        <w:rPr>
          <w:rFonts w:hint="eastAsia"/>
        </w:rPr>
        <w:t>转型发展</w:t>
      </w:r>
      <w:r>
        <w:t>，大力推进源头减量</w:t>
      </w:r>
      <w:bookmarkEnd w:id="22"/>
    </w:p>
    <w:p w14:paraId="5B3A43CC">
      <w:pPr>
        <w:pStyle w:val="21"/>
        <w:numPr>
          <w:ilvl w:val="1"/>
          <w:numId w:val="3"/>
        </w:numPr>
        <w:ind w:left="0" w:firstLine="640"/>
      </w:pPr>
      <w:r>
        <w:rPr>
          <w:rFonts w:hint="eastAsia"/>
        </w:rPr>
        <w:t>加快传统优势产业减废增效。严格按照《产业结构调整指导目录》，执行落后、过剩产能淘汰标准，</w:t>
      </w:r>
      <w:r>
        <w:t>加快淘汰落后工艺技术与设备，鼓励企业开展技术改造。</w:t>
      </w:r>
      <w:r>
        <w:rPr>
          <w:rFonts w:hint="eastAsia"/>
        </w:rPr>
        <w:t>充分发挥“三线一单”对重点行业、重点区域的环境准入约束作用，动态更新产业结构调整负面清单，坚决遏制高耗能、高排放、低水平项目盲目发展。积极推行区域、规划环境影响评价，新、改、扩建建设项目的环境影响评价，应满足区域、规划环评要求。加快重污染企业搬迁改造或关闭退出，建立“散乱污”企业动态管理机制，防治已取缔的“散乱污”企业异地转移。针对瑶海区固体废物产废行业分布和产废单位种类，定期组织重点行业企业专项检查行动，</w:t>
      </w:r>
      <w:r>
        <w:t>推动传统优势产业减废增效。到2025年，一般工业固体废物产生强度</w:t>
      </w:r>
      <w:r>
        <w:rPr>
          <w:rFonts w:hint="eastAsia"/>
        </w:rPr>
        <w:t>不高于</w:t>
      </w:r>
      <w:r>
        <w:t>0.208吨/万元。（责任单位：</w:t>
      </w:r>
      <w:r>
        <w:rPr>
          <w:rFonts w:hint="eastAsia"/>
        </w:rPr>
        <w:t>区</w:t>
      </w:r>
      <w:r>
        <w:t>经信局、区发改委、区生态环境分局</w:t>
      </w:r>
      <w:r>
        <w:rPr>
          <w:rFonts w:hint="eastAsia"/>
        </w:rPr>
        <w:t>，各街道办事处、镇</w:t>
      </w:r>
      <w:r>
        <w:t>人民政府、开发区管委会。以下均需</w:t>
      </w:r>
      <w:r>
        <w:rPr>
          <w:rFonts w:hint="eastAsia"/>
        </w:rPr>
        <w:t>各街道办事处、镇</w:t>
      </w:r>
      <w:r>
        <w:t>人民政府、开发区管委会落实，不再列出）</w:t>
      </w:r>
    </w:p>
    <w:p w14:paraId="1019B2E8">
      <w:pPr>
        <w:pStyle w:val="21"/>
        <w:numPr>
          <w:ilvl w:val="1"/>
          <w:numId w:val="3"/>
        </w:numPr>
        <w:ind w:left="0" w:firstLine="640"/>
      </w:pPr>
      <w:r>
        <w:rPr>
          <w:rFonts w:hint="eastAsia"/>
        </w:rPr>
        <w:t>加快建设现代化产业体系。以产业绿色低碳发展为导向，以合肥东部新中心、瑶海中部新中心及“一谷三基地”为重大平台，充分发挥数字经济的穿透力和现代服务业的支撑力，大力发展战新产业和未来产业，改造提升传统高能耗产业，渗透推动产业绿色转型，积极开展绿色工厂、“无废工厂”创建。充分发挥数字赋能传统产业转型升级作用，加快推动传统经济向数字经济转变。鼓励白马等专业市场整合资源，打造以智能互联为生态的产业链服务平台，提供全方位数字生态服务；引导客来福家居等为代表的制造企业，打造智能供应链管控平台。以产业生态融合和绿色服务平台建设为重点，实现传统产业动能转换，夯实绿色产业动能结构。（责任单位：区发改委、区</w:t>
      </w:r>
      <w:r>
        <w:t>经信局</w:t>
      </w:r>
      <w:r>
        <w:rPr>
          <w:rFonts w:hint="eastAsia"/>
        </w:rPr>
        <w:t>、区市场监管局、</w:t>
      </w:r>
      <w:r>
        <w:t>区生态环境分局</w:t>
      </w:r>
      <w:r>
        <w:rPr>
          <w:rFonts w:hint="eastAsia"/>
        </w:rPr>
        <w:t>）</w:t>
      </w:r>
    </w:p>
    <w:p w14:paraId="56E1E928">
      <w:pPr>
        <w:pStyle w:val="21"/>
        <w:numPr>
          <w:ilvl w:val="1"/>
          <w:numId w:val="3"/>
        </w:numPr>
        <w:ind w:left="0" w:firstLine="640"/>
      </w:pPr>
      <w:r>
        <w:rPr>
          <w:rFonts w:hint="eastAsia"/>
        </w:rPr>
        <w:t>强化实施清洁生产审核制度。加强重点行业企业强制性清洁生产审核监</w:t>
      </w:r>
      <w:r>
        <w:t>督，将审核结果纳入企业环境信用评价和环境信息强制性披露范围</w:t>
      </w:r>
      <w:r>
        <w:rPr>
          <w:rFonts w:hint="eastAsia"/>
        </w:rPr>
        <w:t>，促使企业合理选择原材料、能源及其他资源，采用先进的生产工艺和设备，减少工业固体废物的产生量和危害性</w:t>
      </w:r>
      <w:r>
        <w:t>。</w:t>
      </w:r>
      <w:r>
        <w:rPr>
          <w:rFonts w:hint="eastAsia"/>
        </w:rPr>
        <w:t>鼓励</w:t>
      </w:r>
      <w:r>
        <w:t>开展第三方清洁生产审核服务，支持规模以上企业按照国家鼓励的清洁生产技术、工艺、设备和产品导向目录自愿实施清洁生产，对当年列入省级计划并通过审核验</w:t>
      </w:r>
      <w:r>
        <w:rPr>
          <w:rFonts w:hint="eastAsia"/>
        </w:rPr>
        <w:t>收的企业予以奖励。</w:t>
      </w:r>
      <w:r>
        <w:t>到2025年底，</w:t>
      </w:r>
      <w:r>
        <w:rPr>
          <w:rFonts w:hint="eastAsia"/>
        </w:rPr>
        <w:t>重</w:t>
      </w:r>
      <w:r>
        <w:t>点行业企业强制性清洁生产审核率</w:t>
      </w:r>
      <w:r>
        <w:rPr>
          <w:rFonts w:hint="eastAsia"/>
        </w:rPr>
        <w:t>保持</w:t>
      </w:r>
      <w:r>
        <w:t>100%。</w:t>
      </w:r>
      <w:r>
        <w:rPr>
          <w:rFonts w:hint="eastAsia"/>
        </w:rPr>
        <w:t>（</w:t>
      </w:r>
      <w:r>
        <w:t>责任单位：区生态环境分局、</w:t>
      </w:r>
      <w:r>
        <w:rPr>
          <w:rFonts w:hint="eastAsia"/>
        </w:rPr>
        <w:t>区</w:t>
      </w:r>
      <w:r>
        <w:t>经信局）</w:t>
      </w:r>
    </w:p>
    <w:p w14:paraId="2F7C03D0">
      <w:pPr>
        <w:pStyle w:val="33"/>
        <w:numPr>
          <w:ilvl w:val="0"/>
          <w:numId w:val="2"/>
        </w:numPr>
        <w:spacing w:beforeLines="0" w:afterLines="0"/>
        <w:ind w:left="0" w:firstLine="643"/>
      </w:pPr>
      <w:bookmarkStart w:id="23" w:name="_Toc155617297"/>
      <w:r>
        <w:rPr>
          <w:rFonts w:hint="eastAsia"/>
        </w:rPr>
        <w:t>强化资源化利用创新示范，</w:t>
      </w:r>
      <w:r>
        <w:t>拓宽综合利用渠道</w:t>
      </w:r>
      <w:bookmarkEnd w:id="23"/>
    </w:p>
    <w:p w14:paraId="6EEB1E8D">
      <w:pPr>
        <w:pStyle w:val="21"/>
        <w:numPr>
          <w:ilvl w:val="1"/>
          <w:numId w:val="3"/>
        </w:numPr>
        <w:ind w:left="0" w:firstLine="640"/>
      </w:pPr>
      <w:r>
        <w:rPr>
          <w:rFonts w:hint="eastAsia"/>
        </w:rPr>
        <w:t>提升工业固体废物综合利用质效。加大力度</w:t>
      </w:r>
      <w:r>
        <w:t>研发工业资源综合利用产业</w:t>
      </w:r>
      <w:r>
        <w:rPr>
          <w:rFonts w:hint="eastAsia"/>
        </w:rPr>
        <w:t>的</w:t>
      </w:r>
      <w:r>
        <w:t>关键基础材料和基础工艺</w:t>
      </w:r>
      <w:r>
        <w:rPr>
          <w:rFonts w:hint="eastAsia"/>
        </w:rPr>
        <w:t>，促进综合利用产业规范化、</w:t>
      </w:r>
      <w:r>
        <w:t>绿色化、规模化发展。</w:t>
      </w:r>
      <w:r>
        <w:rPr>
          <w:rFonts w:hint="eastAsia"/>
        </w:rPr>
        <w:t>打造“无废”</w:t>
      </w:r>
      <w:r>
        <w:t>循环产业链，引导产业链上下游企业协同联动发展，拓宽资源化利用产品市场出路。鼓励行业制定固体废物综合利用标准，积极开展标准化</w:t>
      </w:r>
      <w:r>
        <w:rPr>
          <w:rFonts w:hint="eastAsia"/>
        </w:rPr>
        <w:t>良好行为企业认证，建立健全企业标准化总监制度。加强工业固体废物综合利用监管，对电子废物、废轮胎、废塑料等再生利用活动清理整顿，引导有关企业采用先进适用加工工艺、集聚发展，集中建设和运营污染治理设施，减少二次污染。</w:t>
      </w:r>
      <w:r>
        <w:t>到2025年，一般工业固体废物综合利用率达到85%。（责任单位：区生态环境分局</w:t>
      </w:r>
      <w:r>
        <w:rPr>
          <w:rFonts w:hint="eastAsia"/>
        </w:rPr>
        <w:t>、区</w:t>
      </w:r>
      <w:r>
        <w:t>经信局）</w:t>
      </w:r>
    </w:p>
    <w:p w14:paraId="7BC9ED98">
      <w:pPr>
        <w:pStyle w:val="33"/>
        <w:numPr>
          <w:ilvl w:val="0"/>
          <w:numId w:val="2"/>
        </w:numPr>
        <w:spacing w:beforeLines="0" w:afterLines="0"/>
        <w:ind w:left="0" w:firstLine="643"/>
      </w:pPr>
      <w:bookmarkStart w:id="24" w:name="_Toc155617298"/>
      <w:r>
        <w:rPr>
          <w:rFonts w:hint="eastAsia"/>
        </w:rPr>
        <w:t>加强无害化贮存处置管理，</w:t>
      </w:r>
      <w:r>
        <w:t>防范环境污染风险</w:t>
      </w:r>
      <w:bookmarkEnd w:id="24"/>
    </w:p>
    <w:p w14:paraId="25BFBDFD">
      <w:pPr>
        <w:pStyle w:val="21"/>
        <w:numPr>
          <w:ilvl w:val="1"/>
          <w:numId w:val="3"/>
        </w:numPr>
        <w:ind w:left="0" w:firstLine="640"/>
      </w:pPr>
      <w:r>
        <w:rPr>
          <w:rFonts w:hint="eastAsia"/>
        </w:rPr>
        <w:t>规范工业固废全过程监管。落实《合肥市一般工业固废收集转运利用处置工作方案》，全面排查产废企</w:t>
      </w:r>
      <w:r>
        <w:t>业信息，掌握一般工业固废种类、产生、贮存、利用和处置情况。督促企业对照国家固体废物分类目录，</w:t>
      </w:r>
      <w:r>
        <w:rPr>
          <w:rFonts w:hint="eastAsia"/>
        </w:rPr>
        <w:t>严格落实</w:t>
      </w:r>
      <w:r>
        <w:t>一般工业固废管理台账</w:t>
      </w:r>
      <w:r>
        <w:rPr>
          <w:rFonts w:hint="eastAsia"/>
        </w:rPr>
        <w:t>制度</w:t>
      </w:r>
      <w:r>
        <w:t>，</w:t>
      </w:r>
      <w:r>
        <w:rPr>
          <w:rFonts w:hint="eastAsia"/>
        </w:rPr>
        <w:t>年产一般工业固废</w:t>
      </w:r>
      <w:r>
        <w:t>20吨及以上的单位</w:t>
      </w:r>
      <w:r>
        <w:rPr>
          <w:rFonts w:hint="eastAsia"/>
        </w:rPr>
        <w:t>逐步</w:t>
      </w:r>
      <w:r>
        <w:t>在安徽省固体废物管理信息系统注册，并落实转移备案（审批）以及申报登记，做到可追溯、可查询。</w:t>
      </w:r>
      <w:r>
        <w:rPr>
          <w:rFonts w:hint="eastAsia"/>
        </w:rPr>
        <w:t>积极探索一般工业固体废物收转运体系建设，充分发挥第三方专业机构的作用，加快构建精准分类、专业分拣、高效清运、资源利用、统一处置的模式。鼓励按照就近原则将一般工业固废交给本市具有主体资格和技术能力的单位利用处置，减少运输环境风险。</w:t>
      </w:r>
      <w:r>
        <w:t>（</w:t>
      </w:r>
      <w:r>
        <w:rPr>
          <w:rFonts w:hint="eastAsia"/>
        </w:rPr>
        <w:t>责任单位：</w:t>
      </w:r>
      <w:r>
        <w:t>区生态环境分局</w:t>
      </w:r>
      <w:r>
        <w:rPr>
          <w:rFonts w:hint="eastAsia"/>
        </w:rPr>
        <w:t>）</w:t>
      </w:r>
    </w:p>
    <w:p w14:paraId="17A690F5">
      <w:pPr>
        <w:pStyle w:val="21"/>
        <w:ind w:firstLine="640"/>
      </w:pPr>
      <w:r>
        <w:rPr>
          <w:rFonts w:hint="eastAsia"/>
        </w:rPr>
        <w:t>全面整治工业副产粉煤灰、炉渣、污泥等固体废物的堆存场所，强化防扬散、防流失、防渗漏等设施管控，进一步强化</w:t>
      </w:r>
      <w:r>
        <w:t>环境风险隐患排查整治，做好跟踪检查和成效评估</w:t>
      </w:r>
      <w:r>
        <w:rPr>
          <w:rFonts w:hint="eastAsia"/>
        </w:rPr>
        <w:t>。督促产废单位规范一般工业固体废物去向管理，指导产废单位通过查验资料、现场勘察等形式，对受委托方的技术能力、工艺设施、环境管理水平进行综合评估、择优选择，避免将一般工业固体废物一包了之、一转了之</w:t>
      </w:r>
      <w:r>
        <w:t>。</w:t>
      </w:r>
      <w:r>
        <w:rPr>
          <w:rFonts w:hint="eastAsia"/>
        </w:rPr>
        <w:t>制定一般工业固体废物规范化环境管理评</w:t>
      </w:r>
      <w:r>
        <w:t>估方案，强化评估结果应用。</w:t>
      </w:r>
      <w:r>
        <w:rPr>
          <w:rFonts w:hint="eastAsia"/>
        </w:rPr>
        <w:t>开展工业固废排查整治“回头看”</w:t>
      </w:r>
      <w:r>
        <w:t>和历史遗留问题</w:t>
      </w:r>
      <w:r>
        <w:rPr>
          <w:rFonts w:hint="eastAsia"/>
        </w:rPr>
        <w:t>“大走访”，以问题整改进度和质量为</w:t>
      </w:r>
      <w:r>
        <w:t>重点，开展现场核实、逐一销号。（</w:t>
      </w:r>
      <w:r>
        <w:rPr>
          <w:rFonts w:hint="eastAsia"/>
        </w:rPr>
        <w:t>责任单位：</w:t>
      </w:r>
      <w:r>
        <w:t>区生态环境分局）</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7B4C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38360AF7">
            <w:pPr>
              <w:pStyle w:val="21"/>
              <w:ind w:firstLine="0" w:firstLineChars="0"/>
              <w:jc w:val="center"/>
              <w:rPr>
                <w:rFonts w:eastAsia="华文中宋"/>
              </w:rPr>
            </w:pPr>
            <w:r>
              <w:rPr>
                <w:rFonts w:hint="eastAsia" w:eastAsia="华文中宋"/>
              </w:rPr>
              <w:t>专栏1</w:t>
            </w:r>
            <w:r>
              <w:rPr>
                <w:rFonts w:eastAsia="华文中宋"/>
              </w:rPr>
              <w:t xml:space="preserve"> </w:t>
            </w:r>
            <w:r>
              <w:rPr>
                <w:rFonts w:hint="eastAsia" w:eastAsia="华文中宋"/>
              </w:rPr>
              <w:t>战新产业绿色低碳循环发展模式</w:t>
            </w:r>
          </w:p>
          <w:p w14:paraId="166E5CAF">
            <w:pPr>
              <w:pStyle w:val="21"/>
              <w:ind w:firstLineChars="0"/>
              <w:rPr>
                <w:rFonts w:eastAsia="黑体"/>
              </w:rPr>
            </w:pPr>
            <w:r>
              <w:rPr>
                <w:rFonts w:hint="eastAsia" w:eastAsia="黑体"/>
              </w:rPr>
              <w:t>一、模式背景</w:t>
            </w:r>
          </w:p>
          <w:p w14:paraId="3FBCCA99">
            <w:pPr>
              <w:pStyle w:val="21"/>
              <w:ind w:firstLine="640"/>
            </w:pPr>
            <w:r>
              <w:rPr>
                <w:rFonts w:hint="eastAsia"/>
              </w:rPr>
              <w:t>近年来，瑶海区高举“产业立区”战略，着力打造资源消耗低、环境污染少、</w:t>
            </w:r>
            <w:r>
              <w:t>资源利用水平高的产业发展新格局</w:t>
            </w:r>
            <w:r>
              <w:rPr>
                <w:rFonts w:hint="eastAsia"/>
              </w:rPr>
              <w:t>。以老工业区转型发展示范区建设为契机，一手抓传统产业转型升级，一手抓新型产业发展壮大，坚持产业发展与环境保护并重，促进产业生态化、低碳化、高技术化，初步形成了战新产业绿色低碳循环发展模式。</w:t>
            </w:r>
          </w:p>
          <w:p w14:paraId="257DBD81">
            <w:pPr>
              <w:pStyle w:val="21"/>
              <w:ind w:firstLineChars="0"/>
              <w:rPr>
                <w:rFonts w:eastAsia="黑体"/>
              </w:rPr>
            </w:pPr>
            <w:r>
              <w:rPr>
                <w:rFonts w:hint="eastAsia" w:eastAsia="黑体"/>
              </w:rPr>
              <w:t>二、努力方向</w:t>
            </w:r>
          </w:p>
          <w:p w14:paraId="43DC364B">
            <w:pPr>
              <w:pStyle w:val="21"/>
              <w:ind w:firstLine="640"/>
            </w:pPr>
            <w:r>
              <w:rPr>
                <w:rFonts w:hint="eastAsia"/>
              </w:rPr>
              <w:t>一是推动绿色产业集约化发展。以有利于加强环境治理与生态环境保护、推动循环经济发展和可持续发展为方向，合理布局相应的产业聚集区。</w:t>
            </w:r>
            <w:r>
              <w:rPr>
                <w:rFonts w:hint="eastAsia" w:ascii="仿宋" w:hAnsi="仿宋"/>
              </w:rPr>
              <w:t>把建设资源节约、环境友好型产业集聚区作为加快东部新中心产业转型升级的着力点，大力发展低碳经济、循环经济，设定项目准入门槛，严格把关企业环保指标，禁止高耗能、高污染企业入驻，打造生态产业集群，实现绿色集约</w:t>
            </w:r>
            <w:r>
              <w:rPr>
                <w:rFonts w:hint="eastAsia"/>
              </w:rPr>
              <w:t>化</w:t>
            </w:r>
            <w:r>
              <w:rPr>
                <w:rFonts w:hint="eastAsia" w:ascii="仿宋" w:hAnsi="仿宋"/>
              </w:rPr>
              <w:t>发展。</w:t>
            </w:r>
          </w:p>
          <w:p w14:paraId="6F56AA5E">
            <w:pPr>
              <w:pStyle w:val="21"/>
              <w:ind w:firstLine="640"/>
            </w:pPr>
            <w:r>
              <w:rPr>
                <w:rFonts w:hint="eastAsia"/>
              </w:rPr>
              <w:t>二是围绕战新行业打造“四绿”制造体系。开发绿色设计产品，鼓励企业依据绿色设计产品标准清单，</w:t>
            </w:r>
            <w:r>
              <w:t>开发具有能源资源消耗最低</w:t>
            </w:r>
            <w:r>
              <w:rPr>
                <w:rFonts w:hint="eastAsia"/>
              </w:rPr>
              <w:t>化、</w:t>
            </w:r>
            <w:r>
              <w:t>生态环境影响最小化、可再生率最大化特点的绿色设计产品；依据《安徽省绿色工厂评价管理暂行办法》，培育一批</w:t>
            </w:r>
            <w:r>
              <w:rPr>
                <w:rFonts w:hint="eastAsia"/>
              </w:rPr>
              <w:t>安徽省绿色工厂，</w:t>
            </w:r>
            <w:r>
              <w:t>鼓励申报国家级绿色工厂</w:t>
            </w:r>
            <w:r>
              <w:rPr>
                <w:rFonts w:hint="eastAsia"/>
              </w:rPr>
              <w:t>；</w:t>
            </w:r>
            <w:r>
              <w:t>创建具备布局</w:t>
            </w:r>
            <w:r>
              <w:rPr>
                <w:rFonts w:hint="eastAsia"/>
              </w:rPr>
              <w:t>集聚化、</w:t>
            </w:r>
            <w:r>
              <w:t>结构绿色化、链接生态化等特色的绿色</w:t>
            </w:r>
            <w:r>
              <w:rPr>
                <w:rFonts w:hint="eastAsia"/>
              </w:rPr>
              <w:t>产业集群</w:t>
            </w:r>
            <w:r>
              <w:t>；建立以资源节约</w:t>
            </w:r>
            <w:r>
              <w:rPr>
                <w:rFonts w:hint="eastAsia"/>
              </w:rPr>
              <w:t>、</w:t>
            </w:r>
            <w:r>
              <w:t>环境友好为导向的采购、生产、营销、</w:t>
            </w:r>
            <w:r>
              <w:rPr>
                <w:rFonts w:hint="eastAsia"/>
              </w:rPr>
              <w:t>回收及物流体系，</w:t>
            </w:r>
            <w:r>
              <w:t>创建资源利用高效化、环境影响最小化、链上企业</w:t>
            </w:r>
            <w:r>
              <w:rPr>
                <w:rFonts w:hint="eastAsia"/>
              </w:rPr>
              <w:t>绿色化的绿色供应链管理企业。</w:t>
            </w:r>
          </w:p>
          <w:p w14:paraId="26112887">
            <w:pPr>
              <w:pStyle w:val="21"/>
              <w:ind w:firstLine="640"/>
            </w:pPr>
            <w:r>
              <w:rPr>
                <w:rFonts w:hint="eastAsia"/>
              </w:rPr>
              <w:t>三是推进战新行业固废资源利用。</w:t>
            </w:r>
            <w:r>
              <w:t>以绿色高质量发展为导向，</w:t>
            </w:r>
            <w:r>
              <w:rPr>
                <w:rFonts w:hint="eastAsia"/>
              </w:rPr>
              <w:t>深入推进“五高地一示范”建设，高质量建设人工智能、数字创意、物联网等新一代信息技术产业集群。推动战新行业企业主动开展生产工艺、</w:t>
            </w:r>
            <w:r>
              <w:t>清洁</w:t>
            </w:r>
            <w:r>
              <w:rPr>
                <w:rFonts w:hint="eastAsia"/>
              </w:rPr>
              <w:t>用能、</w:t>
            </w:r>
            <w:r>
              <w:t>污染治理设施改造，引领带动各行业绿色发展水平提升。引导</w:t>
            </w:r>
            <w:r>
              <w:rPr>
                <w:rFonts w:hint="eastAsia"/>
              </w:rPr>
              <w:t>有条件的战新行业企业开展固废资源利用技术和制度创新，</w:t>
            </w:r>
            <w:r>
              <w:t>推动固废</w:t>
            </w:r>
            <w:r>
              <w:rPr>
                <w:rFonts w:hint="eastAsia"/>
              </w:rPr>
              <w:t>深度循环利用，</w:t>
            </w:r>
            <w:r>
              <w:t>打造</w:t>
            </w:r>
            <w:r>
              <w:rPr>
                <w:rFonts w:hint="eastAsia"/>
              </w:rPr>
              <w:t>“无废”</w:t>
            </w:r>
            <w:r>
              <w:t>循环产业链。</w:t>
            </w:r>
          </w:p>
        </w:tc>
      </w:tr>
    </w:tbl>
    <w:p w14:paraId="503092DA">
      <w:pPr>
        <w:pStyle w:val="23"/>
        <w:spacing w:before="156" w:after="156"/>
        <w:ind w:firstLine="640"/>
      </w:pPr>
      <w:bookmarkStart w:id="25" w:name="_Toc155617299"/>
      <w:r>
        <w:rPr>
          <w:rFonts w:hint="eastAsia"/>
        </w:rPr>
        <w:t>（二</w:t>
      </w:r>
      <w:r>
        <w:t>）强化风险防范，提升危险废物监管和利用处置能力</w:t>
      </w:r>
      <w:bookmarkEnd w:id="25"/>
    </w:p>
    <w:p w14:paraId="727E8CEF">
      <w:pPr>
        <w:pStyle w:val="21"/>
        <w:ind w:firstLine="640"/>
      </w:pPr>
      <w:r>
        <w:rPr>
          <w:rFonts w:hint="eastAsia"/>
        </w:rPr>
        <w:t>坚持疏堵结合、</w:t>
      </w:r>
      <w:r>
        <w:t>先行先试、分步实施、联防联治原则，健全</w:t>
      </w:r>
      <w:r>
        <w:rPr>
          <w:rFonts w:hint="eastAsia"/>
        </w:rPr>
        <w:t>“源头严防、过程严管、后果严惩”</w:t>
      </w:r>
      <w:r>
        <w:t>的危险废物环境监管体系，全面提升危险废物利用处置能力，有效防范危险废物环境风险，切实维护生态环境安全</w:t>
      </w:r>
      <w:r>
        <w:rPr>
          <w:rFonts w:hint="eastAsia"/>
        </w:rPr>
        <w:t>。</w:t>
      </w:r>
    </w:p>
    <w:p w14:paraId="7BF1A18F">
      <w:pPr>
        <w:pStyle w:val="33"/>
        <w:numPr>
          <w:ilvl w:val="0"/>
          <w:numId w:val="4"/>
        </w:numPr>
        <w:spacing w:before="156" w:after="156"/>
        <w:ind w:firstLineChars="0"/>
      </w:pPr>
      <w:bookmarkStart w:id="26" w:name="_Toc155617300"/>
      <w:r>
        <w:rPr>
          <w:rFonts w:hint="eastAsia"/>
        </w:rPr>
        <w:t>加强信息化管理，</w:t>
      </w:r>
      <w:r>
        <w:t>全面提升环境监管能力</w:t>
      </w:r>
      <w:bookmarkEnd w:id="26"/>
    </w:p>
    <w:p w14:paraId="7FCFEB26">
      <w:pPr>
        <w:pStyle w:val="21"/>
        <w:numPr>
          <w:ilvl w:val="1"/>
          <w:numId w:val="3"/>
        </w:numPr>
        <w:ind w:left="0" w:firstLine="640"/>
      </w:pPr>
      <w:r>
        <w:rPr>
          <w:rFonts w:hint="eastAsia"/>
        </w:rPr>
        <w:t>推动危险废物源头减量。</w:t>
      </w:r>
      <w:r>
        <w:t>动态更新并发布危险废物重点监管源清单，纳入安徽省固体废物管理信息系统管理。深化危险废物规范化环境管理评估，</w:t>
      </w:r>
      <w:r>
        <w:rPr>
          <w:rFonts w:hint="eastAsia"/>
        </w:rPr>
        <w:t>将危险废物规范化环境管理情况纳入环境保护绩效考核的指标体系中，不断提高危险废物精细化管理水平，适当采取第三方购买服务的方式为评估工作提供技术支撑。</w:t>
      </w:r>
      <w:r>
        <w:t>依法审批涉危险废物新建项目环评，认真审查危险废物的种类、数量、去向及污染防治措施，对产生量大、危害性大以及利用处置难的项目严格环境准入。持续推进企业内部资</w:t>
      </w:r>
      <w:r>
        <w:rPr>
          <w:rFonts w:hint="eastAsia"/>
        </w:rPr>
        <w:t>源化利用危险废物，</w:t>
      </w:r>
      <w:r>
        <w:t>鼓励企业自行配套建设利用设施。引导企业选用无毒无害或者低毒低害的原料，通过源头</w:t>
      </w:r>
      <w:r>
        <w:rPr>
          <w:rFonts w:hint="eastAsia"/>
        </w:rPr>
        <w:t>替代、</w:t>
      </w:r>
      <w:r>
        <w:t>工艺改进和加强生产环节的环境管理，降低危险废物产生强度。到2025年，危险废物产生强度</w:t>
      </w:r>
      <w:r>
        <w:rPr>
          <w:rFonts w:hint="eastAsia"/>
        </w:rPr>
        <w:t>不高于</w:t>
      </w:r>
      <w:r>
        <w:t>0.0043吨/万元。</w:t>
      </w:r>
      <w:r>
        <w:rPr>
          <w:rFonts w:hint="eastAsia"/>
        </w:rPr>
        <w:t>运用视频监控、</w:t>
      </w:r>
      <w:r>
        <w:t>电子标签等智能监控手段，实现全过程信息化智慧化监管，通过小程序和皖事通实时运行危险废物、医疗废物电子转移联单。</w:t>
      </w:r>
      <w:r>
        <w:rPr>
          <w:rFonts w:hint="eastAsia"/>
        </w:rPr>
        <w:t>进一步加快危险废物管理机构建设，提高执法人员监管能力，完善危险废物产生、收集、贮存、转移、处置的全过程监管体系。</w:t>
      </w:r>
      <w:r>
        <w:t>（责任单位：区生态环境分局</w:t>
      </w:r>
      <w:r>
        <w:rPr>
          <w:rFonts w:hint="eastAsia"/>
        </w:rPr>
        <w:t>、区卫健委</w:t>
      </w:r>
      <w:r>
        <w:t>）</w:t>
      </w:r>
    </w:p>
    <w:p w14:paraId="65CBD970">
      <w:pPr>
        <w:pStyle w:val="33"/>
        <w:numPr>
          <w:ilvl w:val="0"/>
          <w:numId w:val="4"/>
        </w:numPr>
        <w:spacing w:before="156" w:after="156"/>
        <w:ind w:firstLineChars="0"/>
        <w:rPr>
          <w:color w:val="ED7D31" w:themeColor="accent2"/>
          <w14:textFill>
            <w14:solidFill>
              <w14:schemeClr w14:val="accent2"/>
            </w14:solidFill>
          </w14:textFill>
        </w:rPr>
      </w:pPr>
      <w:bookmarkStart w:id="27" w:name="_Toc155617301"/>
      <w:r>
        <w:rPr>
          <w:rFonts w:hint="eastAsia"/>
        </w:rPr>
        <w:t>推进全方位收运，严格危险废物安全处置</w:t>
      </w:r>
      <w:bookmarkEnd w:id="27"/>
    </w:p>
    <w:p w14:paraId="5861951F">
      <w:pPr>
        <w:pStyle w:val="21"/>
        <w:numPr>
          <w:ilvl w:val="1"/>
          <w:numId w:val="3"/>
        </w:numPr>
        <w:ind w:left="0" w:firstLine="640"/>
      </w:pPr>
      <w:r>
        <w:t>健全危险废物收集转运体系</w:t>
      </w:r>
      <w:r>
        <w:rPr>
          <w:rFonts w:hint="eastAsia"/>
        </w:rPr>
        <w:t>。全面推动中小微企业和社会源危险废物统一收运体系的稳定运行与健康发展，进一步完善服务体系，健全监管制度。</w:t>
      </w:r>
      <w:r>
        <w:t>持续开展废铅蓄电池集中收集和跨区域转运</w:t>
      </w:r>
      <w:r>
        <w:rPr>
          <w:rFonts w:hint="eastAsia"/>
        </w:rPr>
        <w:t>规范化监管</w:t>
      </w:r>
      <w:r>
        <w:t>，扩大收集网点规模，提高规范渠道收集率。建立健全医疗废物收集转运体系，</w:t>
      </w:r>
      <w:r>
        <w:rPr>
          <w:rFonts w:hint="eastAsia"/>
        </w:rPr>
        <w:t>支持现有医疗废物集中收集设施提质改造，</w:t>
      </w:r>
      <w:r>
        <w:t>构建全方位收运体系，</w:t>
      </w:r>
      <w:r>
        <w:rPr>
          <w:rFonts w:hint="eastAsia"/>
        </w:rPr>
        <w:t>杜绝医疗废物流失，</w:t>
      </w:r>
      <w:r>
        <w:t>确保医疗废物全收集、全处理。到2025年，医疗废物收集处置体系覆盖率保持100%。（责任单位：区生态环境分局、</w:t>
      </w:r>
      <w:r>
        <w:rPr>
          <w:rFonts w:hint="eastAsia"/>
        </w:rPr>
        <w:t>区</w:t>
      </w:r>
      <w:r>
        <w:t>卫健委）</w:t>
      </w:r>
    </w:p>
    <w:p w14:paraId="32A2B4A2">
      <w:pPr>
        <w:pStyle w:val="21"/>
        <w:numPr>
          <w:ilvl w:val="1"/>
          <w:numId w:val="3"/>
        </w:numPr>
        <w:ind w:left="0" w:firstLine="640"/>
      </w:pPr>
      <w:r>
        <w:rPr>
          <w:rFonts w:hint="eastAsia"/>
        </w:rPr>
        <w:t>优化危险废物利用处置结构。依托合肥市“无废城市”建设，加强区域联防联控联治，借助区外危险废物集中处理设施，促进危险废物规模化利用、无害化处置。鼓励</w:t>
      </w:r>
      <w:r>
        <w:t>产废单位高效匹配</w:t>
      </w:r>
      <w:r>
        <w:rPr>
          <w:rFonts w:hint="eastAsia"/>
        </w:rPr>
        <w:t>相关经营单位</w:t>
      </w:r>
      <w:r>
        <w:t>，引导产废单位自主选择，规范竞争秩序</w:t>
      </w:r>
      <w:r>
        <w:rPr>
          <w:rFonts w:hint="eastAsia"/>
        </w:rPr>
        <w:t>，在环节风险可控的前提下，</w:t>
      </w:r>
      <w:r>
        <w:t>提高资源利用效率、降低处置成本。探索建立危险废物</w:t>
      </w:r>
      <w:r>
        <w:rPr>
          <w:rFonts w:hint="eastAsia"/>
        </w:rPr>
        <w:t>重点监管单位</w:t>
      </w:r>
      <w:r>
        <w:t>绩效评估体系</w:t>
      </w:r>
      <w:r>
        <w:rPr>
          <w:rFonts w:hint="eastAsia"/>
        </w:rPr>
        <w:t>，</w:t>
      </w:r>
      <w:r>
        <w:t>支持企业加快新技术研发与应用。</w:t>
      </w:r>
      <w:r>
        <w:rPr>
          <w:rFonts w:hint="eastAsia"/>
        </w:rPr>
        <w:t>到</w:t>
      </w:r>
      <w:r>
        <w:t>2025年，工业危险废物综合利用率达到10%。（责任单位：</w:t>
      </w:r>
      <w:r>
        <w:rPr>
          <w:rFonts w:hint="eastAsia"/>
        </w:rPr>
        <w:t>区</w:t>
      </w:r>
      <w:r>
        <w:t>生态环境</w:t>
      </w:r>
      <w:r>
        <w:rPr>
          <w:rFonts w:hint="eastAsia"/>
        </w:rPr>
        <w:t>分</w:t>
      </w:r>
      <w:r>
        <w:t>局）</w:t>
      </w:r>
    </w:p>
    <w:p w14:paraId="26F873AF">
      <w:pPr>
        <w:pStyle w:val="33"/>
        <w:spacing w:before="156" w:after="156"/>
        <w:ind w:firstLine="643"/>
      </w:pPr>
      <w:bookmarkStart w:id="28" w:name="_Toc155617302"/>
      <w:r>
        <w:t>3. 实施精细化管理，切实提升风险防范能力</w:t>
      </w:r>
      <w:bookmarkEnd w:id="28"/>
    </w:p>
    <w:p w14:paraId="247AC955">
      <w:pPr>
        <w:pStyle w:val="21"/>
        <w:numPr>
          <w:ilvl w:val="1"/>
          <w:numId w:val="3"/>
        </w:numPr>
        <w:ind w:left="0" w:firstLine="640"/>
      </w:pPr>
      <w:r>
        <w:rPr>
          <w:rFonts w:hint="eastAsia"/>
        </w:rPr>
        <w:t>强化危险废物环境风险防控。结合瑶海区实际，对辖区内的汽车修理、印刷、医疗等主要危险废物产废单位进行全覆盖检查。加大力度整治汽车修理相关企业的</w:t>
      </w:r>
      <w:r>
        <w:t>环评手续和排污许可证落实</w:t>
      </w:r>
      <w:r>
        <w:rPr>
          <w:rFonts w:hint="eastAsia"/>
        </w:rPr>
        <w:t>及</w:t>
      </w:r>
      <w:r>
        <w:t>废机油</w:t>
      </w:r>
      <w:r>
        <w:rPr>
          <w:rFonts w:hint="eastAsia"/>
        </w:rPr>
        <w:t>等危险废物</w:t>
      </w:r>
      <w:r>
        <w:t>转移规范情况</w:t>
      </w:r>
      <w:r>
        <w:rPr>
          <w:rFonts w:hint="eastAsia"/>
        </w:rPr>
        <w:t>，</w:t>
      </w:r>
      <w:r>
        <w:t>督促印刷</w:t>
      </w:r>
      <w:r>
        <w:rPr>
          <w:rFonts w:hint="eastAsia"/>
        </w:rPr>
        <w:t>相关</w:t>
      </w:r>
      <w:r>
        <w:t>企业落实油墨桶</w:t>
      </w:r>
      <w:r>
        <w:rPr>
          <w:rFonts w:hint="eastAsia"/>
        </w:rPr>
        <w:t>等</w:t>
      </w:r>
      <w:r>
        <w:t>危险废物的转移联单制度</w:t>
      </w:r>
      <w:r>
        <w:rPr>
          <w:rFonts w:hint="eastAsia"/>
        </w:rPr>
        <w:t>，核查</w:t>
      </w:r>
      <w:r>
        <w:t>医疗</w:t>
      </w:r>
      <w:r>
        <w:rPr>
          <w:rFonts w:hint="eastAsia"/>
        </w:rPr>
        <w:t>机构固体</w:t>
      </w:r>
      <w:r>
        <w:t>废物无害化处理处置及医疗废物转移联单制度落实情况</w:t>
      </w:r>
      <w:r>
        <w:rPr>
          <w:rFonts w:hint="eastAsia"/>
        </w:rPr>
        <w:t>，</w:t>
      </w:r>
      <w:r>
        <w:t>规范医疗废物源头分类，因地制宜设置医疗废物暂存中转场所。依托</w:t>
      </w:r>
      <w:r>
        <w:rPr>
          <w:rFonts w:hint="eastAsia"/>
        </w:rPr>
        <w:t>安徽</w:t>
      </w:r>
      <w:r>
        <w:t>浩悦环境等危险废物利用处置</w:t>
      </w:r>
      <w:r>
        <w:rPr>
          <w:rFonts w:hint="eastAsia"/>
        </w:rPr>
        <w:t>和运输企业，</w:t>
      </w:r>
      <w:r>
        <w:t>健全分级分类的</w:t>
      </w:r>
      <w:r>
        <w:rPr>
          <w:rFonts w:hint="eastAsia"/>
        </w:rPr>
        <w:t>医疗</w:t>
      </w:r>
      <w:r>
        <w:t>危险废物应急处置体系，提高医疗废物应急转运能力。（责任单位：区生态环境分局、</w:t>
      </w:r>
      <w:r>
        <w:rPr>
          <w:rFonts w:hint="eastAsia"/>
        </w:rPr>
        <w:t>区</w:t>
      </w:r>
      <w:r>
        <w:t>卫健委</w:t>
      </w:r>
      <w:r>
        <w:rPr>
          <w:rFonts w:hint="eastAsia"/>
        </w:rPr>
        <w:t>、区应急管理局、区住建局</w:t>
      </w:r>
      <w:r>
        <w:t>）</w:t>
      </w:r>
    </w:p>
    <w:p w14:paraId="158A83AB">
      <w:pPr>
        <w:pStyle w:val="21"/>
        <w:ind w:firstLine="640"/>
      </w:pPr>
      <w:r>
        <w:t>强化企事业单位环境应急预案备案管理，建立危险废物污染事故应急处置队伍，组织开展危险废物污染事故应急演练，提升突发环境事件</w:t>
      </w:r>
      <w:r>
        <w:rPr>
          <w:rFonts w:hint="eastAsia"/>
        </w:rPr>
        <w:t>应变</w:t>
      </w:r>
      <w:r>
        <w:t>能力。持续加强危险废物环境安全隐患排查整治，强化易燃易爆废弃危险化学品等危险废物监管，推动部门间建立监管协作和联合执法机制。积极</w:t>
      </w:r>
      <w:r>
        <w:rPr>
          <w:rFonts w:hint="eastAsia"/>
        </w:rPr>
        <w:t>落实</w:t>
      </w:r>
      <w:r>
        <w:t>长三角及合肥都市圈固体废物危险废物联防联控，落实违法行为有奖举报制度、源头管控制度和网格化环境监管，</w:t>
      </w:r>
      <w:r>
        <w:rPr>
          <w:rFonts w:hint="eastAsia"/>
        </w:rPr>
        <w:t>完善</w:t>
      </w:r>
      <w:r>
        <w:t>危险废物环境污染问题发现和信访投诉处理机制，强化行政执法与刑事司法的协调联动，依法打击跨区域非法转移倾倒危险废物的环境违法犯罪行为。</w:t>
      </w:r>
      <w:r>
        <w:rPr>
          <w:rFonts w:hint="eastAsia"/>
        </w:rPr>
        <w:t>到</w:t>
      </w:r>
      <w:r>
        <w:t>2025年，确保危险废物安全处置率</w:t>
      </w:r>
      <w:r>
        <w:rPr>
          <w:rFonts w:hint="eastAsia"/>
        </w:rPr>
        <w:t>保持</w:t>
      </w:r>
      <w:r>
        <w:t>100%。（责任单位：区生态环境分局、</w:t>
      </w:r>
      <w:r>
        <w:rPr>
          <w:rFonts w:hint="eastAsia"/>
        </w:rPr>
        <w:t>区</w:t>
      </w:r>
      <w:r>
        <w:t>应急管理局</w:t>
      </w:r>
      <w:r>
        <w:rPr>
          <w:rFonts w:hint="eastAsia"/>
        </w:rPr>
        <w:t>、</w:t>
      </w:r>
      <w:r>
        <w:t>公安</w:t>
      </w:r>
      <w:r>
        <w:rPr>
          <w:rFonts w:hint="eastAsia"/>
        </w:rPr>
        <w:t>瑶海分局</w:t>
      </w:r>
      <w:r>
        <w:t>）</w:t>
      </w:r>
    </w:p>
    <w:p w14:paraId="77DFAFC0">
      <w:pPr>
        <w:pStyle w:val="23"/>
        <w:spacing w:before="156" w:after="156"/>
        <w:ind w:firstLine="640"/>
      </w:pPr>
      <w:bookmarkStart w:id="29" w:name="_Toc155617303"/>
      <w:r>
        <w:rPr>
          <w:rFonts w:hint="eastAsia"/>
        </w:rPr>
        <w:t>（</w:t>
      </w:r>
      <w:r>
        <w:t>三）推动分类回收，实施</w:t>
      </w:r>
      <w:bookmarkStart w:id="30" w:name="_Hlk151389651"/>
      <w:r>
        <w:t>各类生活源固废</w:t>
      </w:r>
      <w:bookmarkEnd w:id="30"/>
      <w:r>
        <w:t>精细化管理</w:t>
      </w:r>
      <w:bookmarkEnd w:id="29"/>
    </w:p>
    <w:p w14:paraId="1244F79A">
      <w:pPr>
        <w:pStyle w:val="21"/>
        <w:ind w:firstLine="640"/>
      </w:pPr>
      <w:r>
        <w:rPr>
          <w:rFonts w:hint="eastAsia"/>
        </w:rPr>
        <w:t>按照“政府引导、</w:t>
      </w:r>
      <w:r>
        <w:t>企业主体、市场运作、公众参与</w:t>
      </w:r>
      <w:r>
        <w:rPr>
          <w:rFonts w:hint="eastAsia"/>
        </w:rPr>
        <w:t>”</w:t>
      </w:r>
      <w:r>
        <w:t>原则，推动生活源固废减量化、资源化、无害化，不断提升厨余垃圾、再生资源、市政污泥、塑料、快递包装等</w:t>
      </w:r>
      <w:r>
        <w:rPr>
          <w:rFonts w:hint="eastAsia"/>
        </w:rPr>
        <w:t>各类生活源固废</w:t>
      </w:r>
      <w:r>
        <w:t>精细化管理水平，在</w:t>
      </w:r>
      <w:r>
        <w:rPr>
          <w:rFonts w:hint="eastAsia"/>
        </w:rPr>
        <w:t>加快建设高质量发展“千亿区”的同时</w:t>
      </w:r>
      <w:r>
        <w:t>打造生活源固废管理新模式。</w:t>
      </w:r>
    </w:p>
    <w:p w14:paraId="14FD185B">
      <w:pPr>
        <w:pStyle w:val="33"/>
        <w:spacing w:before="156" w:after="156"/>
        <w:ind w:firstLine="643"/>
      </w:pPr>
      <w:bookmarkStart w:id="31" w:name="_Toc155617304"/>
      <w:r>
        <w:t>1. 坚持多管齐下，推进各类固废高效回收利用</w:t>
      </w:r>
      <w:bookmarkEnd w:id="31"/>
    </w:p>
    <w:p w14:paraId="75DC1A53">
      <w:pPr>
        <w:pStyle w:val="21"/>
        <w:numPr>
          <w:ilvl w:val="1"/>
          <w:numId w:val="3"/>
        </w:numPr>
        <w:ind w:left="0" w:firstLine="640"/>
      </w:pPr>
      <w:r>
        <w:rPr>
          <w:rFonts w:hint="eastAsia"/>
        </w:rPr>
        <w:t>提升生活垃圾分类质量。严格落实《合肥市生活</w:t>
      </w:r>
      <w:r>
        <w:t>垃圾分类管理条例》</w:t>
      </w:r>
      <w:r>
        <w:rPr>
          <w:rFonts w:hint="eastAsia"/>
        </w:rPr>
        <w:t>《瑶海区垃圾分类集中投放点建设方案》</w:t>
      </w:r>
      <w:r>
        <w:t>等</w:t>
      </w:r>
      <w:r>
        <w:rPr>
          <w:rFonts w:hint="eastAsia"/>
        </w:rPr>
        <w:t>文件</w:t>
      </w:r>
      <w:r>
        <w:t>，</w:t>
      </w:r>
      <w:r>
        <w:rPr>
          <w:rFonts w:hint="eastAsia"/>
        </w:rPr>
        <w:t>压实各部门职责，落实经费保障。</w:t>
      </w:r>
      <w:r>
        <w:t>协调推进</w:t>
      </w:r>
      <w:r>
        <w:rPr>
          <w:rFonts w:hint="eastAsia"/>
        </w:rPr>
        <w:t>前端收集、分类运输、后端处置利用体系</w:t>
      </w:r>
      <w:r>
        <w:t>，</w:t>
      </w:r>
      <w:r>
        <w:rPr>
          <w:rFonts w:hint="eastAsia"/>
        </w:rPr>
        <w:t>依托科技手段，精准辅助。统一生活垃圾分类标准，在城市范围内实行四分类，即可回收物、有害垃圾、厨余垃圾、其他垃圾。统一垃圾分类标识和垃圾桶颜色，合理设置生活垃圾集中投放点。</w:t>
      </w:r>
      <w:r>
        <w:t>加强生活垃圾分类宣传，</w:t>
      </w:r>
      <w:r>
        <w:rPr>
          <w:rFonts w:hint="eastAsia"/>
        </w:rPr>
        <w:t>指导商业综合体、百大周谷堆、大型超市、大型餐饮店开展垃圾分类宣传工作，巩固生活垃圾分类投放示范点成效，接力</w:t>
      </w:r>
      <w:r>
        <w:t>打造样板小区、样板校园等示范。</w:t>
      </w:r>
      <w:r>
        <w:rPr>
          <w:rFonts w:hint="eastAsia"/>
        </w:rPr>
        <w:t>到</w:t>
      </w:r>
      <w:r>
        <w:t>2025年，生活垃圾分类覆盖率达到100%</w:t>
      </w:r>
      <w:r>
        <w:rPr>
          <w:rFonts w:hint="eastAsia"/>
        </w:rPr>
        <w:t>，</w:t>
      </w:r>
      <w:r>
        <w:t>回收利用率达</w:t>
      </w:r>
      <w:r>
        <w:rPr>
          <w:rFonts w:hint="eastAsia"/>
        </w:rPr>
        <w:t>到</w:t>
      </w:r>
      <w:r>
        <w:t>35%。</w:t>
      </w:r>
      <w:r>
        <w:rPr>
          <w:rFonts w:hint="eastAsia"/>
        </w:rPr>
        <w:t>（</w:t>
      </w:r>
      <w:r>
        <w:t>责任单位：</w:t>
      </w:r>
      <w:r>
        <w:rPr>
          <w:rFonts w:hint="eastAsia"/>
        </w:rPr>
        <w:t>区</w:t>
      </w:r>
      <w:r>
        <w:t>城管局）</w:t>
      </w:r>
    </w:p>
    <w:p w14:paraId="00455028">
      <w:pPr>
        <w:pStyle w:val="21"/>
        <w:numPr>
          <w:ilvl w:val="1"/>
          <w:numId w:val="3"/>
        </w:numPr>
        <w:ind w:left="0" w:firstLine="640"/>
      </w:pPr>
      <w:r>
        <w:rPr>
          <w:rFonts w:hint="eastAsia"/>
        </w:rPr>
        <w:t>加强厨余垃圾及有害垃圾收运处置管理。依据《合肥</w:t>
      </w:r>
      <w:r>
        <w:t>市餐厨垃圾管理办法》，落实管理台账制度，扩充建立餐饮企业、机关企事业单位食堂等各类餐厨垃圾产生单位基本信息库。健全厨余垃圾收运体系，</w:t>
      </w:r>
      <w:r>
        <w:rPr>
          <w:rFonts w:hint="eastAsia"/>
        </w:rPr>
        <w:t>对接市直餐厨垃圾收运公司，合理安排收运路线，应收尽收，逐步提高厨余分出率</w:t>
      </w:r>
      <w:r>
        <w:t>。</w:t>
      </w:r>
      <w:r>
        <w:rPr>
          <w:rFonts w:hint="eastAsia"/>
        </w:rPr>
        <w:t>加强厨余垃圾资源化利用，鼓励</w:t>
      </w:r>
      <w:r>
        <w:t>利用厨余垃圾制取生物柴油、沼气，开展沼渣堆肥、沼液肥等技术研究，鼓励产品在园林绿化等领域的应用，拓宽市场出路。</w:t>
      </w:r>
      <w:r>
        <w:rPr>
          <w:rFonts w:hint="eastAsia"/>
        </w:rPr>
        <w:t>着力补齐厨余垃圾处理设施短板，积极探索小型厨余垃圾处理站模式，就地处置居民区厨余垃圾。进一步</w:t>
      </w:r>
      <w:r>
        <w:t>打通有害垃圾收运</w:t>
      </w:r>
      <w:r>
        <w:rPr>
          <w:rFonts w:hint="eastAsia"/>
        </w:rPr>
        <w:t>处置</w:t>
      </w:r>
      <w:r>
        <w:t>链条</w:t>
      </w:r>
      <w:r>
        <w:rPr>
          <w:rFonts w:hint="eastAsia"/>
        </w:rPr>
        <w:t>，制定废灯管、</w:t>
      </w:r>
      <w:r>
        <w:t>废家用化学品、废电池等有害垃圾</w:t>
      </w:r>
      <w:r>
        <w:rPr>
          <w:rFonts w:hint="eastAsia"/>
        </w:rPr>
        <w:t>的</w:t>
      </w:r>
      <w:r>
        <w:t>收集、运输、处置</w:t>
      </w:r>
      <w:r>
        <w:rPr>
          <w:rFonts w:hint="eastAsia"/>
        </w:rPr>
        <w:t>规范化</w:t>
      </w:r>
      <w:r>
        <w:t>管理制度，</w:t>
      </w:r>
      <w:r>
        <w:rPr>
          <w:rFonts w:hint="eastAsia"/>
        </w:rPr>
        <w:t>分类收集后的有害垃圾属于危险废物的，应及时纳入危险废物管理，交由具备相应资质单位综合利用或无害化处置。促进以清洁焚烧为主要方式处理不可回收类垃圾，到</w:t>
      </w:r>
      <w:r>
        <w:t>2025年底，基本实现城市原生垃圾</w:t>
      </w:r>
      <w:r>
        <w:rPr>
          <w:rFonts w:hint="eastAsia"/>
        </w:rPr>
        <w:t>“零填埋”</w:t>
      </w:r>
      <w:r>
        <w:t>。</w:t>
      </w:r>
      <w:r>
        <w:rPr>
          <w:rFonts w:hint="eastAsia"/>
        </w:rPr>
        <w:t>（</w:t>
      </w:r>
      <w:r>
        <w:t>责任单位：</w:t>
      </w:r>
      <w:r>
        <w:rPr>
          <w:rFonts w:hint="eastAsia"/>
        </w:rPr>
        <w:t>区</w:t>
      </w:r>
      <w:r>
        <w:t>城管局、区生态环境分局）</w:t>
      </w:r>
    </w:p>
    <w:p w14:paraId="0D20B2EF">
      <w:pPr>
        <w:pStyle w:val="21"/>
        <w:numPr>
          <w:ilvl w:val="1"/>
          <w:numId w:val="3"/>
        </w:numPr>
        <w:ind w:left="0" w:firstLine="640"/>
      </w:pPr>
      <w:r>
        <w:rPr>
          <w:rFonts w:hint="eastAsia"/>
        </w:rPr>
        <w:t>加强塑料污染全链条治理。严格落实《合肥市进</w:t>
      </w:r>
      <w:r>
        <w:t>一步加强塑料污染治理实施方案》</w:t>
      </w:r>
      <w:r>
        <w:rPr>
          <w:rFonts w:hint="eastAsia"/>
        </w:rPr>
        <w:t>和对部分一次性塑料制品禁限政策</w:t>
      </w:r>
      <w:r>
        <w:t>，</w:t>
      </w:r>
      <w:r>
        <w:rPr>
          <w:rFonts w:hint="eastAsia"/>
        </w:rPr>
        <w:t>建立健全塑料制品长效</w:t>
      </w:r>
      <w:r>
        <w:t>管理机制，</w:t>
      </w:r>
      <w:r>
        <w:rPr>
          <w:rFonts w:hint="eastAsia"/>
        </w:rPr>
        <w:t>推进不可降解塑料袋、</w:t>
      </w:r>
      <w:r>
        <w:t>一次性塑料餐具、宾馆酒店一次性用品、快递塑料包装治理工作</w:t>
      </w:r>
      <w:r>
        <w:rPr>
          <w:rFonts w:hint="eastAsia"/>
        </w:rPr>
        <w:t>。有序推广应用塑料替代产品</w:t>
      </w:r>
      <w:r>
        <w:t>，重点引导商超、集贸、餐饮外卖等行业使用非</w:t>
      </w:r>
      <w:r>
        <w:rPr>
          <w:rFonts w:hint="eastAsia"/>
        </w:rPr>
        <w:t>塑料</w:t>
      </w:r>
      <w:r>
        <w:t>制品和可降解塑料</w:t>
      </w:r>
      <w:r>
        <w:rPr>
          <w:rFonts w:hint="eastAsia"/>
        </w:rPr>
        <w:t>产品</w:t>
      </w:r>
      <w:r>
        <w:t>，切实降低不可降解一次性塑料</w:t>
      </w:r>
      <w:r>
        <w:rPr>
          <w:rFonts w:hint="eastAsia"/>
        </w:rPr>
        <w:t>制品</w:t>
      </w:r>
      <w:r>
        <w:t>使用强度。</w:t>
      </w:r>
      <w:r>
        <w:rPr>
          <w:rFonts w:hint="eastAsia"/>
        </w:rPr>
        <w:t>鼓励新建商场、</w:t>
      </w:r>
      <w:r>
        <w:t>超市落实禁塑、限塑规定，推动源头减量及分类回收，积极打造</w:t>
      </w:r>
      <w:r>
        <w:rPr>
          <w:rFonts w:hint="eastAsia"/>
        </w:rPr>
        <w:t>“绿色商场”</w:t>
      </w:r>
      <w:r>
        <w:t>。</w:t>
      </w:r>
      <w:r>
        <w:rPr>
          <w:rFonts w:hint="eastAsia"/>
        </w:rPr>
        <w:t>加大塑料废弃物规范化回收利用和处置等环节的环境监管，督促指导商贸</w:t>
      </w:r>
      <w:r>
        <w:t>零售企业做好塑料袋等一次性塑料制品使用、回收信息报送工作</w:t>
      </w:r>
      <w:r>
        <w:rPr>
          <w:rFonts w:hint="eastAsia"/>
        </w:rPr>
        <w:t>。结合节能宣传周、世界地球日、世界环境日等主题活动，开展限塑减塑科普知识宣传，引导公众自觉</w:t>
      </w:r>
      <w:r>
        <w:t>践行简约舒适、绿色低碳的生活方式</w:t>
      </w:r>
      <w:r>
        <w:rPr>
          <w:rFonts w:hint="eastAsia"/>
        </w:rPr>
        <w:t>。</w:t>
      </w:r>
      <w:r>
        <w:t>到2025年，</w:t>
      </w:r>
      <w:r>
        <w:rPr>
          <w:rFonts w:hint="eastAsia"/>
        </w:rPr>
        <w:t>全辖区内</w:t>
      </w:r>
      <w:r>
        <w:t>的商贸场所逐</w:t>
      </w:r>
      <w:r>
        <w:rPr>
          <w:rFonts w:hint="eastAsia"/>
        </w:rPr>
        <w:t>步禁止使用不可降解塑</w:t>
      </w:r>
      <w:r>
        <w:t>料袋。（责任单位：</w:t>
      </w:r>
      <w:r>
        <w:rPr>
          <w:rFonts w:hint="eastAsia"/>
        </w:rPr>
        <w:t>区</w:t>
      </w:r>
      <w:r>
        <w:t>发改委、区生态环境分局、</w:t>
      </w:r>
      <w:r>
        <w:rPr>
          <w:rFonts w:hint="eastAsia"/>
        </w:rPr>
        <w:t>区</w:t>
      </w:r>
      <w:r>
        <w:t>商务局、</w:t>
      </w:r>
      <w:r>
        <w:rPr>
          <w:rFonts w:hint="eastAsia"/>
        </w:rPr>
        <w:t>区市场监管</w:t>
      </w:r>
      <w:r>
        <w:t>局）</w:t>
      </w:r>
    </w:p>
    <w:p w14:paraId="281D9CA4">
      <w:pPr>
        <w:pStyle w:val="21"/>
        <w:numPr>
          <w:ilvl w:val="1"/>
          <w:numId w:val="3"/>
        </w:numPr>
        <w:ind w:left="0" w:firstLine="640"/>
      </w:pPr>
      <w:r>
        <w:rPr>
          <w:rFonts w:hint="eastAsia"/>
        </w:rPr>
        <w:t>推动快递包装绿色化减量化循环发展。宣贯实施《合肥市邮件快递管理办法》，压实企业主体责任，</w:t>
      </w:r>
      <w:r>
        <w:t>建立健全绿色采购制度和低碳运营管理机制。</w:t>
      </w:r>
      <w:r>
        <w:rPr>
          <w:rFonts w:hint="eastAsia"/>
        </w:rPr>
        <w:t>积极落实包装绿色产品认证制度，推进认证</w:t>
      </w:r>
      <w:r>
        <w:t>结果采信，鼓励快递包装生产企业获得认证，引导和支持电商企业、快递企业使用通过绿色认证的快递包装产品</w:t>
      </w:r>
      <w:r>
        <w:rPr>
          <w:rFonts w:hint="eastAsia"/>
        </w:rPr>
        <w:t>。组织电商企业参加电子商务示范企业创建活动，引导</w:t>
      </w:r>
      <w:r>
        <w:t>电商企业应用推广绿色包装或减量包装</w:t>
      </w:r>
      <w:r>
        <w:rPr>
          <w:rFonts w:hint="eastAsia"/>
        </w:rPr>
        <w:t>。组织开</w:t>
      </w:r>
      <w:r>
        <w:t>展绿色快递</w:t>
      </w:r>
      <w:r>
        <w:rPr>
          <w:rFonts w:hint="eastAsia"/>
        </w:rPr>
        <w:t>“进机关、进企业、进校园、进社区、进医院”</w:t>
      </w:r>
      <w:r>
        <w:t>活动，加强快递包装物料行业内循环使用体系与社会回收体系的衔接。</w:t>
      </w:r>
      <w:r>
        <w:rPr>
          <w:rFonts w:hint="eastAsia"/>
        </w:rPr>
        <w:t>到2</w:t>
      </w:r>
      <w:r>
        <w:t>025</w:t>
      </w:r>
      <w:r>
        <w:rPr>
          <w:rFonts w:hint="eastAsia"/>
        </w:rPr>
        <w:t>年，邮政快递网点禁止使用不可降解</w:t>
      </w:r>
      <w:r>
        <w:t>的塑料包装袋、</w:t>
      </w:r>
      <w:r>
        <w:rPr>
          <w:rFonts w:hint="eastAsia"/>
        </w:rPr>
        <w:t>塑料胶带、</w:t>
      </w:r>
      <w:r>
        <w:t>一次性塑料编织袋</w:t>
      </w:r>
      <w:r>
        <w:rPr>
          <w:rFonts w:hint="eastAsia"/>
        </w:rPr>
        <w:t>等</w:t>
      </w:r>
      <w:r>
        <w:t>，</w:t>
      </w:r>
      <w:r>
        <w:rPr>
          <w:rFonts w:hint="eastAsia"/>
        </w:rPr>
        <w:t>快</w:t>
      </w:r>
      <w:r>
        <w:t>递绿色包装使用率达到95%以上</w:t>
      </w:r>
      <w:r>
        <w:rPr>
          <w:rFonts w:hint="eastAsia"/>
        </w:rPr>
        <w:t>，</w:t>
      </w:r>
      <w:r>
        <w:t>快递业务实现电子运单全覆盖。（责任单位：</w:t>
      </w:r>
      <w:r>
        <w:rPr>
          <w:rFonts w:hint="eastAsia"/>
        </w:rPr>
        <w:t>区住建局</w:t>
      </w:r>
      <w:r>
        <w:t>）</w:t>
      </w:r>
    </w:p>
    <w:p w14:paraId="42C42468">
      <w:pPr>
        <w:pStyle w:val="33"/>
        <w:spacing w:before="156" w:after="156"/>
        <w:ind w:firstLine="643"/>
      </w:pPr>
      <w:bookmarkStart w:id="32" w:name="_Toc155617305"/>
      <w:r>
        <w:rPr>
          <w:rFonts w:hint="eastAsia"/>
        </w:rPr>
        <w:t>2</w:t>
      </w:r>
      <w:r>
        <w:t>. 探索</w:t>
      </w:r>
      <w:r>
        <w:rPr>
          <w:rFonts w:hint="eastAsia"/>
        </w:rPr>
        <w:t>“两网融合”</w:t>
      </w:r>
      <w:r>
        <w:t>，提升资源回收利用水平</w:t>
      </w:r>
      <w:bookmarkEnd w:id="32"/>
    </w:p>
    <w:p w14:paraId="343AF56A">
      <w:pPr>
        <w:pStyle w:val="21"/>
        <w:numPr>
          <w:ilvl w:val="1"/>
          <w:numId w:val="3"/>
        </w:numPr>
        <w:ind w:left="0" w:firstLine="640"/>
      </w:pPr>
      <w:r>
        <w:rPr>
          <w:rFonts w:hint="eastAsia"/>
        </w:rPr>
        <w:t>优化再生资源回收体系。</w:t>
      </w:r>
      <w:r>
        <w:t>推动</w:t>
      </w:r>
      <w:r>
        <w:rPr>
          <w:rFonts w:hint="eastAsia"/>
        </w:rPr>
        <w:t>生活垃圾收运系统与</w:t>
      </w:r>
      <w:r>
        <w:t>再生资源</w:t>
      </w:r>
      <w:r>
        <w:rPr>
          <w:rFonts w:hint="eastAsia"/>
        </w:rPr>
        <w:t>回收</w:t>
      </w:r>
      <w:r>
        <w:t>系</w:t>
      </w:r>
      <w:r>
        <w:rPr>
          <w:rFonts w:hint="eastAsia"/>
        </w:rPr>
        <w:t>统“两网融合”</w:t>
      </w:r>
      <w:r>
        <w:t>，</w:t>
      </w:r>
      <w:r>
        <w:rPr>
          <w:rFonts w:hint="eastAsia"/>
        </w:rPr>
        <w:t>形成“上接前端分类、中接仓储物流、下接产业利用”的再生资源供应链。</w:t>
      </w:r>
      <w:r>
        <w:t>对照</w:t>
      </w:r>
      <w:r>
        <w:rPr>
          <w:rFonts w:hint="eastAsia"/>
        </w:rPr>
        <w:t>《</w:t>
      </w:r>
      <w:r>
        <w:t>合肥市再生资源回收网络体系示范项目建设标准</w:t>
      </w:r>
      <w:r>
        <w:rPr>
          <w:rFonts w:hint="eastAsia"/>
        </w:rPr>
        <w:t>》</w:t>
      </w:r>
      <w:r>
        <w:t>，</w:t>
      </w:r>
      <w:r>
        <w:rPr>
          <w:rFonts w:hint="eastAsia"/>
        </w:rPr>
        <w:t>切实落实</w:t>
      </w:r>
      <w:r>
        <w:t>市再生资源回收利用体系建设领导小组下达的再生资源回收站点</w:t>
      </w:r>
      <w:r>
        <w:rPr>
          <w:rFonts w:hint="eastAsia"/>
        </w:rPr>
        <w:t>建设</w:t>
      </w:r>
      <w:r>
        <w:t>任务。</w:t>
      </w:r>
      <w:r>
        <w:rPr>
          <w:rFonts w:hint="eastAsia"/>
        </w:rPr>
        <w:t>加强对再生资源回收市场的规范整治和日常监督管理，联合相关部门合理查处违规经营、露天经营、污染环境等行为，全面形成闭环管理</w:t>
      </w:r>
      <w:r>
        <w:t>。建设再生资源大数据管理平台，结合生活垃圾分类智能化监管体系摸清生活源再生资源底数，充分发挥</w:t>
      </w:r>
      <w:r>
        <w:rPr>
          <w:rFonts w:hint="eastAsia"/>
        </w:rPr>
        <w:t>“</w:t>
      </w:r>
      <w:r>
        <w:t>互联网+</w:t>
      </w:r>
      <w:r>
        <w:rPr>
          <w:rFonts w:hint="eastAsia"/>
        </w:rPr>
        <w:t>”</w:t>
      </w:r>
      <w:r>
        <w:t>作用，鼓励社会主体参与再生资源回收。</w:t>
      </w:r>
      <w:r>
        <w:rPr>
          <w:rFonts w:hint="eastAsia"/>
        </w:rPr>
        <w:t>鼓励</w:t>
      </w:r>
      <w:r>
        <w:t>废玻璃、废纺织品等低值可回收物回收利用</w:t>
      </w:r>
      <w:r>
        <w:rPr>
          <w:rFonts w:hint="eastAsia"/>
        </w:rPr>
        <w:t>行为</w:t>
      </w:r>
      <w:r>
        <w:t>，丰富二手商品交易渠道</w:t>
      </w:r>
      <w:r>
        <w:rPr>
          <w:rFonts w:hint="eastAsia"/>
        </w:rPr>
        <w:t>，</w:t>
      </w:r>
      <w:r>
        <w:t>健全</w:t>
      </w:r>
      <w:r>
        <w:rPr>
          <w:rFonts w:hint="eastAsia"/>
        </w:rPr>
        <w:t>废氧化汞电池、镍镉电池、铅酸蓄电池和含汞荧光灯管、温度计等含重金属废物回收体系，</w:t>
      </w:r>
      <w:r>
        <w:t>支持废旧动力电池梯级利用与再生利用，</w:t>
      </w:r>
      <w:r>
        <w:rPr>
          <w:rFonts w:hint="eastAsia"/>
        </w:rPr>
        <w:t>支持工业企业优先使用再生资源作</w:t>
      </w:r>
      <w:r>
        <w:t>为原材料，</w:t>
      </w:r>
      <w:r>
        <w:rPr>
          <w:rFonts w:hint="eastAsia"/>
        </w:rPr>
        <w:t>推动再生资源产品在工程等领域的应用</w:t>
      </w:r>
      <w:r>
        <w:t>。（责任单位：</w:t>
      </w:r>
      <w:r>
        <w:rPr>
          <w:rFonts w:hint="eastAsia"/>
        </w:rPr>
        <w:t>区</w:t>
      </w:r>
      <w:r>
        <w:t>商务局、</w:t>
      </w:r>
      <w:r>
        <w:rPr>
          <w:rFonts w:hint="eastAsia"/>
        </w:rPr>
        <w:t>区</w:t>
      </w:r>
      <w:r>
        <w:t>经信局、区生态环境分局</w:t>
      </w:r>
      <w:r>
        <w:rPr>
          <w:rFonts w:hint="eastAsia"/>
        </w:rPr>
        <w:t>、区</w:t>
      </w:r>
      <w:r>
        <w:t>发改委、</w:t>
      </w:r>
      <w:r>
        <w:rPr>
          <w:rFonts w:hint="eastAsia"/>
        </w:rPr>
        <w:t>区</w:t>
      </w:r>
      <w:r>
        <w:t>城管局）</w:t>
      </w:r>
    </w:p>
    <w:p w14:paraId="0449AAC5">
      <w:pPr>
        <w:pStyle w:val="21"/>
        <w:numPr>
          <w:ilvl w:val="1"/>
          <w:numId w:val="3"/>
        </w:numPr>
        <w:ind w:left="0" w:firstLine="640"/>
      </w:pPr>
      <w:r>
        <w:rPr>
          <w:rFonts w:hint="eastAsia"/>
        </w:rPr>
        <w:t>开展医疗卫生机构可回收物回收利用。</w:t>
      </w:r>
      <w:r>
        <w:t>按照</w:t>
      </w:r>
      <w:r>
        <w:rPr>
          <w:rFonts w:hint="eastAsia"/>
        </w:rPr>
        <w:t>“</w:t>
      </w:r>
      <w:r>
        <w:t>闭环管理、定点定向、全程追溯</w:t>
      </w:r>
      <w:r>
        <w:rPr>
          <w:rFonts w:hint="eastAsia"/>
        </w:rPr>
        <w:t>”</w:t>
      </w:r>
      <w:r>
        <w:t>的原则，健全医疗卫生机构医用可回收物分类、收集、贮存、转运体系，规范设置临时贮存场所，实行分类存放，规范台账记录，</w:t>
      </w:r>
      <w:r>
        <w:rPr>
          <w:rFonts w:hint="eastAsia"/>
        </w:rPr>
        <w:t>开展自查自纠、补缺补差行动，</w:t>
      </w:r>
      <w:r>
        <w:t>督促医疗卫生机构委托商务部门名单内的企业定点回收利用，</w:t>
      </w:r>
      <w:r>
        <w:rPr>
          <w:rFonts w:hint="eastAsia"/>
        </w:rPr>
        <w:t>提高</w:t>
      </w:r>
      <w:r>
        <w:t>输液瓶（袋）</w:t>
      </w:r>
      <w:r>
        <w:rPr>
          <w:rFonts w:hint="eastAsia"/>
        </w:rPr>
        <w:t>等可回收物的</w:t>
      </w:r>
      <w:r>
        <w:t>回收利用</w:t>
      </w:r>
      <w:r>
        <w:rPr>
          <w:rFonts w:hint="eastAsia"/>
        </w:rPr>
        <w:t>水平</w:t>
      </w:r>
      <w:r>
        <w:t>。到2025年，医疗卫生机构可回收物回收率达到100%。（责任单位：</w:t>
      </w:r>
      <w:r>
        <w:rPr>
          <w:rFonts w:hint="eastAsia"/>
        </w:rPr>
        <w:t>区</w:t>
      </w:r>
      <w:r>
        <w:t>卫健委、</w:t>
      </w:r>
      <w:r>
        <w:rPr>
          <w:rFonts w:hint="eastAsia"/>
        </w:rPr>
        <w:t>区</w:t>
      </w:r>
      <w:r>
        <w:t>商务局、</w:t>
      </w:r>
      <w:r>
        <w:rPr>
          <w:rFonts w:hint="eastAsia"/>
        </w:rPr>
        <w:t>区生态环境分局</w:t>
      </w:r>
      <w:r>
        <w:t>）</w:t>
      </w:r>
    </w:p>
    <w:p w14:paraId="589C0F6F">
      <w:pPr>
        <w:pStyle w:val="33"/>
        <w:spacing w:before="156" w:after="156"/>
        <w:ind w:firstLine="643"/>
      </w:pPr>
      <w:bookmarkStart w:id="33" w:name="_Toc155617306"/>
      <w:r>
        <w:t>3. 完善管理机制，确保无害处置全面覆盖</w:t>
      </w:r>
      <w:bookmarkEnd w:id="33"/>
    </w:p>
    <w:p w14:paraId="50CF5EB5">
      <w:pPr>
        <w:pStyle w:val="21"/>
        <w:numPr>
          <w:ilvl w:val="1"/>
          <w:numId w:val="3"/>
        </w:numPr>
        <w:ind w:left="0" w:firstLine="640"/>
      </w:pPr>
      <w:r>
        <w:rPr>
          <w:rFonts w:hint="eastAsia"/>
        </w:rPr>
        <w:t>加强分类运输中转监管。联动各相关部门开展督查考核行动，杜绝“先分后混”“混装混运”，形成分类投放、分类收集、分类运输和分类处置全链条模式。将垃圾分类成效纳入物业公司考核范围，开展月度核查、年度评估。加强菜市场厨余垃圾分类监管，定期开展实地检查，对未开展垃圾分类的管理方进行相应处罚。配备专业运输车辆，确保满足垃圾转运需求。探索符合瑶海区实际情况的垃圾收运处理模式，最大限度降低运输和处理成本。优化垃圾分类收集转运站点布局，升级改造现有垃圾房、转运站等，</w:t>
      </w:r>
      <w:r>
        <w:t>实现生活垃圾分类智能化监管</w:t>
      </w:r>
      <w:r>
        <w:rPr>
          <w:rFonts w:hint="eastAsia"/>
        </w:rPr>
        <w:t>。鼓励社会资本参与生活垃圾分类收集、运输和处理，积极探索以特许经营、承包经营、租赁经营等方式，引入专业化服务公司。推行各类垃圾按时段进行收运的模式，公开分类收运时间、作业规范，主动接受社会监督。（责任单位：区城管局、区住建局、区市场监管局）</w:t>
      </w:r>
    </w:p>
    <w:p w14:paraId="03D53DBA">
      <w:pPr>
        <w:pStyle w:val="21"/>
        <w:numPr>
          <w:ilvl w:val="1"/>
          <w:numId w:val="3"/>
        </w:numPr>
        <w:ind w:left="0" w:firstLine="640"/>
      </w:pPr>
      <w:r>
        <w:rPr>
          <w:rFonts w:hint="eastAsia"/>
        </w:rPr>
        <w:t>补齐生活垃圾处理设施短板。在龙岗片区规划建设一座涵盖生活垃圾分类转运、大件垃圾处理、餐厨垃圾收集处理、渗滤液处理等功能于一体的绿色循环综合体项目，帮助优化环卫转运设施布局，</w:t>
      </w:r>
      <w:r>
        <w:t>实现</w:t>
      </w:r>
      <w:r>
        <w:rPr>
          <w:rFonts w:hint="eastAsia"/>
        </w:rPr>
        <w:t>辖区内生活垃圾“日产日清”。通过采用电子联单、视频监控等先进信息手段，对生活垃圾产生、运输、贮存、利用和处置全过程进行信息化监管，保障生活垃圾和市政污泥1</w:t>
      </w:r>
      <w:r>
        <w:t>00%</w:t>
      </w:r>
      <w:r>
        <w:rPr>
          <w:rFonts w:hint="eastAsia"/>
        </w:rPr>
        <w:t>实现无害化处理</w:t>
      </w:r>
      <w:r>
        <w:t>。（</w:t>
      </w:r>
      <w:r>
        <w:rPr>
          <w:rFonts w:hint="eastAsia"/>
        </w:rPr>
        <w:t>责任单位：</w:t>
      </w:r>
      <w:r>
        <w:t>区城管</w:t>
      </w:r>
      <w:r>
        <w:rPr>
          <w:rFonts w:hint="eastAsia"/>
        </w:rPr>
        <w:t>局、区生态环境分局）</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6817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59594078">
            <w:pPr>
              <w:pStyle w:val="21"/>
              <w:ind w:firstLine="0" w:firstLineChars="0"/>
              <w:jc w:val="center"/>
              <w:rPr>
                <w:rFonts w:eastAsia="华文中宋"/>
              </w:rPr>
            </w:pPr>
            <w:r>
              <w:rPr>
                <w:rFonts w:hint="eastAsia" w:eastAsia="华文中宋"/>
              </w:rPr>
              <w:t>专栏</w:t>
            </w:r>
            <w:r>
              <w:rPr>
                <w:rFonts w:eastAsia="华文中宋"/>
              </w:rPr>
              <w:t xml:space="preserve">2 </w:t>
            </w:r>
            <w:r>
              <w:rPr>
                <w:rFonts w:hint="eastAsia" w:eastAsia="华文中宋"/>
              </w:rPr>
              <w:t>打造生活源固废管理新模式</w:t>
            </w:r>
          </w:p>
          <w:p w14:paraId="23AE4787">
            <w:pPr>
              <w:pStyle w:val="21"/>
              <w:ind w:firstLineChars="0"/>
              <w:rPr>
                <w:rFonts w:eastAsia="黑体"/>
              </w:rPr>
            </w:pPr>
            <w:r>
              <w:rPr>
                <w:rFonts w:hint="eastAsia" w:eastAsia="黑体"/>
              </w:rPr>
              <w:t>一、模式背景</w:t>
            </w:r>
          </w:p>
          <w:p w14:paraId="25F19E15">
            <w:pPr>
              <w:pStyle w:val="21"/>
              <w:ind w:firstLine="640"/>
            </w:pPr>
            <w:r>
              <w:rPr>
                <w:rFonts w:hint="eastAsia"/>
              </w:rPr>
              <w:t>近年来，随着瑶海区经济建设快速发展以及东部新中心的加速建设，全区常住人口数量已经达到</w:t>
            </w:r>
            <w:r>
              <w:t>101.6万</w:t>
            </w:r>
            <w:r>
              <w:rPr>
                <w:rFonts w:hint="eastAsia"/>
              </w:rPr>
              <w:t>人</w:t>
            </w:r>
            <w:r>
              <w:t>，预计</w:t>
            </w:r>
            <w:r>
              <w:rPr>
                <w:rFonts w:hint="eastAsia"/>
              </w:rPr>
              <w:t>“十四五”</w:t>
            </w:r>
            <w:r>
              <w:t>期间常住人口及流动人口</w:t>
            </w:r>
            <w:r>
              <w:rPr>
                <w:rFonts w:hint="eastAsia"/>
              </w:rPr>
              <w:t>数量</w:t>
            </w:r>
            <w:r>
              <w:t>还将持续增长。随之而来的，</w:t>
            </w:r>
            <w:r>
              <w:rPr>
                <w:rFonts w:hint="eastAsia"/>
              </w:rPr>
              <w:t>全区</w:t>
            </w:r>
            <w:r>
              <w:t>生活垃圾总量也在</w:t>
            </w:r>
            <w:r>
              <w:rPr>
                <w:rFonts w:hint="eastAsia"/>
              </w:rPr>
              <w:t>与</w:t>
            </w:r>
            <w:r>
              <w:t>日</w:t>
            </w:r>
            <w:r>
              <w:rPr>
                <w:rFonts w:hint="eastAsia"/>
              </w:rPr>
              <w:t>俱增</w:t>
            </w:r>
            <w:r>
              <w:t>，现有的</w:t>
            </w:r>
            <w:r>
              <w:rPr>
                <w:rFonts w:hint="eastAsia"/>
              </w:rPr>
              <w:t>朱砖井垃圾</w:t>
            </w:r>
            <w:r>
              <w:t>中转站已经连续多年超负荷运转。</w:t>
            </w:r>
            <w:r>
              <w:rPr>
                <w:rFonts w:hint="eastAsia"/>
              </w:rPr>
              <w:t>鉴于此，瑶海区精准施策、全面发力，大力推进撤桶并点、分类投放及智慧平台建设工作，创新完善生活源固废管理体系，促进生活垃圾管理工作迈上新台阶，为保障</w:t>
            </w:r>
            <w:r>
              <w:t>未来</w:t>
            </w:r>
            <w:r>
              <w:rPr>
                <w:rFonts w:hint="eastAsia"/>
              </w:rPr>
              <w:t>辖区内</w:t>
            </w:r>
            <w:r>
              <w:t>生活垃圾的日产日清</w:t>
            </w:r>
            <w:r>
              <w:rPr>
                <w:rFonts w:hint="eastAsia"/>
              </w:rPr>
              <w:t>、</w:t>
            </w:r>
            <w:r>
              <w:t>持续巩固美丽瑶海建设成果</w:t>
            </w:r>
            <w:r>
              <w:rPr>
                <w:rFonts w:hint="eastAsia"/>
              </w:rPr>
              <w:t>提供了绿色支撑。</w:t>
            </w:r>
          </w:p>
          <w:p w14:paraId="63816B64">
            <w:pPr>
              <w:pStyle w:val="21"/>
              <w:ind w:firstLineChars="0"/>
              <w:rPr>
                <w:rFonts w:eastAsia="黑体"/>
              </w:rPr>
            </w:pPr>
            <w:r>
              <w:rPr>
                <w:rFonts w:hint="eastAsia" w:eastAsia="黑体"/>
              </w:rPr>
              <w:t>二、努力方向</w:t>
            </w:r>
          </w:p>
          <w:p w14:paraId="421802FB">
            <w:pPr>
              <w:pStyle w:val="21"/>
              <w:ind w:firstLine="640"/>
            </w:pPr>
            <w:r>
              <w:rPr>
                <w:rFonts w:hint="eastAsia"/>
              </w:rPr>
              <w:t>一是聚焦提升垃圾前端分类成效。成立生活垃圾分类工作领导小组，切实加强各相关部门之间工作联动，协调推进生活垃圾分类工作开展。稳步实施“定时、定点、定人督导”分类投放模式，确保全区垃圾分类投放点全部投入运行。</w:t>
            </w:r>
          </w:p>
          <w:p w14:paraId="3B9D8265">
            <w:pPr>
              <w:pStyle w:val="21"/>
              <w:ind w:firstLine="640"/>
            </w:pPr>
            <w:r>
              <w:rPr>
                <w:rFonts w:hint="eastAsia"/>
              </w:rPr>
              <w:t>二是规范再生资源回收利用体系。成立再生资源回收利用体系建设工作领导小组，制定符合瑶海区实际情况的行业发展规划。加大政策支持力度，将支持再生资源产业发展纳入瑶海区推动经济高质量发展政策之中，积极培育再生资源龙头企业。加强对再生资源回收市场的规范整治和日常监管，适度引进第三方参与，委托并督促具备相应资质的机构做好回收站代建（改建）工作。</w:t>
            </w:r>
          </w:p>
          <w:p w14:paraId="3416C1DC">
            <w:pPr>
              <w:pStyle w:val="21"/>
              <w:ind w:firstLine="640"/>
            </w:pPr>
            <w:r>
              <w:rPr>
                <w:rFonts w:hint="eastAsia"/>
              </w:rPr>
              <w:t>三是推进垃圾分类处理设施建设。落实绿色循环综合体项目建设，同步提升朱砖井垃圾中转站运转效能，加强设施管理和排查检修，全面提升瑶海区生活垃圾转运和预处理能力，进一步满足未来全区生活垃圾转运需求。</w:t>
            </w:r>
          </w:p>
        </w:tc>
      </w:tr>
    </w:tbl>
    <w:p w14:paraId="786F670B">
      <w:pPr>
        <w:pStyle w:val="23"/>
        <w:spacing w:before="156" w:after="156"/>
        <w:ind w:firstLine="640"/>
      </w:pPr>
      <w:bookmarkStart w:id="34" w:name="_Toc155617307"/>
      <w:r>
        <w:rPr>
          <w:rFonts w:hint="eastAsia"/>
        </w:rPr>
        <w:t>（</w:t>
      </w:r>
      <w:r>
        <w:t>四）畅通利用渠道，促进建筑垃圾资源再生循环</w:t>
      </w:r>
      <w:bookmarkEnd w:id="34"/>
    </w:p>
    <w:p w14:paraId="6BFA8BBD">
      <w:pPr>
        <w:pStyle w:val="21"/>
        <w:ind w:firstLine="640"/>
      </w:pPr>
      <w:r>
        <w:rPr>
          <w:rFonts w:hint="eastAsia"/>
        </w:rPr>
        <w:t>按照“两制度一体系”</w:t>
      </w:r>
      <w:r>
        <w:t>要求，完善建筑垃圾源头减量制</w:t>
      </w:r>
      <w:r>
        <w:rPr>
          <w:rFonts w:hint="eastAsia"/>
        </w:rPr>
        <w:t>度、</w:t>
      </w:r>
      <w:r>
        <w:t>全过程管理制度，加强利用体系建设</w:t>
      </w:r>
      <w:r>
        <w:rPr>
          <w:rFonts w:hint="eastAsia"/>
        </w:rPr>
        <w:t>。发挥瑶海建筑产业优势，</w:t>
      </w:r>
      <w:r>
        <w:t>持续推动绿色建筑、装配式建筑</w:t>
      </w:r>
      <w:r>
        <w:rPr>
          <w:rFonts w:hint="eastAsia"/>
        </w:rPr>
        <w:t>产业</w:t>
      </w:r>
      <w:r>
        <w:t>发展</w:t>
      </w:r>
      <w:r>
        <w:rPr>
          <w:rFonts w:hint="eastAsia"/>
        </w:rPr>
        <w:t>壮大</w:t>
      </w:r>
      <w:r>
        <w:t>，培育建筑垃圾再生利用产业，探索建立建筑原料</w:t>
      </w:r>
      <w:r>
        <w:rPr>
          <w:rFonts w:hint="eastAsia"/>
        </w:rPr>
        <w:t>-</w:t>
      </w:r>
      <w:r>
        <w:t>建筑物</w:t>
      </w:r>
      <w:r>
        <w:rPr>
          <w:rFonts w:hint="eastAsia"/>
        </w:rPr>
        <w:t>-</w:t>
      </w:r>
      <w:r>
        <w:t>建筑垃圾-再生产品的循环发展模式。</w:t>
      </w:r>
    </w:p>
    <w:p w14:paraId="73AC077B">
      <w:pPr>
        <w:pStyle w:val="33"/>
        <w:spacing w:before="156" w:after="156"/>
        <w:ind w:firstLine="643"/>
      </w:pPr>
      <w:bookmarkStart w:id="35" w:name="_Toc155617308"/>
      <w:r>
        <w:t>1. 坚持多管齐下，促进建筑垃圾源头减量</w:t>
      </w:r>
      <w:bookmarkEnd w:id="35"/>
    </w:p>
    <w:p w14:paraId="5F00FEA2">
      <w:pPr>
        <w:pStyle w:val="21"/>
        <w:numPr>
          <w:ilvl w:val="1"/>
          <w:numId w:val="3"/>
        </w:numPr>
        <w:ind w:left="0" w:firstLine="640"/>
      </w:pPr>
      <w:r>
        <w:rPr>
          <w:rFonts w:hint="eastAsia"/>
        </w:rPr>
        <w:t>强化企业源头减量主体责任。</w:t>
      </w:r>
      <w:r>
        <w:t>坚持</w:t>
      </w:r>
      <w:r>
        <w:rPr>
          <w:rFonts w:hint="eastAsia"/>
        </w:rPr>
        <w:t>“</w:t>
      </w:r>
      <w:r>
        <w:t>谁产生、谁处置</w:t>
      </w:r>
      <w:r>
        <w:rPr>
          <w:rFonts w:hint="eastAsia"/>
        </w:rPr>
        <w:t>”</w:t>
      </w:r>
      <w:r>
        <w:t>原则，压实企业建筑垃圾减量化主体责任，将减量措施费用纳入工程概算。按照《合肥市</w:t>
      </w:r>
      <w:r>
        <w:rPr>
          <w:rFonts w:hint="eastAsia"/>
        </w:rPr>
        <w:t>“十四五”</w:t>
      </w:r>
      <w:r>
        <w:t>绿色建筑发展规划》要求，督促指导企业编制绿色施工方案，规范和节约使用建筑材料。以绿色施工为载体，促进施工过程节能减排，最大限度节约资源、减少对环境的负面影响。推动绿色施工技术体系建设，通过土方就地平衡、革新盾构推进工艺等措施减少工程渣土、废弃泥浆等产生量。（责任单位：</w:t>
      </w:r>
      <w:r>
        <w:rPr>
          <w:rFonts w:hint="eastAsia"/>
        </w:rPr>
        <w:t>区住</w:t>
      </w:r>
      <w:r>
        <w:t>建局、</w:t>
      </w:r>
      <w:r>
        <w:rPr>
          <w:rFonts w:hint="eastAsia"/>
        </w:rPr>
        <w:t>区</w:t>
      </w:r>
      <w:r>
        <w:t>城管局）</w:t>
      </w:r>
    </w:p>
    <w:p w14:paraId="2EB3A8DD">
      <w:pPr>
        <w:pStyle w:val="21"/>
        <w:numPr>
          <w:ilvl w:val="1"/>
          <w:numId w:val="3"/>
        </w:numPr>
        <w:ind w:left="0" w:firstLine="640"/>
      </w:pPr>
      <w:r>
        <w:rPr>
          <w:rFonts w:hint="eastAsia"/>
        </w:rPr>
        <w:t>全力推广绿色建筑。落实绿色建筑相关标准，规范绿色建筑设计、施工、运行、管理等环节，确保新建民用建筑按照绿色建筑标</w:t>
      </w:r>
      <w:r>
        <w:t>准设计和建造</w:t>
      </w:r>
      <w:r>
        <w:rPr>
          <w:rFonts w:hint="eastAsia"/>
        </w:rPr>
        <w:t>。以大型公共建筑和国家机关办公建筑为重</w:t>
      </w:r>
      <w:r>
        <w:t>点，切实提升既有公共建筑绿色改造成效。结合老城区升级改造、优化城区功能格局等专项工作，鼓励有条件的既有居住建筑实施绿色改造。</w:t>
      </w:r>
      <w:r>
        <w:rPr>
          <w:rFonts w:hint="eastAsia"/>
        </w:rPr>
        <w:t>推广应</w:t>
      </w:r>
      <w:r>
        <w:t>用绿色建筑</w:t>
      </w:r>
      <w:r>
        <w:rPr>
          <w:rFonts w:hint="eastAsia"/>
        </w:rPr>
        <w:t>“四新”</w:t>
      </w:r>
      <w:r>
        <w:t>技术，促进绿色建材与绿色建筑协同发</w:t>
      </w:r>
      <w:r>
        <w:rPr>
          <w:rFonts w:hint="eastAsia"/>
        </w:rPr>
        <w:t>展。</w:t>
      </w:r>
      <w:r>
        <w:t>推进光伏建筑一体化应用，以节能门窗、保温材料等新型建材为重点，加大绿色建材研发力度</w:t>
      </w:r>
      <w:r>
        <w:rPr>
          <w:rFonts w:hint="eastAsia"/>
        </w:rPr>
        <w:t>，提高新建建筑</w:t>
      </w:r>
      <w:r>
        <w:t>中绿色建材应用比例。</w:t>
      </w:r>
      <w:r>
        <w:rPr>
          <w:rFonts w:hint="eastAsia"/>
        </w:rPr>
        <w:t>到</w:t>
      </w:r>
      <w:r>
        <w:t>2025</w:t>
      </w:r>
      <w:r>
        <w:rPr>
          <w:rFonts w:hint="eastAsia"/>
        </w:rPr>
        <w:t>年，新建民用建筑</w:t>
      </w:r>
      <w:r>
        <w:t>100%按照绿色建筑标准设计建造</w:t>
      </w:r>
      <w:r>
        <w:rPr>
          <w:rFonts w:hint="eastAsia"/>
        </w:rPr>
        <w:t>，大型公共建筑、公共机构办公建筑和政府投资的其他公共建筑按照二星级以上绿色建筑标准建设。（责任单位：区住建局）</w:t>
      </w:r>
    </w:p>
    <w:p w14:paraId="1CF23D67">
      <w:pPr>
        <w:pStyle w:val="21"/>
        <w:numPr>
          <w:ilvl w:val="1"/>
          <w:numId w:val="3"/>
        </w:numPr>
        <w:ind w:left="0" w:firstLine="640"/>
      </w:pPr>
      <w:r>
        <w:rPr>
          <w:rFonts w:hint="eastAsia"/>
        </w:rPr>
        <w:t>大力发展装配式建筑。发挥瑶海区作为合肥市装配式建筑重点推进区域的引领作用，贯彻落实</w:t>
      </w:r>
      <w:r>
        <w:t>《合肥市</w:t>
      </w:r>
      <w:r>
        <w:rPr>
          <w:rFonts w:hint="eastAsia"/>
        </w:rPr>
        <w:t>“十四五”</w:t>
      </w:r>
      <w:r>
        <w:t>装配式建筑发展规划》</w:t>
      </w:r>
      <w:r>
        <w:rPr>
          <w:rFonts w:hint="eastAsia"/>
        </w:rPr>
        <w:t>，推广以装配式建筑为代表的新型建筑工业化模式，</w:t>
      </w:r>
      <w:r>
        <w:t>构建装配式建筑标准化设计和生产体系，推动生产和施工智能化升级，提高装配式建筑综合效益。</w:t>
      </w:r>
      <w:r>
        <w:rPr>
          <w:rFonts w:hint="eastAsia"/>
        </w:rPr>
        <w:t>开展装配式现场建筑工作配置试点工作，</w:t>
      </w:r>
      <w:r>
        <w:t>推进装配式建筑在市政工程、公共建筑、工业建筑、基础设施建设项目中推广应用</w:t>
      </w:r>
      <w:r>
        <w:rPr>
          <w:rFonts w:hint="eastAsia"/>
        </w:rPr>
        <w:t>，所有保障性住房、人才公寓等住宅建筑和政府投资的面积大于</w:t>
      </w:r>
      <w:r>
        <w:t>10万平方米</w:t>
      </w:r>
      <w:r>
        <w:rPr>
          <w:rFonts w:hint="eastAsia"/>
        </w:rPr>
        <w:t>的</w:t>
      </w:r>
      <w:r>
        <w:t>公共建筑全部应用装配式建造技术。</w:t>
      </w:r>
      <w:r>
        <w:rPr>
          <w:rFonts w:hint="eastAsia"/>
        </w:rPr>
        <w:t>推动建筑企业</w:t>
      </w:r>
      <w:r>
        <w:t>科技创新</w:t>
      </w:r>
      <w:r>
        <w:rPr>
          <w:rFonts w:hint="eastAsia"/>
        </w:rPr>
        <w:t>。支持建设工程研究中心、创新规划设计院、技术研发中心、</w:t>
      </w:r>
      <w:r>
        <w:t>BIM技术</w:t>
      </w:r>
      <w:r>
        <w:rPr>
          <w:rFonts w:hint="eastAsia"/>
        </w:rPr>
        <w:t>研究中心等重大创新平台建设，</w:t>
      </w:r>
      <w:r>
        <w:t>加强装配式建筑上下游产业协同合作，培育一批具有较强研发能力、较大规模和综合优势强的装配</w:t>
      </w:r>
      <w:r>
        <w:rPr>
          <w:rFonts w:hint="eastAsia"/>
        </w:rPr>
        <w:t>式建筑一体化龙头企业。引导建筑行业部品部件生产企业合理布局，发</w:t>
      </w:r>
      <w:r>
        <w:t>展装配式建筑研发、设计、运输和装配产业链，</w:t>
      </w:r>
      <w:r>
        <w:rPr>
          <w:rFonts w:hint="eastAsia"/>
        </w:rPr>
        <w:t>助力</w:t>
      </w:r>
      <w:r>
        <w:t>打造长三角装配式建筑核心基地。</w:t>
      </w:r>
      <w:r>
        <w:rPr>
          <w:rFonts w:hint="eastAsia"/>
        </w:rPr>
        <w:t>到2</w:t>
      </w:r>
      <w:r>
        <w:t>025</w:t>
      </w:r>
      <w:r>
        <w:rPr>
          <w:rFonts w:hint="eastAsia"/>
        </w:rPr>
        <w:t>年，装配式建筑占新建建筑面积的比例稳定维持在</w:t>
      </w:r>
      <w:r>
        <w:t>44.6%</w:t>
      </w:r>
      <w:r>
        <w:rPr>
          <w:rFonts w:hint="eastAsia"/>
        </w:rPr>
        <w:t>左右。（责任单位：区住建局）</w:t>
      </w:r>
    </w:p>
    <w:p w14:paraId="2C9D2418">
      <w:pPr>
        <w:pStyle w:val="33"/>
        <w:spacing w:before="156" w:after="156"/>
        <w:ind w:firstLine="643"/>
      </w:pPr>
      <w:bookmarkStart w:id="36" w:name="_Toc155617309"/>
      <w:r>
        <w:rPr>
          <w:rFonts w:hint="eastAsia"/>
        </w:rPr>
        <w:t>2</w:t>
      </w:r>
      <w:r>
        <w:t>. 加强设施建设，拓宽资源利用渠道</w:t>
      </w:r>
      <w:bookmarkEnd w:id="36"/>
    </w:p>
    <w:p w14:paraId="656BB654">
      <w:pPr>
        <w:pStyle w:val="21"/>
        <w:numPr>
          <w:ilvl w:val="1"/>
          <w:numId w:val="3"/>
        </w:numPr>
        <w:ind w:left="0" w:firstLine="640"/>
      </w:pPr>
      <w:r>
        <w:rPr>
          <w:rFonts w:hint="eastAsia"/>
        </w:rPr>
        <w:t>提高建筑垃圾利用处置水平。充分发挥瑶海区装修及大件垃圾处理站的分拣和初加工功能，</w:t>
      </w:r>
      <w:r>
        <w:t>多渠道综合利用建筑垃圾，</w:t>
      </w:r>
      <w:r>
        <w:rPr>
          <w:rFonts w:hint="eastAsia"/>
        </w:rPr>
        <w:t>鼓励在</w:t>
      </w:r>
      <w:r>
        <w:t>土方平衡、环境治理、</w:t>
      </w:r>
      <w:r>
        <w:rPr>
          <w:rFonts w:hint="eastAsia"/>
        </w:rPr>
        <w:t>河流</w:t>
      </w:r>
      <w:r>
        <w:t>固坝等领域</w:t>
      </w:r>
      <w:r>
        <w:rPr>
          <w:rFonts w:hint="eastAsia"/>
        </w:rPr>
        <w:t>大量</w:t>
      </w:r>
      <w:r>
        <w:t>利用经处理后的建筑垃圾。</w:t>
      </w:r>
      <w:r>
        <w:rPr>
          <w:rFonts w:hint="eastAsia"/>
        </w:rPr>
        <w:t>深入挖潜辖区内建设工程基础施工、车库顶板回填施工、绿化景观覆土回填施工、路基路床回填施工等方式消纳处置建筑垃圾。</w:t>
      </w:r>
      <w:r>
        <w:t>鼓励社会资本参与建筑垃圾资源化利用项目的建设运营，支持建设骨料、砌块砖（透水砖）、装配式墙体等高值化利用项目</w:t>
      </w:r>
      <w:r>
        <w:rPr>
          <w:rFonts w:hint="eastAsia"/>
        </w:rPr>
        <w:t>。</w:t>
      </w:r>
      <w:r>
        <w:t>（责任单位：</w:t>
      </w:r>
      <w:r>
        <w:rPr>
          <w:rFonts w:hint="eastAsia"/>
        </w:rPr>
        <w:t>区</w:t>
      </w:r>
      <w:r>
        <w:t>城管局、</w:t>
      </w:r>
      <w:r>
        <w:rPr>
          <w:rFonts w:hint="eastAsia"/>
        </w:rPr>
        <w:t>区住</w:t>
      </w:r>
      <w:r>
        <w:t>建局）</w:t>
      </w:r>
    </w:p>
    <w:p w14:paraId="12176311">
      <w:pPr>
        <w:pStyle w:val="33"/>
        <w:spacing w:before="156" w:after="156"/>
        <w:ind w:firstLine="643"/>
      </w:pPr>
      <w:bookmarkStart w:id="37" w:name="_Toc155617310"/>
      <w:r>
        <w:t>3. 健全政策体系，推动全过程规范化管理</w:t>
      </w:r>
      <w:bookmarkEnd w:id="37"/>
    </w:p>
    <w:p w14:paraId="24C201E6">
      <w:pPr>
        <w:pStyle w:val="21"/>
        <w:numPr>
          <w:ilvl w:val="1"/>
          <w:numId w:val="3"/>
        </w:numPr>
        <w:ind w:left="0" w:firstLine="640"/>
      </w:pPr>
      <w:r>
        <w:rPr>
          <w:rFonts w:hint="eastAsia"/>
        </w:rPr>
        <w:t>健全建筑垃圾分类管理制度。落实城市建筑垃圾处置核准制度，编制建设工程施工现场建筑垃圾减量化与分类排放工作指引，以末端处置为导向对建筑垃圾进行细化分类。</w:t>
      </w:r>
      <w:r>
        <w:t>按照工程渣土、混凝土块、砖瓦碎块和</w:t>
      </w:r>
      <w:r>
        <w:rPr>
          <w:rFonts w:hint="eastAsia"/>
        </w:rPr>
        <w:t>其他</w:t>
      </w:r>
      <w:r>
        <w:t>建筑垃圾分类方法，</w:t>
      </w:r>
      <w:r>
        <w:rPr>
          <w:rFonts w:hint="eastAsia"/>
        </w:rPr>
        <w:t>实行分类收集、分类存放、分类处置，分门别类建立台账，落实建筑垃圾申报制度，实现精准有效管理，为建筑垃圾利用与处置形成源头制度保障。（责任单位：区</w:t>
      </w:r>
      <w:r>
        <w:t>城管局、</w:t>
      </w:r>
      <w:r>
        <w:rPr>
          <w:rFonts w:hint="eastAsia"/>
        </w:rPr>
        <w:t>区住</w:t>
      </w:r>
      <w:r>
        <w:t>建局</w:t>
      </w:r>
      <w:r>
        <w:rPr>
          <w:rFonts w:hint="eastAsia"/>
        </w:rPr>
        <w:t>）</w:t>
      </w:r>
    </w:p>
    <w:p w14:paraId="4D8F7E77">
      <w:pPr>
        <w:pStyle w:val="21"/>
        <w:numPr>
          <w:ilvl w:val="1"/>
          <w:numId w:val="3"/>
        </w:numPr>
        <w:ind w:left="0" w:firstLine="640"/>
      </w:pPr>
      <w:r>
        <w:rPr>
          <w:rFonts w:hint="eastAsia"/>
        </w:rPr>
        <w:t>推进工程渣土常态化治理。紧抓渣土运输管理，加强对辖区各在建工地、重点区域的监管力度，安排专人定岗、严格监督，对渣土运输工地出入口及运输施工单位工作日志、人员车辆、运输证件、路面保洁等进行全方位的检查，努力实现渣土运输施工过程的三个百分百确保。建立部门联动机制，通过执法力量联勤联动形成合力，定期组织区域内渣土施工调度会议，严厉查处运输车辆超载、撒漏严重、乱倾倒、抑尘降尘不到位等违规行为。建立工程渣土供需对接平台，提高工程渣土区域调配效率。继续探索和简化渣土运输审批流程，变“坐等审核”为“上门服务”，切实优化工程渣土管理流程。（责任单位：区</w:t>
      </w:r>
      <w:r>
        <w:t>城管局</w:t>
      </w:r>
      <w:r>
        <w:rPr>
          <w:rFonts w:hint="eastAsia"/>
        </w:rPr>
        <w:t>）</w:t>
      </w:r>
    </w:p>
    <w:p w14:paraId="16C91D35">
      <w:pPr>
        <w:pStyle w:val="21"/>
        <w:numPr>
          <w:ilvl w:val="1"/>
          <w:numId w:val="3"/>
        </w:numPr>
        <w:ind w:left="0" w:firstLine="640"/>
      </w:pPr>
      <w:r>
        <w:rPr>
          <w:rFonts w:hint="eastAsia"/>
        </w:rPr>
        <w:t>规范建筑垃圾流向管理。完善建筑垃圾信息化监管平台建设，建立电子联单管理制度，运用视频监控、大数据和智能工具匹配建筑垃圾产生信息和消纳需求，明确跨区域处置建筑垃圾的种类、数量、期限、路线、产生地、消纳地、运输和处置企业等关键信息，完善流向监管。跨区域处置应按照“谁排放谁补偿，谁处置谁受益”的原则以及市场化价格机制，建立协同处置与生态补偿机制。综合运用“双随机、一公开”监管与信用评价机制，加强对建筑垃圾各方主体和各环节的监管，依法依规将建筑垃圾违法行为处罚信息作为不良信息纳入主体信用档案。（责任单位：区</w:t>
      </w:r>
      <w:r>
        <w:t>城管局、</w:t>
      </w:r>
      <w:r>
        <w:rPr>
          <w:rFonts w:hint="eastAsia"/>
        </w:rPr>
        <w:t>区住</w:t>
      </w:r>
      <w:r>
        <w:t>建局</w:t>
      </w:r>
      <w:r>
        <w:rPr>
          <w:rFonts w:hint="eastAsia"/>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7F95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46515FCA">
            <w:pPr>
              <w:pStyle w:val="21"/>
              <w:ind w:firstLine="0" w:firstLineChars="0"/>
              <w:jc w:val="center"/>
              <w:rPr>
                <w:rFonts w:eastAsia="华文中宋"/>
              </w:rPr>
            </w:pPr>
            <w:r>
              <w:rPr>
                <w:rFonts w:hint="eastAsia" w:eastAsia="华文中宋"/>
              </w:rPr>
              <w:t>专栏</w:t>
            </w:r>
            <w:r>
              <w:rPr>
                <w:rFonts w:eastAsia="华文中宋"/>
              </w:rPr>
              <w:t>3</w:t>
            </w:r>
            <w:r>
              <w:rPr>
                <w:rFonts w:hint="eastAsia" w:eastAsia="华文中宋"/>
              </w:rPr>
              <w:t xml:space="preserve"> 装配式建筑创新发展模式</w:t>
            </w:r>
          </w:p>
          <w:p w14:paraId="3AD4AC6A">
            <w:pPr>
              <w:pStyle w:val="21"/>
              <w:ind w:firstLineChars="0"/>
              <w:rPr>
                <w:rFonts w:eastAsia="黑体"/>
              </w:rPr>
            </w:pPr>
            <w:r>
              <w:rPr>
                <w:rFonts w:hint="eastAsia" w:eastAsia="黑体"/>
              </w:rPr>
              <w:t>一、模式背景</w:t>
            </w:r>
          </w:p>
          <w:p w14:paraId="0BE724CB">
            <w:pPr>
              <w:pStyle w:val="21"/>
              <w:ind w:firstLine="640"/>
            </w:pPr>
            <w:r>
              <w:rPr>
                <w:rFonts w:hint="eastAsia"/>
              </w:rPr>
              <w:t>合肥市作为国家第一批装配式建筑示范城市，将瑶海区作为装配式建筑重点推进区域。近年来，瑶海区</w:t>
            </w:r>
            <w:r>
              <w:t>大力</w:t>
            </w:r>
            <w:r>
              <w:rPr>
                <w:rFonts w:hint="eastAsia"/>
              </w:rPr>
              <w:t>推动建筑业转型发展，</w:t>
            </w:r>
            <w:r>
              <w:t>不断创新模式推广装配式建筑，已逐步形成项</w:t>
            </w:r>
            <w:r>
              <w:rPr>
                <w:rFonts w:hint="eastAsia"/>
              </w:rPr>
              <w:t>目引领、</w:t>
            </w:r>
            <w:r>
              <w:t>重点突破、以点带面的良性发展格局，试点示范带动作用逐</w:t>
            </w:r>
            <w:r>
              <w:rPr>
                <w:rFonts w:hint="eastAsia"/>
              </w:rPr>
              <w:t>步显现。此外，瑶海</w:t>
            </w:r>
            <w:r>
              <w:t>的区位、产业优势为打造长三角装</w:t>
            </w:r>
            <w:r>
              <w:rPr>
                <w:rFonts w:hint="eastAsia"/>
              </w:rPr>
              <w:t>配式建筑核心基地奠定坚实基础，</w:t>
            </w:r>
            <w:r>
              <w:t>也为驱动建筑业绿色转型发展提供</w:t>
            </w:r>
            <w:r>
              <w:rPr>
                <w:rFonts w:hint="eastAsia"/>
              </w:rPr>
              <w:t>重要支撑。</w:t>
            </w:r>
          </w:p>
          <w:p w14:paraId="3D7B41C2">
            <w:pPr>
              <w:pStyle w:val="21"/>
              <w:ind w:firstLineChars="0"/>
              <w:rPr>
                <w:rFonts w:eastAsia="黑体"/>
              </w:rPr>
            </w:pPr>
            <w:r>
              <w:rPr>
                <w:rFonts w:hint="eastAsia" w:eastAsia="黑体"/>
              </w:rPr>
              <w:t>二、努力方向</w:t>
            </w:r>
          </w:p>
          <w:p w14:paraId="3C968A4A">
            <w:pPr>
              <w:pStyle w:val="21"/>
              <w:ind w:firstLine="640"/>
            </w:pPr>
            <w:r>
              <w:rPr>
                <w:rFonts w:hint="eastAsia"/>
              </w:rPr>
              <w:t>一是构建装配式建筑产业布局。依托区内建筑业龙头、骨干企业，围绕新型建筑工业化产业链，</w:t>
            </w:r>
            <w:r>
              <w:t>引导</w:t>
            </w:r>
            <w:r>
              <w:rPr>
                <w:rFonts w:hint="eastAsia"/>
              </w:rPr>
              <w:t>装配式</w:t>
            </w:r>
            <w:r>
              <w:t>建筑设计、科研、生产、物流、检测等产业聚集，打造区域</w:t>
            </w:r>
            <w:r>
              <w:rPr>
                <w:rFonts w:hint="eastAsia"/>
              </w:rPr>
              <w:t>性装配式建筑产业集聚区。</w:t>
            </w:r>
          </w:p>
          <w:p w14:paraId="7644186A">
            <w:pPr>
              <w:pStyle w:val="21"/>
              <w:ind w:firstLine="640"/>
            </w:pPr>
            <w:r>
              <w:rPr>
                <w:rFonts w:hint="eastAsia"/>
              </w:rPr>
              <w:t>二是推动装配式建筑产业链发展。</w:t>
            </w:r>
            <w:r>
              <w:t>发展装配式建筑研发、设计、</w:t>
            </w:r>
            <w:r>
              <w:rPr>
                <w:rFonts w:hint="eastAsia"/>
              </w:rPr>
              <w:t>构件生产、</w:t>
            </w:r>
            <w:r>
              <w:t>运输和装配的全产业链，实施优势产业强链补链工程，培</w:t>
            </w:r>
            <w:r>
              <w:rPr>
                <w:rFonts w:hint="eastAsia"/>
              </w:rPr>
              <w:t>育一批具有较强研发能力、</w:t>
            </w:r>
            <w:r>
              <w:t>较大规模和综合优势强的装配式建筑一体</w:t>
            </w:r>
            <w:r>
              <w:rPr>
                <w:rFonts w:hint="eastAsia"/>
              </w:rPr>
              <w:t>化龙头企业。</w:t>
            </w:r>
            <w:r>
              <w:t>拓宽装配式建筑应用领域，大力推进装配式建筑在市政</w:t>
            </w:r>
            <w:r>
              <w:rPr>
                <w:rFonts w:hint="eastAsia"/>
              </w:rPr>
              <w:t>工程、</w:t>
            </w:r>
            <w:r>
              <w:t>公共建筑、工业建筑、基础设施建设项目中推广应用。</w:t>
            </w:r>
          </w:p>
          <w:p w14:paraId="22E67EA6">
            <w:pPr>
              <w:pStyle w:val="21"/>
              <w:ind w:firstLine="640"/>
            </w:pPr>
            <w:r>
              <w:rPr>
                <w:rFonts w:hint="eastAsia"/>
              </w:rPr>
              <w:t>三是提升装配式建筑科技水平。</w:t>
            </w:r>
            <w:r>
              <w:t>构建装配式建筑标准化设计和生</w:t>
            </w:r>
            <w:r>
              <w:rPr>
                <w:rFonts w:hint="eastAsia"/>
              </w:rPr>
              <w:t>产体系，</w:t>
            </w:r>
            <w:r>
              <w:t>推动生产和施工智能化升级，提高装配式建筑综合效益。强</w:t>
            </w:r>
            <w:r>
              <w:rPr>
                <w:rFonts w:hint="eastAsia"/>
              </w:rPr>
              <w:t>化设计引领，</w:t>
            </w:r>
            <w:r>
              <w:t>鼓励设计单位与科研院所、高等院校等联合研发装配式</w:t>
            </w:r>
            <w:r>
              <w:rPr>
                <w:rFonts w:hint="eastAsia"/>
              </w:rPr>
              <w:t>建筑设计技术。</w:t>
            </w:r>
            <w:r>
              <w:t>引领装配式建筑正向设计，推进建筑、结构、设备管</w:t>
            </w:r>
            <w:r>
              <w:rPr>
                <w:rFonts w:hint="eastAsia"/>
              </w:rPr>
              <w:t>线、</w:t>
            </w:r>
            <w:r>
              <w:t>装修等多专业协同、一体化集成设计。</w:t>
            </w:r>
            <w:r>
              <w:rPr>
                <w:rFonts w:hint="eastAsia"/>
              </w:rPr>
              <w:t>支持企业在工程中推广应用B</w:t>
            </w:r>
            <w:r>
              <w:t>IM</w:t>
            </w:r>
            <w:r>
              <w:rPr>
                <w:rFonts w:hint="eastAsia"/>
              </w:rPr>
              <w:t>、C</w:t>
            </w:r>
            <w:r>
              <w:t>IM</w:t>
            </w:r>
            <w:r>
              <w:rPr>
                <w:rFonts w:hint="eastAsia"/>
              </w:rPr>
              <w:t>等先进技术，</w:t>
            </w:r>
            <w:r>
              <w:t>不断提高</w:t>
            </w:r>
            <w:r>
              <w:rPr>
                <w:rFonts w:hint="eastAsia"/>
              </w:rPr>
              <w:t>科研</w:t>
            </w:r>
            <w:r>
              <w:t>成果转化率</w:t>
            </w:r>
            <w:r>
              <w:rPr>
                <w:rFonts w:hint="eastAsia"/>
              </w:rPr>
              <w:t>。</w:t>
            </w:r>
          </w:p>
        </w:tc>
      </w:tr>
    </w:tbl>
    <w:p w14:paraId="76A8E416">
      <w:pPr>
        <w:pStyle w:val="23"/>
        <w:spacing w:before="156" w:after="156"/>
        <w:ind w:firstLine="640"/>
      </w:pPr>
      <w:bookmarkStart w:id="38" w:name="_Toc155617311"/>
      <w:r>
        <w:rPr>
          <w:rFonts w:hint="eastAsia"/>
        </w:rPr>
        <w:t>（五</w:t>
      </w:r>
      <w:r>
        <w:t>）发展无废农业，推进农业固体废物高效利用</w:t>
      </w:r>
      <w:bookmarkEnd w:id="38"/>
    </w:p>
    <w:p w14:paraId="48430B11">
      <w:pPr>
        <w:pStyle w:val="21"/>
        <w:ind w:firstLine="640"/>
      </w:pPr>
      <w:r>
        <w:rPr>
          <w:rFonts w:hint="eastAsia"/>
        </w:rPr>
        <w:t>以化肥农药减量增效、</w:t>
      </w:r>
      <w:r>
        <w:t>秸秆资源化利用</w:t>
      </w:r>
      <w:r>
        <w:rPr>
          <w:rFonts w:hint="eastAsia"/>
        </w:rPr>
        <w:t>、</w:t>
      </w:r>
      <w:r>
        <w:t>畜禽</w:t>
      </w:r>
      <w:r>
        <w:rPr>
          <w:rFonts w:hint="eastAsia"/>
        </w:rPr>
        <w:t>禁养</w:t>
      </w:r>
      <w:r>
        <w:t>为重点，全面推动农业生态化循环化发展</w:t>
      </w:r>
      <w:r>
        <w:rPr>
          <w:rFonts w:hint="eastAsia"/>
        </w:rPr>
        <w:t>，坚持走出产出高效、产品安全、资源节约、环境友好的现代生态农业发展道路。</w:t>
      </w:r>
    </w:p>
    <w:p w14:paraId="4F0C5461">
      <w:pPr>
        <w:pStyle w:val="33"/>
        <w:spacing w:before="156" w:after="156"/>
        <w:ind w:firstLine="643"/>
      </w:pPr>
      <w:bookmarkStart w:id="39" w:name="_Toc155617312"/>
      <w:r>
        <w:t xml:space="preserve">1. </w:t>
      </w:r>
      <w:r>
        <w:rPr>
          <w:rFonts w:hint="eastAsia"/>
        </w:rPr>
        <w:t>推广农业清洁生产，发展高质量绿色化农业</w:t>
      </w:r>
      <w:bookmarkEnd w:id="39"/>
    </w:p>
    <w:p w14:paraId="270DF8D6">
      <w:pPr>
        <w:pStyle w:val="21"/>
        <w:numPr>
          <w:ilvl w:val="1"/>
          <w:numId w:val="3"/>
        </w:numPr>
        <w:ind w:left="0" w:firstLine="640"/>
      </w:pPr>
      <w:r>
        <w:rPr>
          <w:rFonts w:hint="eastAsia"/>
        </w:rPr>
        <w:t>持续推进农业面源污染防治。继续实施化肥、农药零增长行动，鼓励农民增施有机肥，科学施用农药，推行农作物病虫害专业化统防统治和绿色防控，推广高效低毒低残留农药和现代植保机械。充分发挥周谷堆农产品批发市场的带动作用，加快传统农业改造，加大农业技术创新力度。推行农业清洁生产技术，加大农业面源污染治理与监督指导工作。严禁将城镇生活垃圾、污泥、工业废物直接用作肥料。到</w:t>
      </w:r>
      <w:r>
        <w:t>2025年底，有机肥使用覆盖率</w:t>
      </w:r>
      <w:r>
        <w:rPr>
          <w:rFonts w:hint="eastAsia"/>
        </w:rPr>
        <w:t>稳步提升</w:t>
      </w:r>
      <w:r>
        <w:t>，氮磷化肥与化学农药使用量实现零增长。</w:t>
      </w:r>
      <w:r>
        <w:rPr>
          <w:rFonts w:hint="eastAsia"/>
        </w:rPr>
        <w:t>（责任单位：区农水局、区生态环境分局）</w:t>
      </w:r>
    </w:p>
    <w:p w14:paraId="5E0FFD49">
      <w:pPr>
        <w:pStyle w:val="33"/>
        <w:spacing w:before="156" w:after="156"/>
        <w:ind w:firstLine="643"/>
      </w:pPr>
      <w:bookmarkStart w:id="40" w:name="_Toc155617313"/>
      <w:r>
        <w:rPr>
          <w:rFonts w:hint="eastAsia"/>
        </w:rPr>
        <w:t>2</w:t>
      </w:r>
      <w:r>
        <w:t xml:space="preserve">. </w:t>
      </w:r>
      <w:r>
        <w:rPr>
          <w:rFonts w:hint="eastAsia"/>
        </w:rPr>
        <w:t>健全循环利用体系，强化综合治理推进力度</w:t>
      </w:r>
      <w:bookmarkEnd w:id="40"/>
    </w:p>
    <w:p w14:paraId="2674C7AA">
      <w:pPr>
        <w:pStyle w:val="21"/>
        <w:numPr>
          <w:ilvl w:val="1"/>
          <w:numId w:val="3"/>
        </w:numPr>
        <w:ind w:left="0" w:firstLine="640"/>
      </w:pPr>
      <w:r>
        <w:rPr>
          <w:rFonts w:hint="eastAsia"/>
        </w:rPr>
        <w:t>健全回收利用体系。建立健全废弃农膜、农药包装等农业源固体废物的回收贮运和综合利用网络。加强生产、</w:t>
      </w:r>
      <w:r>
        <w:t>销售、使用和回收等环节全链条监管</w:t>
      </w:r>
      <w:r>
        <w:rPr>
          <w:rFonts w:hint="eastAsia"/>
        </w:rPr>
        <w:t>，严厉打击违法生产和销售不合格农膜行为，推广标准地膜和生物可降解膜。鼓励农药生产者经营者采取押金制、</w:t>
      </w:r>
      <w:r>
        <w:t>有偿回收等措施，引导使用者交回农药包装废弃物</w:t>
      </w:r>
      <w:r>
        <w:rPr>
          <w:rFonts w:hint="eastAsia"/>
        </w:rPr>
        <w:t>。摸清农作物秸秆产生与</w:t>
      </w:r>
      <w:r>
        <w:t>资源化利用底数，掌握离田利用去向等基础数据</w:t>
      </w:r>
      <w:r>
        <w:rPr>
          <w:rFonts w:hint="eastAsia"/>
        </w:rPr>
        <w:t>，推行农作物秸秆信息化管理，鼓励以直接还田、堆腐还田为主要途径实现秸秆全量资源化利用。到</w:t>
      </w:r>
      <w:r>
        <w:t>2025年，</w:t>
      </w:r>
      <w:r>
        <w:rPr>
          <w:rFonts w:hint="eastAsia"/>
        </w:rPr>
        <w:t>秸秆综合利用率、废旧农膜回收率、</w:t>
      </w:r>
      <w:r>
        <w:t>农药包装废弃物回收率</w:t>
      </w:r>
      <w:r>
        <w:rPr>
          <w:rFonts w:hint="eastAsia"/>
        </w:rPr>
        <w:t>保持1</w:t>
      </w:r>
      <w:r>
        <w:t>00</w:t>
      </w:r>
      <w:r>
        <w:rPr>
          <w:rFonts w:hint="eastAsia"/>
        </w:rPr>
        <w:t>%</w:t>
      </w:r>
      <w:r>
        <w:t>。</w:t>
      </w:r>
      <w:r>
        <w:rPr>
          <w:rFonts w:hint="eastAsia"/>
        </w:rPr>
        <w:t>（责任单位：区农水局、区市场监管局）</w:t>
      </w:r>
    </w:p>
    <w:p w14:paraId="691C9F0B">
      <w:pPr>
        <w:pStyle w:val="21"/>
        <w:numPr>
          <w:ilvl w:val="1"/>
          <w:numId w:val="3"/>
        </w:numPr>
        <w:ind w:left="0" w:firstLine="640"/>
      </w:pPr>
      <w:r>
        <w:rPr>
          <w:rFonts w:hint="eastAsia"/>
        </w:rPr>
        <w:t>培育新型治理主体。按照种植现状，探索培育农业面源污染防治经营性服务组织，鼓励新型治理主体开展地膜回收利用、农作物秸秆回收加工，支持具有资质的经营性服务组织从事农业面源污染防治。探索农业产业化龙头企业采用绩效合同服务等方式引入第三方治理，实施农业面源污染防治工程整体式设计、模块化建设、一体化运营。（责任单位：区农水局、区生态环境分局）</w:t>
      </w:r>
    </w:p>
    <w:p w14:paraId="0A0E647B">
      <w:pPr>
        <w:pStyle w:val="33"/>
        <w:spacing w:before="156" w:after="156"/>
        <w:ind w:firstLine="643"/>
      </w:pPr>
      <w:bookmarkStart w:id="41" w:name="_Toc155617314"/>
      <w:r>
        <w:t xml:space="preserve">3. </w:t>
      </w:r>
      <w:r>
        <w:rPr>
          <w:rFonts w:hint="eastAsia"/>
        </w:rPr>
        <w:t>完善监督管理体系，提升污染综合防治能力</w:t>
      </w:r>
      <w:bookmarkEnd w:id="41"/>
    </w:p>
    <w:p w14:paraId="65318358">
      <w:pPr>
        <w:pStyle w:val="21"/>
        <w:numPr>
          <w:ilvl w:val="1"/>
          <w:numId w:val="3"/>
        </w:numPr>
        <w:ind w:left="0" w:firstLine="640"/>
      </w:pPr>
      <w:r>
        <w:rPr>
          <w:rFonts w:hint="eastAsia"/>
        </w:rPr>
        <w:t>提升监督应急管理水平。协同相关部门加大化肥、农药等农资市场监管力度，规范农资企业经营行为，杜绝不合格农资流入市场。严格监管影响农产品产地环境安全的各类污染源。加大农业环境污染应急管理力度，提升快速反应处置能力。（责任单位：区市场监管局、区农水局、区生态环境分局）</w:t>
      </w:r>
    </w:p>
    <w:p w14:paraId="5ACFC952">
      <w:pPr>
        <w:pStyle w:val="21"/>
        <w:numPr>
          <w:ilvl w:val="1"/>
          <w:numId w:val="3"/>
        </w:numPr>
        <w:ind w:left="0" w:firstLine="640"/>
      </w:pPr>
      <w:r>
        <w:rPr>
          <w:rFonts w:hint="eastAsia"/>
        </w:rPr>
        <w:t>巩固畜禽禁养工作成效。持续宣贯</w:t>
      </w:r>
      <w:r>
        <w:t>《瑶海区畜禽禁养工作实施方案》，在全区范围内</w:t>
      </w:r>
      <w:r>
        <w:rPr>
          <w:rFonts w:hint="eastAsia"/>
        </w:rPr>
        <w:t>继续</w:t>
      </w:r>
      <w:r>
        <w:t>实行畜禽禁养</w:t>
      </w:r>
      <w:r>
        <w:rPr>
          <w:rFonts w:hint="eastAsia"/>
        </w:rPr>
        <w:t>政策。定期</w:t>
      </w:r>
      <w:r>
        <w:t>开展畜禽禁养工作</w:t>
      </w:r>
      <w:r>
        <w:rPr>
          <w:rFonts w:hint="eastAsia"/>
        </w:rPr>
        <w:t>“</w:t>
      </w:r>
      <w:r>
        <w:t>回头看</w:t>
      </w:r>
      <w:r>
        <w:rPr>
          <w:rFonts w:hint="eastAsia"/>
        </w:rPr>
        <w:t>”</w:t>
      </w:r>
      <w:r>
        <w:t>行动，严格落实属地的主体责任，强化责任意识，加大巡查力度，全面排查辖区内的养殖现状，坚决杜绝新养殖场（户）出现</w:t>
      </w:r>
      <w:r>
        <w:rPr>
          <w:rFonts w:hint="eastAsia"/>
        </w:rPr>
        <w:t>或</w:t>
      </w:r>
      <w:r>
        <w:t>经关闭后的养殖场（户）</w:t>
      </w:r>
      <w:r>
        <w:rPr>
          <w:rFonts w:hint="eastAsia"/>
        </w:rPr>
        <w:t>发生</w:t>
      </w:r>
      <w:r>
        <w:t>养殖反弹现象，确保全区退出</w:t>
      </w:r>
      <w:r>
        <w:rPr>
          <w:rFonts w:hint="eastAsia"/>
        </w:rPr>
        <w:t>畜禽</w:t>
      </w:r>
      <w:r>
        <w:t>养殖。</w:t>
      </w:r>
      <w:r>
        <w:rPr>
          <w:rFonts w:hint="eastAsia"/>
        </w:rPr>
        <w:t>（责任单位：区农水局、区城管局、区生态环境分局）</w:t>
      </w:r>
    </w:p>
    <w:p w14:paraId="27FAAE57">
      <w:pPr>
        <w:pStyle w:val="23"/>
        <w:spacing w:before="156" w:after="156"/>
        <w:ind w:firstLine="640"/>
      </w:pPr>
      <w:bookmarkStart w:id="42" w:name="_Toc155617315"/>
      <w:r>
        <w:rPr>
          <w:rFonts w:hint="eastAsia"/>
        </w:rPr>
        <w:t>（六</w:t>
      </w:r>
      <w:r>
        <w:t>）</w:t>
      </w:r>
      <w:r>
        <w:rPr>
          <w:rFonts w:hint="eastAsia"/>
        </w:rPr>
        <w:t>加强环境监管，助力污染地块土壤高效修复</w:t>
      </w:r>
      <w:bookmarkEnd w:id="42"/>
    </w:p>
    <w:p w14:paraId="324AD6B4">
      <w:pPr>
        <w:pStyle w:val="21"/>
        <w:ind w:firstLine="640"/>
      </w:pPr>
      <w:r>
        <w:rPr>
          <w:rFonts w:hint="eastAsia"/>
        </w:rPr>
        <w:t>加大力度推进污染土壤治理，探索节能降耗土壤修复技术路线，总结凝练出涵盖制度设计、过程把控、技术路线的土壤修复经验做法，形成可复制、可推广的土壤修复治理示范样本。</w:t>
      </w:r>
    </w:p>
    <w:p w14:paraId="3E80B1DD">
      <w:pPr>
        <w:pStyle w:val="21"/>
        <w:numPr>
          <w:ilvl w:val="1"/>
          <w:numId w:val="3"/>
        </w:numPr>
        <w:ind w:left="0" w:firstLine="640"/>
      </w:pPr>
      <w:r>
        <w:rPr>
          <w:rFonts w:hint="eastAsia"/>
        </w:rPr>
        <w:t>有序开展治理与修复。充分落实土壤污染治理与修复相关规划，结合瑶海区城市质量提升和发展布局，积极会同东部新中心、东投公司针对污染土壤制定具体运输方案，摸清底数、落实分类收集处置措施。（责任单位：区生态环境分局）</w:t>
      </w:r>
    </w:p>
    <w:p w14:paraId="19711B10">
      <w:pPr>
        <w:pStyle w:val="21"/>
        <w:numPr>
          <w:ilvl w:val="1"/>
          <w:numId w:val="3"/>
        </w:numPr>
        <w:ind w:left="0" w:firstLine="640"/>
      </w:pPr>
      <w:r>
        <w:rPr>
          <w:rFonts w:hint="eastAsia"/>
        </w:rPr>
        <w:t>强化全过程监督体系建设。切实加强拟外运处置污染土壤的收集和运输环节监管，督促修复单位妥善申报和处理污染土壤治理修复过程中产生的废活性炭、污泥等其他危险废物，采取必要措施防止污染土壤挖掘、堆存等过程造成二次污染。利用合肥市土壤污染防治监管平台，整合生态环境、农林水务、自然资源等部门数据，建立土壤环境基础数据库，形成全区土壤污染防治“一张图”，全面实现对片区内各地块、各工作环节的全过程有效监管、精准调度及信息回溯。（责任单位：区生态环境分局、区城管局）</w:t>
      </w:r>
    </w:p>
    <w:p w14:paraId="04AE0AA0">
      <w:pPr>
        <w:pStyle w:val="21"/>
        <w:numPr>
          <w:ilvl w:val="1"/>
          <w:numId w:val="3"/>
        </w:numPr>
        <w:ind w:left="0" w:firstLine="640"/>
      </w:pPr>
      <w:r>
        <w:rPr>
          <w:rFonts w:hint="eastAsia"/>
        </w:rPr>
        <w:t>充分落实企业主体责任。根据工业企业分布和污染排放情况，确定土壤环境重点监管企业名单，动态更新并定期向社会公布。督促企业加强内部管理，将土壤污染防治工作纳入环境风险防控体系，依法依规建设和运营污染治理设施，确保重点污染物稳定达标排放。（责任单位：区生态环境分局）</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35F8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5F3FCF8C">
            <w:pPr>
              <w:pStyle w:val="21"/>
              <w:ind w:firstLine="0" w:firstLineChars="0"/>
              <w:jc w:val="center"/>
              <w:rPr>
                <w:rFonts w:eastAsia="华文中宋"/>
              </w:rPr>
            </w:pPr>
            <w:r>
              <w:rPr>
                <w:rFonts w:hint="eastAsia" w:eastAsia="华文中宋"/>
              </w:rPr>
              <w:t>专栏</w:t>
            </w:r>
            <w:r>
              <w:rPr>
                <w:rFonts w:eastAsia="华文中宋"/>
              </w:rPr>
              <w:t>4</w:t>
            </w:r>
            <w:r>
              <w:rPr>
                <w:rFonts w:hint="eastAsia" w:eastAsia="华文中宋"/>
              </w:rPr>
              <w:t xml:space="preserve"> 污染土壤环境监管新模式</w:t>
            </w:r>
          </w:p>
          <w:p w14:paraId="2E0A1842">
            <w:pPr>
              <w:pStyle w:val="21"/>
              <w:ind w:firstLineChars="0"/>
              <w:rPr>
                <w:rFonts w:eastAsia="黑体"/>
              </w:rPr>
            </w:pPr>
            <w:r>
              <w:rPr>
                <w:rFonts w:hint="eastAsia" w:eastAsia="黑体"/>
              </w:rPr>
              <w:t>一、模式背景</w:t>
            </w:r>
          </w:p>
          <w:p w14:paraId="5451731E">
            <w:pPr>
              <w:pStyle w:val="21"/>
              <w:ind w:firstLine="640"/>
            </w:pPr>
            <w:r>
              <w:rPr>
                <w:rFonts w:hint="eastAsia"/>
              </w:rPr>
              <w:t>瑶海区作为老工业搬迁改造区，搬迁后的厂区土壤中含有长期生产带来的铬等重金属，以及沥青、石油等不可降解污染物，处理好污染土壤的治理修复工作对瑶海转型发展和合肥东部新中心建设至关重要。近年来，瑶海区共有马合钢、氯碱化工、老合钢等污染地块，总占地面积约</w:t>
            </w:r>
            <w:r>
              <w:t>5202亩</w:t>
            </w:r>
            <w:r>
              <w:rPr>
                <w:rFonts w:hint="eastAsia"/>
              </w:rPr>
              <w:t>。鉴于此，瑶海区打造出“</w:t>
            </w:r>
            <w:r>
              <w:t>1+1+4</w:t>
            </w:r>
            <w:r>
              <w:rPr>
                <w:rFonts w:hint="eastAsia"/>
              </w:rPr>
              <w:t>”</w:t>
            </w:r>
            <w:r>
              <w:t>全国首例特色修复工程施工和管理团队</w:t>
            </w:r>
            <w:r>
              <w:rPr>
                <w:rFonts w:hint="eastAsia"/>
              </w:rPr>
              <w:t>，采用异位热脱附、淋洗、水泥窑协同处置、化学氧化等方式全力开展污染土壤治理修复工作，将外运处置污染土壤纳入工业固体废物信息平台统一管理，初步形成了</w:t>
            </w:r>
            <w:r>
              <w:t>土壤环境监管新模式</w:t>
            </w:r>
            <w:r>
              <w:rPr>
                <w:rFonts w:hint="eastAsia"/>
              </w:rPr>
              <w:t>。</w:t>
            </w:r>
          </w:p>
          <w:p w14:paraId="53BA2941">
            <w:pPr>
              <w:pStyle w:val="21"/>
              <w:ind w:firstLineChars="0"/>
              <w:rPr>
                <w:rFonts w:eastAsia="黑体"/>
              </w:rPr>
            </w:pPr>
            <w:r>
              <w:rPr>
                <w:rFonts w:hint="eastAsia" w:eastAsia="黑体"/>
              </w:rPr>
              <w:t>二、努力方向</w:t>
            </w:r>
          </w:p>
          <w:p w14:paraId="27CD76E9">
            <w:pPr>
              <w:pStyle w:val="21"/>
              <w:ind w:firstLine="640"/>
            </w:pPr>
            <w:r>
              <w:rPr>
                <w:rFonts w:hint="eastAsia"/>
              </w:rPr>
              <w:t>一是</w:t>
            </w:r>
            <w:r>
              <w:t>落实</w:t>
            </w:r>
            <w:r>
              <w:rPr>
                <w:rFonts w:hint="eastAsia"/>
              </w:rPr>
              <w:t>污染</w:t>
            </w:r>
            <w:r>
              <w:t>治理与修复规划</w:t>
            </w:r>
            <w:r>
              <w:rPr>
                <w:rFonts w:hint="eastAsia"/>
              </w:rPr>
              <w:t>。以《合肥东部新中心瑶海片区工业污染地块风险管控与治理修复五年实施计划》为总体指导，以“调查-</w:t>
            </w:r>
            <w:r>
              <w:t>评估-修复-监测-利用</w:t>
            </w:r>
            <w:r>
              <w:rPr>
                <w:rFonts w:hint="eastAsia"/>
              </w:rPr>
              <w:t>”</w:t>
            </w:r>
            <w:r>
              <w:t>瑶海模式为工作体系，全生命周期参与地块工作和项目评审</w:t>
            </w:r>
            <w:r>
              <w:rPr>
                <w:rFonts w:hint="eastAsia"/>
              </w:rPr>
              <w:t>。根据区域土壤质量与项目的成熟程度、复杂程度，结合东部新中心片区规划和建设时序，对污染土壤实施分类分区防治、重点监管。</w:t>
            </w:r>
          </w:p>
          <w:p w14:paraId="10578963">
            <w:pPr>
              <w:pStyle w:val="21"/>
              <w:ind w:firstLine="640"/>
            </w:pPr>
            <w:r>
              <w:rPr>
                <w:rFonts w:hint="eastAsia"/>
              </w:rPr>
              <w:t>二是加强治理与修复工程监管</w:t>
            </w:r>
            <w:r>
              <w:t>。</w:t>
            </w:r>
            <w:r>
              <w:rPr>
                <w:rFonts w:hint="eastAsia"/>
              </w:rPr>
              <w:t>借助固废管理信息系统提升土壤污染修复工作信息化水平，借力土壤修复大平台，从土壤修复“事前、事中、事后”全流程出发，开展创新土壤污染地块治理工作模式。充分利用环境监理单位力量，以月报形式掌握和了解土壤修复工作开展情况，定期会同环境监理单位现场核查，严格修复过程中产生的废活性炭、污泥等其他危险废物去向监管。定期开展第三方环境监测，确保修复过程中产生的二次污染物达标排放。</w:t>
            </w:r>
          </w:p>
          <w:p w14:paraId="093E4C0C">
            <w:pPr>
              <w:pStyle w:val="21"/>
              <w:ind w:firstLine="640"/>
            </w:pPr>
            <w:r>
              <w:rPr>
                <w:rFonts w:hint="eastAsia"/>
              </w:rPr>
              <w:t>三是严格建设用地风险管控和治理修复。以东部新中心区域开发建设为契机，加强腾退土地污染风险管控和治理修复。受污染土壤修复后资源化利用的，不得对土壤和周边环境造成新的污染。对暂不开发的受污染建设用地地块，实施土壤污染风险管控，防止污染扩散。强化风险管控和修复工程监管，重点防止转运的污染土壤被非法处置，以及污染地块风险管控和修复过程中产生的二次污染，确保实现风险管控和修复目标。</w:t>
            </w:r>
          </w:p>
        </w:tc>
      </w:tr>
    </w:tbl>
    <w:p w14:paraId="0ACED1C4">
      <w:pPr>
        <w:pStyle w:val="23"/>
        <w:spacing w:before="156" w:after="156"/>
        <w:ind w:firstLine="640"/>
      </w:pPr>
      <w:bookmarkStart w:id="43" w:name="_Toc155617316"/>
      <w:r>
        <w:rPr>
          <w:rFonts w:hint="eastAsia"/>
        </w:rPr>
        <w:t>（七</w:t>
      </w:r>
      <w:r>
        <w:t>）</w:t>
      </w:r>
      <w:r>
        <w:rPr>
          <w:rFonts w:hint="eastAsia"/>
        </w:rPr>
        <w:t>促进协同增效，</w:t>
      </w:r>
      <w:r>
        <w:t>积极推动固废综合利用减污降碳</w:t>
      </w:r>
      <w:bookmarkEnd w:id="43"/>
    </w:p>
    <w:p w14:paraId="36D7F735">
      <w:pPr>
        <w:pStyle w:val="21"/>
        <w:ind w:firstLine="640"/>
      </w:pPr>
      <w:r>
        <w:rPr>
          <w:rFonts w:hint="eastAsia"/>
        </w:rPr>
        <w:t>严格落实国家、安徽省和合肥市有关碳达峰碳中和工作部署，</w:t>
      </w:r>
      <w:r>
        <w:t>以实现固体废物领域减污降碳协同增效为导向，以工业污染源和生活污染源为重点领域，明确</w:t>
      </w:r>
      <w:r>
        <w:rPr>
          <w:rFonts w:hint="eastAsia"/>
        </w:rPr>
        <w:t>“无废城市”</w:t>
      </w:r>
      <w:r>
        <w:t>建设与碳达峰碳中和工作协同推进策略，拓展和深化</w:t>
      </w:r>
      <w:r>
        <w:rPr>
          <w:rFonts w:hint="eastAsia"/>
        </w:rPr>
        <w:t>“无废城市”</w:t>
      </w:r>
      <w:r>
        <w:t>建设带来的碳减排潜力</w:t>
      </w:r>
      <w:r>
        <w:rPr>
          <w:rFonts w:hint="eastAsia"/>
        </w:rPr>
        <w:t>。</w:t>
      </w:r>
    </w:p>
    <w:p w14:paraId="2A63D5F7">
      <w:pPr>
        <w:pStyle w:val="21"/>
        <w:numPr>
          <w:ilvl w:val="1"/>
          <w:numId w:val="3"/>
        </w:numPr>
        <w:ind w:left="0" w:firstLine="640"/>
      </w:pPr>
      <w:r>
        <w:rPr>
          <w:rFonts w:hint="eastAsia"/>
        </w:rPr>
        <w:t>落实减污降碳顶层设计。探索“无废城市”</w:t>
      </w:r>
      <w:r>
        <w:t>建设碳达峰碳中和路径，加强规划衔接，推动将固体废物领域减污降碳协同增效纳入污染防治攻坚战和碳达峰碳中和行动，实施碳排放总量和强度、固废产</w:t>
      </w:r>
      <w:r>
        <w:rPr>
          <w:rFonts w:hint="eastAsia"/>
        </w:rPr>
        <w:t>生总量和强度“四控”</w:t>
      </w:r>
      <w:r>
        <w:t>。引导重点产废企业和固体废物利用处置企业编制碳达峰碳中和行动方案以及温室气体排放清单。到2025年，重点产废企业和综合利用处置企业开展温室气体排放清单编制的数量占比不低于50%。（责任单位：区生态环境分局、</w:t>
      </w:r>
      <w:r>
        <w:rPr>
          <w:rFonts w:hint="eastAsia"/>
        </w:rPr>
        <w:t>区</w:t>
      </w:r>
      <w:r>
        <w:t>发改委、</w:t>
      </w:r>
      <w:r>
        <w:rPr>
          <w:rFonts w:hint="eastAsia"/>
        </w:rPr>
        <w:t>区</w:t>
      </w:r>
      <w:r>
        <w:t>经信局）</w:t>
      </w:r>
    </w:p>
    <w:p w14:paraId="79378D10">
      <w:pPr>
        <w:pStyle w:val="21"/>
        <w:numPr>
          <w:ilvl w:val="1"/>
          <w:numId w:val="3"/>
        </w:numPr>
        <w:ind w:left="0" w:firstLine="640"/>
      </w:pPr>
      <w:r>
        <w:rPr>
          <w:rFonts w:hint="eastAsia"/>
        </w:rPr>
        <w:t>推动重点领域减污降碳。大力发展循环经济，</w:t>
      </w:r>
      <w:r>
        <w:t>推动传统产业和新兴产业固体废物源头减量和资源化利用。鼓励</w:t>
      </w:r>
      <w:r>
        <w:rPr>
          <w:rFonts w:hint="eastAsia"/>
        </w:rPr>
        <w:t>相关</w:t>
      </w:r>
      <w:r>
        <w:t>产废企业开展工业绿色低碳微电网建设，推进多能高效互补利用，积极参与可再生能源绿色电力证书交易。推动多种工业固废协同利用，促进固废资源化产品流通，减少原料和产品在生产、运输、销售和处置等环节产生的温室气体排放。探索报废</w:t>
      </w:r>
      <w:r>
        <w:rPr>
          <w:rFonts w:hint="eastAsia"/>
        </w:rPr>
        <w:t>工业产品</w:t>
      </w:r>
      <w:r>
        <w:t>的回收和资源化利用，减少对原生资源的消耗和依赖。加强建筑</w:t>
      </w:r>
      <w:r>
        <w:rPr>
          <w:rFonts w:hint="eastAsia"/>
        </w:rPr>
        <w:t>物拆除管理，</w:t>
      </w:r>
      <w:r>
        <w:t>全面推广绿色低碳建材</w:t>
      </w:r>
      <w:r>
        <w:rPr>
          <w:rFonts w:hint="eastAsia"/>
        </w:rPr>
        <w:t>和绿色建筑</w:t>
      </w:r>
      <w:r>
        <w:t>建设。开展固体废物综合治理、清洁能源替代等各类节能减排和绿色低碳措施。（责任单位：</w:t>
      </w:r>
      <w:r>
        <w:rPr>
          <w:rFonts w:hint="eastAsia"/>
        </w:rPr>
        <w:t>区</w:t>
      </w:r>
      <w:r>
        <w:t>发改委、</w:t>
      </w:r>
      <w:r>
        <w:rPr>
          <w:rFonts w:hint="eastAsia"/>
        </w:rPr>
        <w:t>区</w:t>
      </w:r>
      <w:r>
        <w:t>经信局、</w:t>
      </w:r>
      <w:r>
        <w:rPr>
          <w:rFonts w:hint="eastAsia"/>
        </w:rPr>
        <w:t>区</w:t>
      </w:r>
      <w:r>
        <w:t>生态环境</w:t>
      </w:r>
      <w:r>
        <w:rPr>
          <w:rFonts w:hint="eastAsia"/>
        </w:rPr>
        <w:t>分</w:t>
      </w:r>
      <w:r>
        <w:t>局、</w:t>
      </w:r>
      <w:r>
        <w:rPr>
          <w:rFonts w:hint="eastAsia"/>
        </w:rPr>
        <w:t>区住</w:t>
      </w:r>
      <w:r>
        <w:t>建局）</w:t>
      </w:r>
    </w:p>
    <w:p w14:paraId="6E448EE2">
      <w:pPr>
        <w:pStyle w:val="21"/>
        <w:numPr>
          <w:ilvl w:val="1"/>
          <w:numId w:val="3"/>
        </w:numPr>
        <w:ind w:left="0" w:firstLine="640"/>
      </w:pPr>
      <w:r>
        <w:rPr>
          <w:rFonts w:hint="eastAsia"/>
        </w:rPr>
        <w:t>推广减污降碳技术装备。坚持节约优先战略，</w:t>
      </w:r>
      <w:r>
        <w:t>大力推广节能技术，依据高耗能行业重点领域节能降碳改造升级实施指南、绿色技术推广目录、国家工业节能技术装备推荐目录、</w:t>
      </w:r>
      <w:r>
        <w:rPr>
          <w:rFonts w:hint="eastAsia"/>
        </w:rPr>
        <w:t>“能效之星”</w:t>
      </w:r>
      <w:r>
        <w:t>装备产品目录等，引导产废单位采用先进适用的节能新技术、新装备、新工艺，提高固体废物资源化利用及处置过程的能效水平。通过高热值有机固体废物、厌氧消化回收甲烷等高热值燃料替代部分燃料，推进二次原材料替代部分初次原材料</w:t>
      </w:r>
      <w:r>
        <w:rPr>
          <w:rFonts w:hint="eastAsia"/>
        </w:rPr>
        <w:t>，完善绿色能源体系建设</w:t>
      </w:r>
      <w:r>
        <w:t>。</w:t>
      </w:r>
      <w:r>
        <w:rPr>
          <w:rFonts w:hint="eastAsia"/>
        </w:rPr>
        <w:t>鼓励企业开展低碳技术研究与示</w:t>
      </w:r>
      <w:r>
        <w:t>范，探索有机固废制取生物天然气</w:t>
      </w:r>
      <w:r>
        <w:rPr>
          <w:rFonts w:hint="eastAsia"/>
        </w:rPr>
        <w:t>技术</w:t>
      </w:r>
      <w:r>
        <w:t>。充分利用高等院校、科研院所、企业等主体的科技创新资源，推动固体废物领域减污降碳协同增效的杂质多场强化分离、有价组分富集分离等关键共性技术、前沿引领技术和智能解离装备、生活垃圾分类处理技术装备攻关，为节能环保、新能源等新兴产业发展提供有力支撑。（责任单位：</w:t>
      </w:r>
      <w:r>
        <w:rPr>
          <w:rFonts w:hint="eastAsia"/>
        </w:rPr>
        <w:t>区</w:t>
      </w:r>
      <w:r>
        <w:t>发改委、</w:t>
      </w:r>
      <w:r>
        <w:rPr>
          <w:rFonts w:hint="eastAsia"/>
        </w:rPr>
        <w:t>区</w:t>
      </w:r>
      <w:r>
        <w:t>生态环境</w:t>
      </w:r>
      <w:r>
        <w:rPr>
          <w:rFonts w:hint="eastAsia"/>
        </w:rPr>
        <w:t>分</w:t>
      </w:r>
      <w:r>
        <w:t>局、</w:t>
      </w:r>
      <w:r>
        <w:rPr>
          <w:rFonts w:hint="eastAsia"/>
        </w:rPr>
        <w:t>区</w:t>
      </w:r>
      <w:r>
        <w:t>经信局、</w:t>
      </w:r>
      <w:r>
        <w:rPr>
          <w:rFonts w:hint="eastAsia"/>
        </w:rPr>
        <w:t>区</w:t>
      </w:r>
      <w:r>
        <w:t>农</w:t>
      </w:r>
      <w:r>
        <w:rPr>
          <w:rFonts w:hint="eastAsia"/>
        </w:rPr>
        <w:t>水</w:t>
      </w:r>
      <w:r>
        <w:t>局、</w:t>
      </w:r>
      <w:r>
        <w:rPr>
          <w:rFonts w:hint="eastAsia"/>
        </w:rPr>
        <w:t>区</w:t>
      </w:r>
      <w:r>
        <w:t>科技局）</w:t>
      </w:r>
    </w:p>
    <w:p w14:paraId="5599AB23">
      <w:pPr>
        <w:pStyle w:val="21"/>
        <w:numPr>
          <w:ilvl w:val="1"/>
          <w:numId w:val="3"/>
        </w:numPr>
        <w:ind w:left="0" w:firstLine="640"/>
      </w:pPr>
      <w:r>
        <w:rPr>
          <w:rFonts w:hint="eastAsia"/>
        </w:rPr>
        <w:t>加强减污降碳协同管理。充分利用现有法律、</w:t>
      </w:r>
      <w:r>
        <w:t>法规、标准、政策体系和统计、监</w:t>
      </w:r>
      <w:r>
        <w:rPr>
          <w:rFonts w:hint="eastAsia"/>
        </w:rPr>
        <w:t>测、</w:t>
      </w:r>
      <w:r>
        <w:t>监管手段，推动</w:t>
      </w:r>
      <w:r>
        <w:rPr>
          <w:rFonts w:hint="eastAsia"/>
        </w:rPr>
        <w:t>“无废城市”</w:t>
      </w:r>
      <w:r>
        <w:t>建设与低碳发展、绿色发展、生态文明建设等工作协同融合，加强固体废物领域污染物与温室气体在统计、核算和报告制度、数据信息应用等方面的协同。开展</w:t>
      </w:r>
      <w:r>
        <w:rPr>
          <w:rFonts w:hint="eastAsia"/>
        </w:rPr>
        <w:t>“无废城市”</w:t>
      </w:r>
      <w:r>
        <w:t>建设与碳减排协同管理，用足用好碳减排金融支持政策。评估</w:t>
      </w:r>
      <w:r>
        <w:rPr>
          <w:rFonts w:hint="eastAsia"/>
        </w:rPr>
        <w:t>“无废城市”</w:t>
      </w:r>
      <w:r>
        <w:t>建设的碳减排效益和潜力，动态识别减污降碳重点领域和关键环节，优化提升固体废物综合治理带来的环境效益、经济效益和社会效益。（责任单位：</w:t>
      </w:r>
      <w:r>
        <w:rPr>
          <w:rFonts w:hint="eastAsia"/>
        </w:rPr>
        <w:t>区</w:t>
      </w:r>
      <w:r>
        <w:t>生态环境</w:t>
      </w:r>
      <w:r>
        <w:rPr>
          <w:rFonts w:hint="eastAsia"/>
        </w:rPr>
        <w:t>分</w:t>
      </w:r>
      <w:r>
        <w:t>局、</w:t>
      </w:r>
      <w:r>
        <w:rPr>
          <w:rFonts w:hint="eastAsia"/>
        </w:rPr>
        <w:t>区</w:t>
      </w:r>
      <w:r>
        <w:t>发改委、</w:t>
      </w:r>
      <w:r>
        <w:rPr>
          <w:rFonts w:hint="eastAsia"/>
        </w:rPr>
        <w:t>区</w:t>
      </w:r>
      <w:r>
        <w:t>经信局）</w:t>
      </w:r>
    </w:p>
    <w:p w14:paraId="0338EFD3">
      <w:pPr>
        <w:pStyle w:val="23"/>
        <w:spacing w:before="156" w:after="156"/>
        <w:ind w:firstLine="640"/>
      </w:pPr>
      <w:bookmarkStart w:id="44" w:name="_Toc155617317"/>
      <w:r>
        <w:rPr>
          <w:rFonts w:hint="eastAsia"/>
        </w:rPr>
        <w:t>（八</w:t>
      </w:r>
      <w:r>
        <w:t>）</w:t>
      </w:r>
      <w:r>
        <w:rPr>
          <w:rFonts w:hint="eastAsia"/>
        </w:rPr>
        <w:t>推进体系建设，</w:t>
      </w:r>
      <w:r>
        <w:t>提升</w:t>
      </w:r>
      <w:r>
        <w:rPr>
          <w:rFonts w:hint="eastAsia"/>
        </w:rPr>
        <w:t>“无废城市”</w:t>
      </w:r>
      <w:r>
        <w:t>系统保障能力</w:t>
      </w:r>
      <w:bookmarkEnd w:id="44"/>
    </w:p>
    <w:p w14:paraId="4EEE7D27">
      <w:pPr>
        <w:pStyle w:val="21"/>
        <w:ind w:firstLine="640"/>
      </w:pPr>
      <w:r>
        <w:rPr>
          <w:rFonts w:hint="eastAsia"/>
        </w:rPr>
        <w:t>坚持“长效监管，</w:t>
      </w:r>
      <w:r>
        <w:t>创新驱动</w:t>
      </w:r>
      <w:r>
        <w:rPr>
          <w:rFonts w:hint="eastAsia"/>
        </w:rPr>
        <w:t>”</w:t>
      </w:r>
      <w:r>
        <w:t>原则，深入推动制度、技术、市场、监管体系创新，全面提升</w:t>
      </w:r>
      <w:r>
        <w:rPr>
          <w:rFonts w:hint="eastAsia"/>
        </w:rPr>
        <w:t>“无废城市”</w:t>
      </w:r>
      <w:r>
        <w:t>建设系统保障能力，构建</w:t>
      </w:r>
      <w:r>
        <w:rPr>
          <w:rFonts w:hint="eastAsia"/>
        </w:rPr>
        <w:t>“无废城市”</w:t>
      </w:r>
      <w:r>
        <w:t>建设长效机制，持续提升固体废物治理体系和治理能力。</w:t>
      </w:r>
    </w:p>
    <w:p w14:paraId="4A7E2F3B">
      <w:pPr>
        <w:pStyle w:val="21"/>
        <w:numPr>
          <w:ilvl w:val="1"/>
          <w:numId w:val="3"/>
        </w:numPr>
        <w:ind w:left="0" w:firstLine="640"/>
      </w:pPr>
      <w:r>
        <w:t>健全管理制度体系</w:t>
      </w:r>
      <w:r>
        <w:rPr>
          <w:rFonts w:hint="eastAsia"/>
        </w:rPr>
        <w:t>。建立健全固体废物环境管理制度体系，</w:t>
      </w:r>
      <w:r>
        <w:t>制定</w:t>
      </w:r>
      <w:r>
        <w:rPr>
          <w:rFonts w:hint="eastAsia"/>
        </w:rPr>
        <w:t>“无废城市”</w:t>
      </w:r>
      <w:r>
        <w:t>建设部门责任清单，进一步明确各类固体废物产生、收集、贮存、运输、利用、处置等环节的部门职责边界，形成权责清晰、分工明确、协同高效的部门协调机制。深化各类固体废物综合治理制度改革，强化分级分类管理、生产者责任延伸、跨区域处置生态补偿等制度创新，提升综合管理效能。健全固体废物统计制度，完善建筑垃圾、</w:t>
      </w:r>
      <w:r>
        <w:rPr>
          <w:rFonts w:hint="eastAsia"/>
        </w:rPr>
        <w:t>生活垃圾</w:t>
      </w:r>
      <w:r>
        <w:t>、再生资</w:t>
      </w:r>
      <w:r>
        <w:rPr>
          <w:rFonts w:hint="eastAsia"/>
        </w:rPr>
        <w:t>源等固体废物统计范围、</w:t>
      </w:r>
      <w:r>
        <w:t>口径、分类和方法。实行环境信息依法披露制度，增强固废信息透明度。完善考核评价体系，对</w:t>
      </w:r>
      <w:r>
        <w:rPr>
          <w:rFonts w:hint="eastAsia"/>
        </w:rPr>
        <w:t>“无废城市”</w:t>
      </w:r>
      <w:r>
        <w:t>建设年度任务完成情况、公众满意度等方面开展评价考核。（责任单位：区生态环境分局、</w:t>
      </w:r>
      <w:r>
        <w:rPr>
          <w:rFonts w:hint="eastAsia"/>
        </w:rPr>
        <w:t>区住</w:t>
      </w:r>
      <w:r>
        <w:t>建局、</w:t>
      </w:r>
      <w:r>
        <w:rPr>
          <w:rFonts w:hint="eastAsia"/>
        </w:rPr>
        <w:t>区</w:t>
      </w:r>
      <w:r>
        <w:t>城管局、</w:t>
      </w:r>
      <w:r>
        <w:rPr>
          <w:rFonts w:hint="eastAsia"/>
        </w:rPr>
        <w:t>区</w:t>
      </w:r>
      <w:r>
        <w:t>农</w:t>
      </w:r>
      <w:r>
        <w:rPr>
          <w:rFonts w:hint="eastAsia"/>
        </w:rPr>
        <w:t>水</w:t>
      </w:r>
      <w:r>
        <w:t>局、</w:t>
      </w:r>
      <w:r>
        <w:rPr>
          <w:rFonts w:hint="eastAsia"/>
        </w:rPr>
        <w:t>区</w:t>
      </w:r>
      <w:r>
        <w:t>卫健委、</w:t>
      </w:r>
      <w:r>
        <w:rPr>
          <w:rFonts w:hint="eastAsia"/>
        </w:rPr>
        <w:t>区商务局</w:t>
      </w:r>
      <w:r>
        <w:t>、</w:t>
      </w:r>
      <w:r>
        <w:rPr>
          <w:rFonts w:hint="eastAsia"/>
        </w:rPr>
        <w:t>区</w:t>
      </w:r>
      <w:r>
        <w:t>统计局）</w:t>
      </w:r>
    </w:p>
    <w:p w14:paraId="34FF98D4">
      <w:pPr>
        <w:pStyle w:val="21"/>
        <w:numPr>
          <w:ilvl w:val="1"/>
          <w:numId w:val="3"/>
        </w:numPr>
        <w:ind w:left="0" w:firstLine="640"/>
      </w:pPr>
      <w:r>
        <w:t>创新科技支撑体系</w:t>
      </w:r>
      <w:r>
        <w:rPr>
          <w:rFonts w:hint="eastAsia"/>
        </w:rPr>
        <w:t>。高举“产业立区”，实施产业发展“</w:t>
      </w:r>
      <w:r>
        <w:t>11332</w:t>
      </w:r>
      <w:r>
        <w:rPr>
          <w:rFonts w:hint="eastAsia"/>
        </w:rPr>
        <w:t>”</w:t>
      </w:r>
      <w:r>
        <w:t>工程</w:t>
      </w:r>
      <w:r>
        <w:rPr>
          <w:rFonts w:hint="eastAsia"/>
        </w:rPr>
        <w:t>，加快“一带三区”产业布局，依托长江东大街</w:t>
      </w:r>
      <w:r>
        <w:t>-新安江路沿线两侧可连片开发的地块，积极引入新业态、新模式，培育发展总部经济，壮大瑶海</w:t>
      </w:r>
      <w:bookmarkStart w:id="45" w:name="_Hlk152000290"/>
      <w:r>
        <w:rPr>
          <w:rFonts w:hint="eastAsia"/>
        </w:rPr>
        <w:t>战略性新兴产业</w:t>
      </w:r>
      <w:bookmarkEnd w:id="45"/>
      <w:r>
        <w:rPr>
          <w:rFonts w:hint="eastAsia"/>
        </w:rPr>
        <w:t>。</w:t>
      </w:r>
      <w:r>
        <w:t>依托中国网谷</w:t>
      </w:r>
      <w:r>
        <w:rPr>
          <w:rFonts w:hint="eastAsia"/>
        </w:rPr>
        <w:t>“一谷三基地”</w:t>
      </w:r>
      <w:r>
        <w:t>物理空间载体，强化物联网、大数据、人工智能和实体经济深度融合，重构竞争力</w:t>
      </w:r>
      <w:r>
        <w:rPr>
          <w:rFonts w:hint="eastAsia"/>
        </w:rPr>
        <w:t>。</w:t>
      </w:r>
      <w:r>
        <w:t>坚持数字引领，以</w:t>
      </w:r>
      <w:r>
        <w:rPr>
          <w:rFonts w:hint="eastAsia"/>
        </w:rPr>
        <w:t>“</w:t>
      </w:r>
      <w:r>
        <w:t>数字产业化、产业数字化</w:t>
      </w:r>
      <w:r>
        <w:rPr>
          <w:rFonts w:hint="eastAsia"/>
        </w:rPr>
        <w:t>”</w:t>
      </w:r>
      <w:r>
        <w:t>为主线，赋能传统产业转型升级。</w:t>
      </w:r>
      <w:r>
        <w:rPr>
          <w:rFonts w:hint="eastAsia"/>
        </w:rPr>
        <w:t>充分发挥产学研平台作用。深化与中科大长三角科技战略前沿研究中心合作，发挥</w:t>
      </w:r>
      <w:r>
        <w:t>G60科创走廊环境产业技术创新联盟作用，加强企业与高校科研院所的技术交流与合作。</w:t>
      </w:r>
      <w:r>
        <w:rPr>
          <w:rFonts w:hint="eastAsia"/>
        </w:rPr>
        <w:t>找准自身定位，主动对接寻求优良产业项目，精准制定政策，推动区域科技转型。</w:t>
      </w:r>
      <w:r>
        <w:t>以龙岗</w:t>
      </w:r>
      <w:r>
        <w:rPr>
          <w:rFonts w:hint="eastAsia"/>
        </w:rPr>
        <w:t>片区</w:t>
      </w:r>
      <w:r>
        <w:t>为主要载体，积极承接沪宁杭产业转移和科技成果转化，助力合肥市打造长三角科技成果产业化基地。坚持</w:t>
      </w:r>
      <w:r>
        <w:rPr>
          <w:rFonts w:hint="eastAsia"/>
        </w:rPr>
        <w:t>“</w:t>
      </w:r>
      <w:r>
        <w:t>人才强</w:t>
      </w:r>
      <w:r>
        <w:rPr>
          <w:rFonts w:hint="eastAsia"/>
        </w:rPr>
        <w:t>区”</w:t>
      </w:r>
      <w:r>
        <w:t>战略，打造固废领域人才</w:t>
      </w:r>
      <w:r>
        <w:rPr>
          <w:rFonts w:hint="eastAsia"/>
        </w:rPr>
        <w:t>“</w:t>
      </w:r>
      <w:r>
        <w:t>蓄水池</w:t>
      </w:r>
      <w:r>
        <w:rPr>
          <w:rFonts w:hint="eastAsia"/>
        </w:rPr>
        <w:t>”，</w:t>
      </w:r>
      <w:r>
        <w:t>发展一批市场化、专业化的绿色技术创新</w:t>
      </w:r>
      <w:r>
        <w:rPr>
          <w:rFonts w:hint="eastAsia"/>
        </w:rPr>
        <w:t>“</w:t>
      </w:r>
      <w:r>
        <w:t>经纪人</w:t>
      </w:r>
      <w:r>
        <w:rPr>
          <w:rFonts w:hint="eastAsia"/>
        </w:rPr>
        <w:t>”</w:t>
      </w:r>
      <w:r>
        <w:t>。（责任单位：</w:t>
      </w:r>
      <w:r>
        <w:rPr>
          <w:rFonts w:hint="eastAsia"/>
        </w:rPr>
        <w:t>区</w:t>
      </w:r>
      <w:r>
        <w:t>科技局、区生态环境分局、</w:t>
      </w:r>
      <w:r>
        <w:rPr>
          <w:rFonts w:hint="eastAsia"/>
        </w:rPr>
        <w:t>区</w:t>
      </w:r>
      <w:r>
        <w:t>发改委、</w:t>
      </w:r>
      <w:r>
        <w:rPr>
          <w:rFonts w:hint="eastAsia"/>
        </w:rPr>
        <w:t>区</w:t>
      </w:r>
      <w:r>
        <w:t>经信局等）</w:t>
      </w:r>
    </w:p>
    <w:p w14:paraId="7B66CDAF">
      <w:pPr>
        <w:pStyle w:val="21"/>
        <w:numPr>
          <w:ilvl w:val="1"/>
          <w:numId w:val="3"/>
        </w:numPr>
        <w:ind w:left="0" w:firstLine="640"/>
      </w:pPr>
      <w:r>
        <w:rPr>
          <w:rFonts w:hint="eastAsia"/>
        </w:rPr>
        <w:t>培育成熟市场体系。充分发挥政府引导作用，强化企业创新主体地位，</w:t>
      </w:r>
      <w:r>
        <w:t>深入推进节能环保产业</w:t>
      </w:r>
      <w:r>
        <w:rPr>
          <w:rFonts w:hint="eastAsia"/>
        </w:rPr>
        <w:t>“双招双引”</w:t>
      </w:r>
      <w:r>
        <w:t>，</w:t>
      </w:r>
      <w:r>
        <w:rPr>
          <w:rFonts w:hint="eastAsia"/>
        </w:rPr>
        <w:t>积极培育资源与环境、固体废弃物污染治理、生活垃圾资源无害化处理等方面的骨干企业。鼓励本地龙头企业开展自产固体废物高值化综合利用，通过示范引领，总结推广可复制的经验和做法，推进固体废物产业化发展，推动产业提质增效。继续开展企业环境信用评价工作。按照《安徽省企业环境信用评价实施方案》规定流程，定期发布瑶海区企业环境信用等级评定结果，将评定结果和奖惩措施挂钩，激励相关企业主动采取各类固体废物源头减量和处理处置措施。</w:t>
      </w:r>
      <w:r>
        <w:t>坚持产融结合，支持头部企业建立产业基金，围绕产业链、聚集上下游，打造开放式基金体系，</w:t>
      </w:r>
      <w:r>
        <w:rPr>
          <w:rFonts w:hint="eastAsia"/>
        </w:rPr>
        <w:t>实现资本链与产业链有机结合。</w:t>
      </w:r>
      <w:r>
        <w:t>落实资源综合利用增值税即征即退等税收优惠政策，加大资源综合利用产品的政府采购支持力度。（责任单位：</w:t>
      </w:r>
      <w:r>
        <w:rPr>
          <w:rFonts w:hint="eastAsia"/>
        </w:rPr>
        <w:t>区</w:t>
      </w:r>
      <w:r>
        <w:t>财政局、</w:t>
      </w:r>
      <w:r>
        <w:rPr>
          <w:rFonts w:hint="eastAsia"/>
        </w:rPr>
        <w:t>区</w:t>
      </w:r>
      <w:r>
        <w:t>发改委、</w:t>
      </w:r>
      <w:r>
        <w:rPr>
          <w:rFonts w:hint="eastAsia"/>
        </w:rPr>
        <w:t>区经信局、区市场监管局、区</w:t>
      </w:r>
      <w:r>
        <w:t>税务局</w:t>
      </w:r>
      <w:r>
        <w:rPr>
          <w:rFonts w:hint="eastAsia"/>
        </w:rPr>
        <w:t>、区生态环境分局</w:t>
      </w:r>
      <w:r>
        <w:t>）</w:t>
      </w:r>
    </w:p>
    <w:p w14:paraId="134F2B7C">
      <w:pPr>
        <w:pStyle w:val="21"/>
        <w:numPr>
          <w:ilvl w:val="1"/>
          <w:numId w:val="3"/>
        </w:numPr>
        <w:ind w:left="0" w:firstLine="640"/>
      </w:pPr>
      <w:r>
        <w:rPr>
          <w:rFonts w:hint="eastAsia"/>
        </w:rPr>
        <w:t>构建数智监管体系。完善固体废物环境信息管理，</w:t>
      </w:r>
      <w:r>
        <w:t>打通多部门固体废物相关数据壁垒，</w:t>
      </w:r>
      <w:r>
        <w:rPr>
          <w:rFonts w:hint="eastAsia"/>
        </w:rPr>
        <w:t>配合市级建设“数智固废”</w:t>
      </w:r>
      <w:r>
        <w:t>管理系统，实现跨部门、跨层级、跨领域数据共享，形成高效监管格局和服务模式。面向固废管理相关部门，建立</w:t>
      </w:r>
      <w:r>
        <w:rPr>
          <w:rFonts w:hint="eastAsia"/>
        </w:rPr>
        <w:t>“多端”门</w:t>
      </w:r>
      <w:r>
        <w:t>户应用，实现固废数据互联互通</w:t>
      </w:r>
      <w:r>
        <w:rPr>
          <w:rFonts w:hint="eastAsia"/>
        </w:rPr>
        <w:t>，建成“无废城市”的大数据库体系</w:t>
      </w:r>
      <w:r>
        <w:t>。探索应用固废不同利用处置场景生态环境风险智能感知与管控技术。督促企业全面落实固废排污许可事项和管理要求，推动产废单位排污许可证中工业固废相关事项的申请、核发与变更。健全环保信用评价体系，推动将工业固体废物重点产生单位和利用处置单位纳入环保信用评价管理，依法将存在固体废物环境违法行为的企业纳入生态环境保护领域违法失信名单。</w:t>
      </w:r>
      <w:r>
        <w:rPr>
          <w:rFonts w:hint="eastAsia"/>
        </w:rPr>
        <w:t>落实危险废物跨省转移审</w:t>
      </w:r>
      <w:r>
        <w:t>批</w:t>
      </w:r>
      <w:r>
        <w:rPr>
          <w:rFonts w:hint="eastAsia"/>
        </w:rPr>
        <w:t>“白名单”管</w:t>
      </w:r>
      <w:r>
        <w:t>理制度，提升废矿物油、废贵金属催化剂等类别危废转移的便利性。在危险废物</w:t>
      </w:r>
      <w:r>
        <w:rPr>
          <w:rFonts w:hint="eastAsia"/>
        </w:rPr>
        <w:t>重点产废单位</w:t>
      </w:r>
      <w:r>
        <w:t>全面推行环境污染责任保险全覆盖。（责任单位：区生态环境分局、</w:t>
      </w:r>
      <w:r>
        <w:rPr>
          <w:rFonts w:hint="eastAsia"/>
        </w:rPr>
        <w:t>区数据资源</w:t>
      </w:r>
      <w:r>
        <w:t>局、</w:t>
      </w:r>
      <w:r>
        <w:rPr>
          <w:rFonts w:hint="eastAsia"/>
        </w:rPr>
        <w:t>区住</w:t>
      </w:r>
      <w:r>
        <w:t>建局、</w:t>
      </w:r>
      <w:r>
        <w:rPr>
          <w:rFonts w:hint="eastAsia"/>
        </w:rPr>
        <w:t>区</w:t>
      </w:r>
      <w:r>
        <w:t>城管局、</w:t>
      </w:r>
      <w:r>
        <w:rPr>
          <w:rFonts w:hint="eastAsia"/>
        </w:rPr>
        <w:t>区农水局、公安瑶海分局）</w:t>
      </w:r>
    </w:p>
    <w:p w14:paraId="62D65B97">
      <w:pPr>
        <w:pStyle w:val="23"/>
        <w:spacing w:before="156" w:after="156"/>
        <w:ind w:firstLine="640"/>
      </w:pPr>
      <w:bookmarkStart w:id="46" w:name="_Toc155617318"/>
      <w:r>
        <w:rPr>
          <w:rFonts w:hint="eastAsia"/>
        </w:rPr>
        <w:t>（九</w:t>
      </w:r>
      <w:r>
        <w:t>）培育无废文化，打造</w:t>
      </w:r>
      <w:r>
        <w:rPr>
          <w:rFonts w:hint="eastAsia"/>
        </w:rPr>
        <w:t>“无废城市”多</w:t>
      </w:r>
      <w:r>
        <w:t>元共治格局</w:t>
      </w:r>
      <w:bookmarkEnd w:id="46"/>
    </w:p>
    <w:p w14:paraId="6FC7F613">
      <w:pPr>
        <w:pStyle w:val="21"/>
        <w:ind w:firstLine="640"/>
      </w:pPr>
      <w:r>
        <w:rPr>
          <w:rFonts w:hint="eastAsia"/>
        </w:rPr>
        <w:t>坚持“权责明确，</w:t>
      </w:r>
      <w:r>
        <w:t>社会共治</w:t>
      </w:r>
      <w:r>
        <w:rPr>
          <w:rFonts w:hint="eastAsia"/>
        </w:rPr>
        <w:t>”</w:t>
      </w:r>
      <w:r>
        <w:t>原则，深入开展</w:t>
      </w:r>
      <w:r>
        <w:rPr>
          <w:rFonts w:hint="eastAsia"/>
        </w:rPr>
        <w:t>“无废城市”建设</w:t>
      </w:r>
      <w:r>
        <w:t>宣传，促进无废文化主流化发展，推动全社会共同参与，营造</w:t>
      </w:r>
      <w:r>
        <w:rPr>
          <w:rFonts w:hint="eastAsia"/>
        </w:rPr>
        <w:t>“无废城市”</w:t>
      </w:r>
      <w:r>
        <w:t>共建共享良好氛围，彰显无废文化魅力。</w:t>
      </w:r>
    </w:p>
    <w:p w14:paraId="5138421D">
      <w:pPr>
        <w:pStyle w:val="21"/>
        <w:numPr>
          <w:ilvl w:val="1"/>
          <w:numId w:val="3"/>
        </w:numPr>
        <w:ind w:left="0" w:firstLine="640"/>
      </w:pPr>
      <w:r>
        <w:t>深入开展</w:t>
      </w:r>
      <w:r>
        <w:rPr>
          <w:rFonts w:hint="eastAsia"/>
        </w:rPr>
        <w:t>“无废”宣</w:t>
      </w:r>
      <w:r>
        <w:t>传</w:t>
      </w:r>
      <w:r>
        <w:rPr>
          <w:rFonts w:hint="eastAsia"/>
        </w:rPr>
        <w:t>。以习近平生态文明思想为总领，依托瑶海“工业文化”，打造“无废文化”为标识的工业无废创意文化。进一步构建“无废城市”建设立体宣传网络，制定“无废城市”</w:t>
      </w:r>
      <w:r>
        <w:t>建设宣传工作方案</w:t>
      </w:r>
      <w:r>
        <w:rPr>
          <w:rFonts w:hint="eastAsia"/>
        </w:rPr>
        <w:t>，借助</w:t>
      </w:r>
      <w:r>
        <w:t>世界环境日、低碳日等纪念活动，充分利用</w:t>
      </w:r>
      <w:r>
        <w:rPr>
          <w:rFonts w:hint="eastAsia"/>
        </w:rPr>
        <w:t>广播电视、报刊杂志、互联网、微信公众号、《向东看</w:t>
      </w:r>
      <w:r>
        <w:t xml:space="preserve"> 新瑶海》等媒体平台，宣传</w:t>
      </w:r>
      <w:r>
        <w:rPr>
          <w:rFonts w:hint="eastAsia"/>
        </w:rPr>
        <w:t>“无废城市”</w:t>
      </w:r>
      <w:r>
        <w:t>建设理念。</w:t>
      </w:r>
      <w:r>
        <w:rPr>
          <w:rFonts w:hint="eastAsia"/>
        </w:rPr>
        <w:t>组织“无废城市”</w:t>
      </w:r>
      <w:r>
        <w:t>主题论坛、讲座等系列推介活动，展示</w:t>
      </w:r>
      <w:r>
        <w:rPr>
          <w:rFonts w:hint="eastAsia"/>
        </w:rPr>
        <w:t>“无废城市”</w:t>
      </w:r>
      <w:r>
        <w:t>建设成效。</w:t>
      </w:r>
      <w:r>
        <w:rPr>
          <w:rFonts w:hint="eastAsia"/>
        </w:rPr>
        <w:t>将“无废城市”宣传教育纳入党政机关、国民教育、干部学习培训体系，融入机关、企业、社区、学校准则规范。</w:t>
      </w:r>
      <w:r>
        <w:t>通过开放环保设施、设立企业开放日、建设教育体验</w:t>
      </w:r>
      <w:r>
        <w:rPr>
          <w:rFonts w:hint="eastAsia"/>
        </w:rPr>
        <w:t>场所等形式，</w:t>
      </w:r>
      <w:r>
        <w:t>打造一批固废利用处置设施示范教育基地，提升公众对</w:t>
      </w:r>
      <w:r>
        <w:rPr>
          <w:rFonts w:hint="eastAsia"/>
        </w:rPr>
        <w:t>“无废城市”</w:t>
      </w:r>
      <w:r>
        <w:t>建设的认知水平。</w:t>
      </w:r>
      <w:r>
        <w:rPr>
          <w:rFonts w:hint="eastAsia"/>
        </w:rPr>
        <w:t>在机关、学校、商场、医院、酒店等场所全面推广使用节能、环保、再生等绿色产品。组织开展绿色生产、低碳生活、废物循环利用等多种形式的绿色实践活动，为瑶海区“无废城市”发展营造良好社会氛围。</w:t>
      </w:r>
      <w:r>
        <w:t>（责任单位：区生态环境分局、</w:t>
      </w:r>
      <w:r>
        <w:rPr>
          <w:rFonts w:hint="eastAsia"/>
        </w:rPr>
        <w:t>区委宣传部、区教体</w:t>
      </w:r>
      <w:r>
        <w:t>局、</w:t>
      </w:r>
      <w:r>
        <w:rPr>
          <w:rFonts w:hint="eastAsia"/>
        </w:rPr>
        <w:t>区科技局</w:t>
      </w:r>
      <w:r>
        <w:t>、</w:t>
      </w:r>
      <w:r>
        <w:rPr>
          <w:rFonts w:hint="eastAsia"/>
        </w:rPr>
        <w:t>区</w:t>
      </w:r>
      <w:r>
        <w:t>经信局、</w:t>
      </w:r>
      <w:r>
        <w:rPr>
          <w:rFonts w:hint="eastAsia"/>
        </w:rPr>
        <w:t>区</w:t>
      </w:r>
      <w:bookmarkStart w:id="47" w:name="_Hlk151651995"/>
      <w:r>
        <w:rPr>
          <w:rFonts w:hint="eastAsia"/>
        </w:rPr>
        <w:t>住</w:t>
      </w:r>
      <w:bookmarkEnd w:id="47"/>
      <w:r>
        <w:t>建局、</w:t>
      </w:r>
      <w:r>
        <w:rPr>
          <w:rFonts w:hint="eastAsia"/>
        </w:rPr>
        <w:t>区</w:t>
      </w:r>
      <w:r>
        <w:t>城管局、</w:t>
      </w:r>
      <w:r>
        <w:rPr>
          <w:rFonts w:hint="eastAsia"/>
        </w:rPr>
        <w:t>区农水局、区</w:t>
      </w:r>
      <w:r>
        <w:t>商务局等）</w:t>
      </w:r>
    </w:p>
    <w:p w14:paraId="30CC7BE8">
      <w:pPr>
        <w:pStyle w:val="21"/>
        <w:numPr>
          <w:ilvl w:val="1"/>
          <w:numId w:val="3"/>
        </w:numPr>
        <w:ind w:left="0" w:firstLine="640"/>
      </w:pPr>
      <w:r>
        <w:rPr>
          <w:rFonts w:hint="eastAsia"/>
        </w:rPr>
        <w:t>开展“无废细胞”</w:t>
      </w:r>
      <w:r>
        <w:t>创建</w:t>
      </w:r>
      <w:r>
        <w:rPr>
          <w:rFonts w:hint="eastAsia"/>
        </w:rPr>
        <w:t>。以节约型机关、绿色饭店、绿色学校、绿色商场、绿色快递网点等为抓手，大力倡导“无废”理念，推动形成简约适度、绿色低碳、文明健康的生活理念和生活方式。针对垃圾分类和固体废物减量化、资源化以及无害化处理处置，面向个人、家庭、社区、学校、企事业单位以及党政机关，广泛开展“无废细胞”系列建设。成立“</w:t>
      </w:r>
      <w:r>
        <w:t>无废</w:t>
      </w:r>
      <w:r>
        <w:rPr>
          <w:rFonts w:hint="eastAsia"/>
        </w:rPr>
        <w:t>细胞”</w:t>
      </w:r>
      <w:r>
        <w:t>建设组织机构</w:t>
      </w:r>
      <w:r>
        <w:rPr>
          <w:rFonts w:hint="eastAsia"/>
        </w:rPr>
        <w:t>，制定“无废细胞”建设实施方案及鼓励办法，营造全民参与良好氛围，树立典范，激发活力。树立“无废城市”</w:t>
      </w:r>
      <w:r>
        <w:t>建设示范典型，推广</w:t>
      </w:r>
      <w:r>
        <w:rPr>
          <w:rFonts w:hint="eastAsia"/>
        </w:rPr>
        <w:t>“无废细胞”</w:t>
      </w:r>
      <w:r>
        <w:t>建设经验。到2025年底，</w:t>
      </w:r>
      <w:r>
        <w:rPr>
          <w:rFonts w:hint="eastAsia"/>
        </w:rPr>
        <w:t>建成各类“无废细胞”1</w:t>
      </w:r>
      <w:r>
        <w:t>3个。</w:t>
      </w:r>
      <w:r>
        <w:rPr>
          <w:rFonts w:hint="eastAsia"/>
        </w:rPr>
        <w:t>（责任单位：区生态环境分局、区城管局、区</w:t>
      </w:r>
      <w:r>
        <w:t>教</w:t>
      </w:r>
      <w:r>
        <w:rPr>
          <w:rFonts w:hint="eastAsia"/>
        </w:rPr>
        <w:t>体</w:t>
      </w:r>
      <w:r>
        <w:t>局</w:t>
      </w:r>
      <w:r>
        <w:rPr>
          <w:rFonts w:hint="eastAsia"/>
        </w:rPr>
        <w:t>、区文旅局、区</w:t>
      </w:r>
      <w:r>
        <w:t>卫健委、</w:t>
      </w:r>
      <w:r>
        <w:rPr>
          <w:rFonts w:hint="eastAsia"/>
        </w:rPr>
        <w:t>区住建局、区发改委）</w:t>
      </w:r>
    </w:p>
    <w:p w14:paraId="45156221">
      <w:pPr>
        <w:pStyle w:val="21"/>
        <w:numPr>
          <w:ilvl w:val="1"/>
          <w:numId w:val="3"/>
        </w:numPr>
        <w:ind w:left="0" w:firstLine="640"/>
      </w:pPr>
      <w:r>
        <w:rPr>
          <w:rFonts w:hint="eastAsia"/>
        </w:rPr>
        <w:t>推动全社会共同参与。发挥党政机关示范作用，</w:t>
      </w:r>
      <w:r>
        <w:t>开展公共机构生活垃圾分类和资源循环利用示范建设。强化企业绿色生产责任，引导企业积极参</w:t>
      </w:r>
      <w:r>
        <w:rPr>
          <w:rFonts w:hint="eastAsia"/>
        </w:rPr>
        <w:t>与“无废”理念传播，将企业绿色生产责任融入企业发展战略，塑造“无废”</w:t>
      </w:r>
      <w:r>
        <w:t>企业形象。激发全民绿色生活自觉，围绕百姓衣食住行，深入开展减废降碳全民行动。餐饮企业、学校、</w:t>
      </w:r>
      <w:r>
        <w:rPr>
          <w:rFonts w:hint="eastAsia"/>
        </w:rPr>
        <w:t>企事业</w:t>
      </w:r>
      <w:r>
        <w:t>单位食堂等全面推</w:t>
      </w:r>
      <w:r>
        <w:rPr>
          <w:rFonts w:hint="eastAsia"/>
        </w:rPr>
        <w:t>行“光盘”行</w:t>
      </w:r>
      <w:r>
        <w:t>动。以减塑、减排、资源节约和垃圾分类为重点，</w:t>
      </w:r>
      <w:r>
        <w:rPr>
          <w:rFonts w:hint="eastAsia"/>
        </w:rPr>
        <w:t>充分</w:t>
      </w:r>
      <w:r>
        <w:t>培养青少年绿色生活行为习惯。组织开展</w:t>
      </w:r>
      <w:r>
        <w:rPr>
          <w:rFonts w:hint="eastAsia"/>
        </w:rPr>
        <w:t>“无废城市”</w:t>
      </w:r>
      <w:r>
        <w:t>建设学习调研活动，邀请省内外</w:t>
      </w:r>
      <w:r>
        <w:rPr>
          <w:rFonts w:hint="eastAsia"/>
        </w:rPr>
        <w:t>“无废城市”</w:t>
      </w:r>
      <w:r>
        <w:t>建设方面的知名专家学者开展培训。（责任单位：</w:t>
      </w:r>
      <w:r>
        <w:rPr>
          <w:rFonts w:hint="eastAsia"/>
        </w:rPr>
        <w:t>区生态环境分局</w:t>
      </w:r>
      <w:r>
        <w:t>、</w:t>
      </w:r>
      <w:r>
        <w:rPr>
          <w:rFonts w:hint="eastAsia"/>
        </w:rPr>
        <w:t>区</w:t>
      </w:r>
      <w:r>
        <w:t>发改委、</w:t>
      </w:r>
      <w:r>
        <w:rPr>
          <w:rFonts w:hint="eastAsia"/>
        </w:rPr>
        <w:t>区机关事务管理中心、区</w:t>
      </w:r>
      <w:r>
        <w:t>城管局、</w:t>
      </w:r>
      <w:r>
        <w:rPr>
          <w:rFonts w:hint="eastAsia"/>
        </w:rPr>
        <w:t>区</w:t>
      </w:r>
      <w:r>
        <w:t>教</w:t>
      </w:r>
      <w:r>
        <w:rPr>
          <w:rFonts w:hint="eastAsia"/>
        </w:rPr>
        <w:t>体</w:t>
      </w:r>
      <w:r>
        <w:t>局、</w:t>
      </w:r>
      <w:r>
        <w:rPr>
          <w:rFonts w:hint="eastAsia"/>
        </w:rPr>
        <w:t>区市场监管局、区文旅局、区商</w:t>
      </w:r>
      <w:r>
        <w:t>务局等）</w:t>
      </w:r>
    </w:p>
    <w:p w14:paraId="5243A955">
      <w:pPr>
        <w:pStyle w:val="21"/>
        <w:ind w:firstLine="0" w:firstLineChars="0"/>
        <w:jc w:val="center"/>
        <w:rPr>
          <w:rFonts w:ascii="华文中宋" w:hAnsi="华文中宋" w:eastAsia="华文中宋"/>
        </w:rPr>
      </w:pPr>
      <w:r>
        <w:rPr>
          <w:rFonts w:hint="eastAsia" w:ascii="华文中宋" w:hAnsi="华文中宋" w:eastAsia="华文中宋"/>
        </w:rPr>
        <w:t>“无废细胞”建设责任清单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974"/>
        <w:gridCol w:w="2225"/>
        <w:gridCol w:w="2292"/>
      </w:tblGrid>
      <w:tr w14:paraId="2767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05" w:type="dxa"/>
            <w:vAlign w:val="center"/>
          </w:tcPr>
          <w:p w14:paraId="7306055B">
            <w:pPr>
              <w:pStyle w:val="31"/>
              <w:rPr>
                <w:rFonts w:ascii="黑体" w:hAnsi="黑体" w:eastAsia="黑体"/>
              </w:rPr>
            </w:pPr>
            <w:r>
              <w:rPr>
                <w:rFonts w:hint="eastAsia" w:ascii="黑体" w:hAnsi="黑体" w:eastAsia="黑体"/>
              </w:rPr>
              <w:t>序号</w:t>
            </w:r>
          </w:p>
        </w:tc>
        <w:tc>
          <w:tcPr>
            <w:tcW w:w="2974" w:type="dxa"/>
            <w:vAlign w:val="center"/>
          </w:tcPr>
          <w:p w14:paraId="49087A8E">
            <w:pPr>
              <w:pStyle w:val="31"/>
              <w:rPr>
                <w:rFonts w:ascii="黑体" w:hAnsi="黑体" w:eastAsia="黑体"/>
              </w:rPr>
            </w:pPr>
            <w:r>
              <w:rPr>
                <w:rFonts w:hint="eastAsia" w:ascii="黑体" w:hAnsi="黑体" w:eastAsia="黑体"/>
              </w:rPr>
              <w:t>无废细胞种类</w:t>
            </w:r>
          </w:p>
        </w:tc>
        <w:tc>
          <w:tcPr>
            <w:tcW w:w="2225" w:type="dxa"/>
            <w:vAlign w:val="center"/>
          </w:tcPr>
          <w:p w14:paraId="4D95F014">
            <w:pPr>
              <w:pStyle w:val="31"/>
              <w:rPr>
                <w:rFonts w:ascii="黑体" w:hAnsi="黑体" w:eastAsia="黑体"/>
              </w:rPr>
            </w:pPr>
            <w:r>
              <w:rPr>
                <w:rFonts w:hint="eastAsia" w:ascii="黑体" w:hAnsi="黑体" w:eastAsia="黑体"/>
              </w:rPr>
              <w:t>拟申报个数</w:t>
            </w:r>
          </w:p>
        </w:tc>
        <w:tc>
          <w:tcPr>
            <w:tcW w:w="2292" w:type="dxa"/>
            <w:vAlign w:val="center"/>
          </w:tcPr>
          <w:p w14:paraId="65527539">
            <w:pPr>
              <w:pStyle w:val="31"/>
              <w:rPr>
                <w:rFonts w:ascii="黑体" w:hAnsi="黑体" w:eastAsia="黑体"/>
              </w:rPr>
            </w:pPr>
            <w:r>
              <w:rPr>
                <w:rFonts w:hint="eastAsia" w:ascii="黑体" w:hAnsi="黑体" w:eastAsia="黑体"/>
              </w:rPr>
              <w:t>责任单位</w:t>
            </w:r>
          </w:p>
        </w:tc>
      </w:tr>
      <w:tr w14:paraId="2221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58B593D5">
            <w:pPr>
              <w:pStyle w:val="31"/>
            </w:pPr>
            <w:r>
              <w:rPr>
                <w:rFonts w:hint="eastAsia"/>
              </w:rPr>
              <w:t>1</w:t>
            </w:r>
          </w:p>
        </w:tc>
        <w:tc>
          <w:tcPr>
            <w:tcW w:w="2974" w:type="dxa"/>
            <w:vAlign w:val="center"/>
          </w:tcPr>
          <w:p w14:paraId="48F52998">
            <w:pPr>
              <w:pStyle w:val="31"/>
            </w:pPr>
            <w:r>
              <w:rPr>
                <w:rFonts w:hint="eastAsia"/>
              </w:rPr>
              <w:t>瑶海区“无废学校”</w:t>
            </w:r>
          </w:p>
        </w:tc>
        <w:tc>
          <w:tcPr>
            <w:tcW w:w="2225" w:type="dxa"/>
            <w:vAlign w:val="center"/>
          </w:tcPr>
          <w:p w14:paraId="799883F5">
            <w:pPr>
              <w:pStyle w:val="31"/>
            </w:pPr>
            <w:r>
              <w:rPr>
                <w:rFonts w:hint="eastAsia"/>
              </w:rPr>
              <w:t>3</w:t>
            </w:r>
          </w:p>
        </w:tc>
        <w:tc>
          <w:tcPr>
            <w:tcW w:w="2292" w:type="dxa"/>
            <w:vAlign w:val="center"/>
          </w:tcPr>
          <w:p w14:paraId="0049968C">
            <w:pPr>
              <w:pStyle w:val="31"/>
            </w:pPr>
            <w:r>
              <w:rPr>
                <w:rFonts w:hint="eastAsia"/>
              </w:rPr>
              <w:t>区教育体育局</w:t>
            </w:r>
          </w:p>
        </w:tc>
      </w:tr>
      <w:tr w14:paraId="79C2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6C3BE199">
            <w:pPr>
              <w:pStyle w:val="31"/>
            </w:pPr>
            <w:r>
              <w:rPr>
                <w:rFonts w:hint="eastAsia"/>
              </w:rPr>
              <w:t>2</w:t>
            </w:r>
          </w:p>
        </w:tc>
        <w:tc>
          <w:tcPr>
            <w:tcW w:w="2974" w:type="dxa"/>
            <w:vAlign w:val="center"/>
          </w:tcPr>
          <w:p w14:paraId="504A8CE3">
            <w:pPr>
              <w:pStyle w:val="31"/>
            </w:pPr>
            <w:r>
              <w:rPr>
                <w:rFonts w:hint="eastAsia"/>
              </w:rPr>
              <w:t>瑶海区“无废小区”</w:t>
            </w:r>
          </w:p>
        </w:tc>
        <w:tc>
          <w:tcPr>
            <w:tcW w:w="2225" w:type="dxa"/>
            <w:vAlign w:val="center"/>
          </w:tcPr>
          <w:p w14:paraId="29AD710F">
            <w:pPr>
              <w:pStyle w:val="31"/>
            </w:pPr>
            <w:r>
              <w:t>2</w:t>
            </w:r>
          </w:p>
        </w:tc>
        <w:tc>
          <w:tcPr>
            <w:tcW w:w="2292" w:type="dxa"/>
            <w:vAlign w:val="center"/>
          </w:tcPr>
          <w:p w14:paraId="570BC64B">
            <w:pPr>
              <w:pStyle w:val="31"/>
            </w:pPr>
            <w:r>
              <w:rPr>
                <w:rFonts w:hint="eastAsia"/>
              </w:rPr>
              <w:t>区住房和城乡建设局</w:t>
            </w:r>
          </w:p>
        </w:tc>
      </w:tr>
      <w:tr w14:paraId="2D3C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48C9989F">
            <w:pPr>
              <w:pStyle w:val="31"/>
            </w:pPr>
            <w:r>
              <w:rPr>
                <w:rFonts w:hint="eastAsia"/>
              </w:rPr>
              <w:t>3</w:t>
            </w:r>
          </w:p>
        </w:tc>
        <w:tc>
          <w:tcPr>
            <w:tcW w:w="2974" w:type="dxa"/>
            <w:vAlign w:val="center"/>
          </w:tcPr>
          <w:p w14:paraId="78F0EFA3">
            <w:pPr>
              <w:pStyle w:val="31"/>
            </w:pPr>
            <w:r>
              <w:rPr>
                <w:rFonts w:hint="eastAsia"/>
              </w:rPr>
              <w:t>瑶海区“无废酒店”</w:t>
            </w:r>
          </w:p>
        </w:tc>
        <w:tc>
          <w:tcPr>
            <w:tcW w:w="2225" w:type="dxa"/>
            <w:vAlign w:val="center"/>
          </w:tcPr>
          <w:p w14:paraId="3D052EAF">
            <w:pPr>
              <w:pStyle w:val="31"/>
            </w:pPr>
            <w:r>
              <w:rPr>
                <w:rFonts w:hint="eastAsia"/>
              </w:rPr>
              <w:t>1</w:t>
            </w:r>
          </w:p>
        </w:tc>
        <w:tc>
          <w:tcPr>
            <w:tcW w:w="2292" w:type="dxa"/>
            <w:vAlign w:val="center"/>
          </w:tcPr>
          <w:p w14:paraId="4E264549">
            <w:pPr>
              <w:pStyle w:val="31"/>
            </w:pPr>
            <w:r>
              <w:rPr>
                <w:rFonts w:hint="eastAsia"/>
              </w:rPr>
              <w:t>区文化和旅游局</w:t>
            </w:r>
          </w:p>
        </w:tc>
      </w:tr>
      <w:tr w14:paraId="23C5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162202C8">
            <w:pPr>
              <w:pStyle w:val="31"/>
            </w:pPr>
            <w:r>
              <w:rPr>
                <w:rFonts w:hint="eastAsia"/>
              </w:rPr>
              <w:t>4</w:t>
            </w:r>
          </w:p>
        </w:tc>
        <w:tc>
          <w:tcPr>
            <w:tcW w:w="2974" w:type="dxa"/>
            <w:vAlign w:val="center"/>
          </w:tcPr>
          <w:p w14:paraId="31D172DF">
            <w:pPr>
              <w:pStyle w:val="31"/>
            </w:pPr>
            <w:r>
              <w:rPr>
                <w:rFonts w:hint="eastAsia"/>
              </w:rPr>
              <w:t>瑶海区“无废景区”</w:t>
            </w:r>
          </w:p>
        </w:tc>
        <w:tc>
          <w:tcPr>
            <w:tcW w:w="2225" w:type="dxa"/>
            <w:vAlign w:val="center"/>
          </w:tcPr>
          <w:p w14:paraId="50E8D30B">
            <w:pPr>
              <w:pStyle w:val="31"/>
            </w:pPr>
            <w:r>
              <w:rPr>
                <w:rFonts w:hint="eastAsia"/>
              </w:rPr>
              <w:t>1</w:t>
            </w:r>
          </w:p>
        </w:tc>
        <w:tc>
          <w:tcPr>
            <w:tcW w:w="2292" w:type="dxa"/>
            <w:vAlign w:val="center"/>
          </w:tcPr>
          <w:p w14:paraId="4B30A20A">
            <w:pPr>
              <w:pStyle w:val="31"/>
            </w:pPr>
            <w:r>
              <w:rPr>
                <w:rFonts w:hint="eastAsia"/>
              </w:rPr>
              <w:t>区文化和旅游局</w:t>
            </w:r>
          </w:p>
        </w:tc>
      </w:tr>
      <w:tr w14:paraId="0FB3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5DC20CBC">
            <w:pPr>
              <w:pStyle w:val="31"/>
            </w:pPr>
            <w:r>
              <w:rPr>
                <w:rFonts w:hint="eastAsia"/>
              </w:rPr>
              <w:t>5</w:t>
            </w:r>
          </w:p>
        </w:tc>
        <w:tc>
          <w:tcPr>
            <w:tcW w:w="2974" w:type="dxa"/>
            <w:vAlign w:val="center"/>
          </w:tcPr>
          <w:p w14:paraId="786F632F">
            <w:pPr>
              <w:pStyle w:val="31"/>
            </w:pPr>
            <w:r>
              <w:rPr>
                <w:rFonts w:hint="eastAsia"/>
              </w:rPr>
              <w:t>瑶海区“无废医院”</w:t>
            </w:r>
          </w:p>
        </w:tc>
        <w:tc>
          <w:tcPr>
            <w:tcW w:w="2225" w:type="dxa"/>
            <w:vAlign w:val="center"/>
          </w:tcPr>
          <w:p w14:paraId="7097521D">
            <w:pPr>
              <w:pStyle w:val="31"/>
            </w:pPr>
            <w:r>
              <w:rPr>
                <w:rFonts w:hint="eastAsia"/>
              </w:rPr>
              <w:t>1</w:t>
            </w:r>
          </w:p>
        </w:tc>
        <w:tc>
          <w:tcPr>
            <w:tcW w:w="2292" w:type="dxa"/>
            <w:vAlign w:val="center"/>
          </w:tcPr>
          <w:p w14:paraId="643CE893">
            <w:pPr>
              <w:pStyle w:val="31"/>
            </w:pPr>
            <w:r>
              <w:rPr>
                <w:rFonts w:hint="eastAsia"/>
              </w:rPr>
              <w:t>区卫生健康委员会</w:t>
            </w:r>
          </w:p>
        </w:tc>
      </w:tr>
      <w:tr w14:paraId="09C1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6A0AE11F">
            <w:pPr>
              <w:pStyle w:val="31"/>
            </w:pPr>
            <w:r>
              <w:rPr>
                <w:rFonts w:hint="eastAsia"/>
              </w:rPr>
              <w:t>6</w:t>
            </w:r>
          </w:p>
        </w:tc>
        <w:tc>
          <w:tcPr>
            <w:tcW w:w="2974" w:type="dxa"/>
            <w:vAlign w:val="center"/>
          </w:tcPr>
          <w:p w14:paraId="3E6B4970">
            <w:pPr>
              <w:pStyle w:val="31"/>
            </w:pPr>
            <w:r>
              <w:rPr>
                <w:rFonts w:hint="eastAsia"/>
              </w:rPr>
              <w:t>瑶海区“无废机关”</w:t>
            </w:r>
          </w:p>
        </w:tc>
        <w:tc>
          <w:tcPr>
            <w:tcW w:w="2225" w:type="dxa"/>
            <w:vAlign w:val="center"/>
          </w:tcPr>
          <w:p w14:paraId="4FD3FEEC">
            <w:pPr>
              <w:pStyle w:val="31"/>
            </w:pPr>
            <w:r>
              <w:rPr>
                <w:rFonts w:hint="eastAsia"/>
              </w:rPr>
              <w:t>2</w:t>
            </w:r>
          </w:p>
        </w:tc>
        <w:tc>
          <w:tcPr>
            <w:tcW w:w="2292" w:type="dxa"/>
            <w:vAlign w:val="center"/>
          </w:tcPr>
          <w:p w14:paraId="34ED2C19">
            <w:pPr>
              <w:pStyle w:val="31"/>
            </w:pPr>
            <w:r>
              <w:rPr>
                <w:rFonts w:hint="eastAsia"/>
              </w:rPr>
              <w:t>区发改委</w:t>
            </w:r>
          </w:p>
        </w:tc>
      </w:tr>
      <w:tr w14:paraId="6B10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61B77C33">
            <w:pPr>
              <w:pStyle w:val="31"/>
            </w:pPr>
            <w:r>
              <w:rPr>
                <w:rFonts w:hint="eastAsia"/>
              </w:rPr>
              <w:t>7</w:t>
            </w:r>
          </w:p>
        </w:tc>
        <w:tc>
          <w:tcPr>
            <w:tcW w:w="2974" w:type="dxa"/>
            <w:vAlign w:val="center"/>
          </w:tcPr>
          <w:p w14:paraId="5724959B">
            <w:pPr>
              <w:pStyle w:val="31"/>
            </w:pPr>
            <w:r>
              <w:rPr>
                <w:rFonts w:hint="eastAsia"/>
              </w:rPr>
              <w:t>瑶海区“无废工厂”</w:t>
            </w:r>
          </w:p>
        </w:tc>
        <w:tc>
          <w:tcPr>
            <w:tcW w:w="2225" w:type="dxa"/>
            <w:vAlign w:val="center"/>
          </w:tcPr>
          <w:p w14:paraId="593E9A3E">
            <w:pPr>
              <w:pStyle w:val="31"/>
            </w:pPr>
            <w:r>
              <w:rPr>
                <w:rFonts w:hint="eastAsia"/>
              </w:rPr>
              <w:t>2</w:t>
            </w:r>
          </w:p>
        </w:tc>
        <w:tc>
          <w:tcPr>
            <w:tcW w:w="2292" w:type="dxa"/>
            <w:vAlign w:val="center"/>
          </w:tcPr>
          <w:p w14:paraId="318C366C">
            <w:pPr>
              <w:pStyle w:val="31"/>
            </w:pPr>
            <w:r>
              <w:rPr>
                <w:rFonts w:hint="eastAsia"/>
              </w:rPr>
              <w:t>区生态环境分局</w:t>
            </w:r>
          </w:p>
        </w:tc>
      </w:tr>
      <w:tr w14:paraId="19F8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5" w:type="dxa"/>
            <w:vAlign w:val="center"/>
          </w:tcPr>
          <w:p w14:paraId="266DCF9D">
            <w:pPr>
              <w:pStyle w:val="31"/>
            </w:pPr>
            <w:r>
              <w:rPr>
                <w:rFonts w:hint="eastAsia"/>
              </w:rPr>
              <w:t>8</w:t>
            </w:r>
          </w:p>
        </w:tc>
        <w:tc>
          <w:tcPr>
            <w:tcW w:w="2974" w:type="dxa"/>
            <w:vAlign w:val="center"/>
          </w:tcPr>
          <w:p w14:paraId="5DC28A5B">
            <w:pPr>
              <w:pStyle w:val="31"/>
            </w:pPr>
            <w:r>
              <w:rPr>
                <w:rFonts w:hint="eastAsia"/>
              </w:rPr>
              <w:t>瑶海区“无废工地”</w:t>
            </w:r>
          </w:p>
        </w:tc>
        <w:tc>
          <w:tcPr>
            <w:tcW w:w="2225" w:type="dxa"/>
            <w:vAlign w:val="center"/>
          </w:tcPr>
          <w:p w14:paraId="6AC705EC">
            <w:pPr>
              <w:pStyle w:val="31"/>
            </w:pPr>
            <w:r>
              <w:rPr>
                <w:rFonts w:hint="eastAsia"/>
              </w:rPr>
              <w:t>1</w:t>
            </w:r>
          </w:p>
        </w:tc>
        <w:tc>
          <w:tcPr>
            <w:tcW w:w="2292" w:type="dxa"/>
            <w:vAlign w:val="center"/>
          </w:tcPr>
          <w:p w14:paraId="0B42BA7A">
            <w:pPr>
              <w:pStyle w:val="31"/>
            </w:pPr>
            <w:r>
              <w:rPr>
                <w:rFonts w:hint="eastAsia"/>
              </w:rPr>
              <w:t>区住房和城乡建设局</w:t>
            </w:r>
          </w:p>
        </w:tc>
      </w:tr>
    </w:tbl>
    <w:p w14:paraId="0F6FD1CC">
      <w:pPr>
        <w:pStyle w:val="25"/>
      </w:pPr>
      <w:bookmarkStart w:id="48" w:name="_Toc155617319"/>
      <w:r>
        <w:rPr>
          <w:rFonts w:hint="eastAsia"/>
        </w:rPr>
        <w:t>五、</w:t>
      </w:r>
      <w:r>
        <w:t>保障措施</w:t>
      </w:r>
      <w:bookmarkEnd w:id="48"/>
    </w:p>
    <w:p w14:paraId="22F423C8">
      <w:pPr>
        <w:pStyle w:val="23"/>
        <w:spacing w:before="156" w:after="156"/>
        <w:ind w:firstLine="640"/>
      </w:pPr>
      <w:bookmarkStart w:id="49" w:name="_Toc155617320"/>
      <w:r>
        <w:rPr>
          <w:rFonts w:hint="eastAsia"/>
        </w:rPr>
        <w:t>（</w:t>
      </w:r>
      <w:r>
        <w:t>一）加强组织领导</w:t>
      </w:r>
      <w:bookmarkEnd w:id="49"/>
    </w:p>
    <w:p w14:paraId="7E88B59D">
      <w:pPr>
        <w:pStyle w:val="21"/>
        <w:ind w:firstLine="640"/>
      </w:pPr>
      <w:r>
        <w:rPr>
          <w:rFonts w:hint="eastAsia"/>
        </w:rPr>
        <w:t>依托区生态环境保护委员会设立“无废城市”建设工作专班，负责相关工作的组织协调、调度汇总和统筹推进。强化党政领导干部生态环境和资源保护职责，落实“党政同责，一岗双责”，开展成效评估和专项督查，</w:t>
      </w:r>
      <w:r>
        <w:t>完善</w:t>
      </w:r>
      <w:r>
        <w:rPr>
          <w:rFonts w:hint="eastAsia"/>
        </w:rPr>
        <w:t>问责机制，促进重点工作有效落实。以最大限度降低固体废物环境影响为目标，落实瑶海区生态环境分局及相关部门环境管理职责，形成权责明晰、各负其责、齐抓共管的固体废物管理体制，统筹推动“无废城市”</w:t>
      </w:r>
      <w:r>
        <w:t>建设</w:t>
      </w:r>
      <w:r>
        <w:rPr>
          <w:rFonts w:hint="eastAsia"/>
        </w:rPr>
        <w:t>。</w:t>
      </w:r>
    </w:p>
    <w:p w14:paraId="09DB661D">
      <w:pPr>
        <w:pStyle w:val="23"/>
        <w:spacing w:before="156" w:after="156"/>
        <w:ind w:firstLine="640"/>
      </w:pPr>
      <w:bookmarkStart w:id="50" w:name="_Toc155617321"/>
      <w:r>
        <w:rPr>
          <w:rFonts w:hint="eastAsia"/>
        </w:rPr>
        <w:t>（</w:t>
      </w:r>
      <w:r>
        <w:t>二）建立工作机制</w:t>
      </w:r>
      <w:bookmarkEnd w:id="50"/>
    </w:p>
    <w:p w14:paraId="21CEADBF">
      <w:pPr>
        <w:pStyle w:val="21"/>
        <w:ind w:firstLine="640"/>
      </w:pPr>
      <w:r>
        <w:rPr>
          <w:rFonts w:hint="eastAsia"/>
        </w:rPr>
        <w:t>建立计划总结、</w:t>
      </w:r>
      <w:r>
        <w:t>考核评估、调度督办、工作会议、信息报送、工作例会、联络员等制度，促进部门联动</w:t>
      </w:r>
      <w:r>
        <w:rPr>
          <w:rFonts w:hint="eastAsia"/>
        </w:rPr>
        <w:t>形成工作合</w:t>
      </w:r>
      <w:r>
        <w:t>力。</w:t>
      </w:r>
      <w:r>
        <w:rPr>
          <w:rFonts w:hint="eastAsia"/>
        </w:rPr>
        <w:t>将“无废城市”建设规划纳入政府经济和社会发展的年度计划和长远规划中，严格按照规划要求制定具体安排，各相关部门明确职责分工，建立和完善部门责任清单及重点工作任务清单。充分发挥专家智库作用，</w:t>
      </w:r>
      <w:r>
        <w:t>深化与高水平科研院所的互动交流，组建由企、学、研、政等相关单位和专家组成的</w:t>
      </w:r>
      <w:r>
        <w:rPr>
          <w:rFonts w:hint="eastAsia"/>
        </w:rPr>
        <w:t>瑶海区“无废城市”建设专家组，指导瑶海区“无废城市”建设工作。与国家“无废城市”</w:t>
      </w:r>
      <w:r>
        <w:t>技术帮扶组保持密切沟通和协调，推动各项建设任务落实落地。</w:t>
      </w:r>
    </w:p>
    <w:p w14:paraId="0D98D363">
      <w:pPr>
        <w:pStyle w:val="23"/>
        <w:spacing w:before="156" w:after="156"/>
        <w:ind w:firstLine="640"/>
      </w:pPr>
      <w:bookmarkStart w:id="51" w:name="_Toc155617322"/>
      <w:r>
        <w:rPr>
          <w:rFonts w:hint="eastAsia"/>
        </w:rPr>
        <w:t>（</w:t>
      </w:r>
      <w:r>
        <w:t>三）加大要素保障</w:t>
      </w:r>
      <w:bookmarkEnd w:id="51"/>
    </w:p>
    <w:p w14:paraId="183C636C">
      <w:pPr>
        <w:pStyle w:val="21"/>
        <w:ind w:firstLine="640"/>
      </w:pPr>
      <w:r>
        <w:rPr>
          <w:rFonts w:hint="eastAsia"/>
        </w:rPr>
        <w:t>依托《中华人民共和国固体废物污染环境防治法》，适时出台瑶海区地方规范性文件，明确相关部门的工作职责，理顺工作程序，为切实做好固废污染防治工作提供制度保障。全力争取财政投资补助、债券专项贴息及银行环保专项贷款等资金支持，对“无废城市”建设中的固体废物源头减量、资源化利用和安全处置体系建设等优先予以优惠支持，激发市场活力。设立统筹协调机构，促进政策、资金、技术等相关资源要素集聚，推动固体废物污染防治工作有序稳定推进。</w:t>
      </w:r>
    </w:p>
    <w:p w14:paraId="25EA093C">
      <w:pPr>
        <w:pStyle w:val="23"/>
        <w:spacing w:before="156" w:after="156"/>
        <w:ind w:firstLine="640"/>
      </w:pPr>
      <w:bookmarkStart w:id="52" w:name="_Toc155617323"/>
      <w:r>
        <w:rPr>
          <w:rFonts w:hint="eastAsia"/>
        </w:rPr>
        <w:t>（</w:t>
      </w:r>
      <w:r>
        <w:t>四）</w:t>
      </w:r>
      <w:r>
        <w:rPr>
          <w:rFonts w:hint="eastAsia"/>
        </w:rPr>
        <w:t>强化评估考核</w:t>
      </w:r>
      <w:bookmarkEnd w:id="52"/>
    </w:p>
    <w:p w14:paraId="4258A007">
      <w:pPr>
        <w:pStyle w:val="21"/>
        <w:ind w:firstLine="640"/>
      </w:pPr>
      <w:r>
        <w:rPr>
          <w:rFonts w:hint="eastAsia"/>
        </w:rPr>
        <w:t>把“无废城市”</w:t>
      </w:r>
      <w:r>
        <w:t>建设目标任务完成情况纳入政府和相关部门生态环境保护目标管理绩效考核。各</w:t>
      </w:r>
      <w:r>
        <w:rPr>
          <w:rFonts w:hint="eastAsia"/>
        </w:rPr>
        <w:t>相关</w:t>
      </w:r>
      <w:r>
        <w:t>部门要把</w:t>
      </w:r>
      <w:r>
        <w:rPr>
          <w:rFonts w:hint="eastAsia"/>
        </w:rPr>
        <w:t>“无废城市”</w:t>
      </w:r>
      <w:r>
        <w:t>建设列入重要议事日程，制定实施方案及年度工作计划，明确重点任务措施和重大工程建设管理的责任分工。建立</w:t>
      </w:r>
      <w:r>
        <w:rPr>
          <w:rFonts w:hint="eastAsia"/>
        </w:rPr>
        <w:t>“无废城市”</w:t>
      </w:r>
      <w:r>
        <w:t>建设成效定期评估机制，</w:t>
      </w:r>
      <w:r>
        <w:rPr>
          <w:rFonts w:hint="eastAsia"/>
        </w:rPr>
        <w:t>定期调度“无废城市”建设工作进展，</w:t>
      </w:r>
      <w:r>
        <w:t>对各项工作任务实施情况进行评估总结，报告报送上级部门。根据评估结果，动态调整重点任务和重大项目</w:t>
      </w:r>
      <w:r>
        <w:rPr>
          <w:rFonts w:hint="eastAsia"/>
        </w:rPr>
        <w:t>，</w:t>
      </w:r>
      <w:r>
        <w:t>对相关工作推进不力、落实不到位的责任部门，采取约谈、通报等方式进行督促</w:t>
      </w:r>
      <w:r>
        <w:rPr>
          <w:rFonts w:hint="eastAsia"/>
        </w:rPr>
        <w:t>。强化开展工作任务阶段考核和综合考核，</w:t>
      </w:r>
      <w:r>
        <w:t>推动各部门守土有责、守土尽责</w:t>
      </w:r>
      <w:r>
        <w:rPr>
          <w:rFonts w:hint="eastAsia"/>
        </w:rPr>
        <w:t>，</w:t>
      </w:r>
      <w:r>
        <w:t>分工协作、共同发力</w:t>
      </w:r>
      <w:r>
        <w:rPr>
          <w:rFonts w:hint="eastAsia"/>
        </w:rPr>
        <w:t>，</w:t>
      </w:r>
      <w:r>
        <w:t>确保</w:t>
      </w:r>
      <w:r>
        <w:rPr>
          <w:rFonts w:hint="eastAsia"/>
        </w:rPr>
        <w:t>“无废城市”</w:t>
      </w:r>
      <w:r>
        <w:t>建设各项任务落实</w:t>
      </w:r>
      <w:r>
        <w:rPr>
          <w:rFonts w:hint="eastAsia"/>
        </w:rPr>
        <w:t>到位，</w:t>
      </w:r>
      <w:r>
        <w:t>各项指标达到目标要求。</w:t>
      </w:r>
    </w:p>
    <w:p w14:paraId="5CBB831B">
      <w:pPr>
        <w:pStyle w:val="21"/>
        <w:ind w:firstLine="640"/>
      </w:pPr>
    </w:p>
    <w:p w14:paraId="58BED341">
      <w:pPr>
        <w:pStyle w:val="21"/>
        <w:ind w:firstLine="640"/>
      </w:pPr>
    </w:p>
    <w:p w14:paraId="15B78AD2">
      <w:pPr>
        <w:pStyle w:val="21"/>
        <w:ind w:firstLine="640"/>
      </w:pPr>
      <w:r>
        <w:rPr>
          <w:rFonts w:hint="eastAsia"/>
        </w:rPr>
        <w:t>附件：</w:t>
      </w:r>
      <w:r>
        <w:t xml:space="preserve">1. </w:t>
      </w:r>
      <w:r>
        <w:rPr>
          <w:rFonts w:hint="eastAsia"/>
        </w:rPr>
        <w:t>“无废城市”</w:t>
      </w:r>
      <w:r>
        <w:t>制度体系建设任务清单</w:t>
      </w:r>
    </w:p>
    <w:p w14:paraId="3D556871">
      <w:pPr>
        <w:pStyle w:val="21"/>
        <w:ind w:firstLine="1600" w:firstLineChars="500"/>
      </w:pPr>
      <w:r>
        <w:t xml:space="preserve">2. </w:t>
      </w:r>
      <w:r>
        <w:rPr>
          <w:rFonts w:hint="eastAsia"/>
        </w:rPr>
        <w:t>“无废城市”</w:t>
      </w:r>
      <w:r>
        <w:t>技术体系建设任务清单</w:t>
      </w:r>
    </w:p>
    <w:p w14:paraId="10947BD7">
      <w:pPr>
        <w:pStyle w:val="21"/>
        <w:ind w:firstLine="1600" w:firstLineChars="500"/>
      </w:pPr>
      <w:r>
        <w:t xml:space="preserve">3. </w:t>
      </w:r>
      <w:r>
        <w:rPr>
          <w:rFonts w:hint="eastAsia"/>
        </w:rPr>
        <w:t>“无废城市”</w:t>
      </w:r>
      <w:r>
        <w:t>市场体系建设任务清单</w:t>
      </w:r>
    </w:p>
    <w:p w14:paraId="2B5F90D8">
      <w:pPr>
        <w:pStyle w:val="21"/>
        <w:ind w:firstLine="1600" w:firstLineChars="500"/>
      </w:pPr>
      <w:r>
        <w:t xml:space="preserve">4. </w:t>
      </w:r>
      <w:r>
        <w:rPr>
          <w:rFonts w:hint="eastAsia"/>
        </w:rPr>
        <w:t>“无废城市”</w:t>
      </w:r>
      <w:r>
        <w:t>监督体系建设任务清单</w:t>
      </w:r>
    </w:p>
    <w:p w14:paraId="5C96BE33">
      <w:pPr>
        <w:pStyle w:val="21"/>
        <w:ind w:firstLine="1600" w:firstLineChars="500"/>
      </w:pPr>
      <w:r>
        <w:t xml:space="preserve">5. </w:t>
      </w:r>
      <w:r>
        <w:rPr>
          <w:rFonts w:hint="eastAsia"/>
        </w:rPr>
        <w:t>“无废城市”</w:t>
      </w:r>
      <w:r>
        <w:t>重点工程项目建设任务清单</w:t>
      </w:r>
    </w:p>
    <w:p w14:paraId="3ECB43BC">
      <w:pPr>
        <w:pStyle w:val="21"/>
        <w:ind w:firstLine="640"/>
        <w:sectPr>
          <w:pgSz w:w="11906" w:h="16838"/>
          <w:pgMar w:top="1440" w:right="1800" w:bottom="1440" w:left="1800" w:header="851" w:footer="992" w:gutter="0"/>
          <w:cols w:space="425" w:num="1"/>
          <w:docGrid w:type="lines" w:linePitch="312" w:charSpace="0"/>
        </w:sectPr>
      </w:pPr>
    </w:p>
    <w:p w14:paraId="161C6504">
      <w:pPr>
        <w:ind w:firstLine="640" w:firstLineChars="200"/>
        <w:rPr>
          <w:rFonts w:ascii="黑体" w:hAnsi="黑体" w:eastAsia="黑体"/>
          <w:sz w:val="32"/>
          <w:szCs w:val="32"/>
        </w:rPr>
      </w:pPr>
      <w:r>
        <w:rPr>
          <w:rFonts w:hint="eastAsia" w:ascii="黑体" w:hAnsi="黑体" w:eastAsia="黑体"/>
          <w:sz w:val="32"/>
          <w:szCs w:val="32"/>
        </w:rPr>
        <w:t>附件1</w:t>
      </w:r>
    </w:p>
    <w:p w14:paraId="2B72FF68">
      <w:pPr>
        <w:pStyle w:val="27"/>
      </w:pPr>
      <w:bookmarkStart w:id="53" w:name="_Toc155617324"/>
      <w:r>
        <w:rPr>
          <w:rFonts w:hint="eastAsia"/>
        </w:rPr>
        <w:t>“无废城市”制度体系建设任务清单</w:t>
      </w:r>
      <w:bookmarkEnd w:id="53"/>
    </w:p>
    <w:tbl>
      <w:tblPr>
        <w:tblStyle w:val="12"/>
        <w:tblW w:w="4945" w:type="pct"/>
        <w:jc w:val="center"/>
        <w:tblLayout w:type="autofit"/>
        <w:tblCellMar>
          <w:top w:w="0" w:type="dxa"/>
          <w:left w:w="108" w:type="dxa"/>
          <w:bottom w:w="0" w:type="dxa"/>
          <w:right w:w="108" w:type="dxa"/>
        </w:tblCellMar>
      </w:tblPr>
      <w:tblGrid>
        <w:gridCol w:w="790"/>
        <w:gridCol w:w="496"/>
        <w:gridCol w:w="2297"/>
        <w:gridCol w:w="5656"/>
        <w:gridCol w:w="1094"/>
        <w:gridCol w:w="3685"/>
      </w:tblGrid>
      <w:tr w14:paraId="05A45034">
        <w:tblPrEx>
          <w:tblCellMar>
            <w:top w:w="0" w:type="dxa"/>
            <w:left w:w="108" w:type="dxa"/>
            <w:bottom w:w="0" w:type="dxa"/>
            <w:right w:w="108" w:type="dxa"/>
          </w:tblCellMar>
        </w:tblPrEx>
        <w:trPr>
          <w:trHeight w:val="1134" w:hRule="atLeast"/>
          <w:tblHeader/>
          <w:jc w:val="center"/>
        </w:trPr>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6AD45823">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任务领域</w:t>
            </w:r>
          </w:p>
        </w:tc>
        <w:tc>
          <w:tcPr>
            <w:tcW w:w="177" w:type="pct"/>
            <w:tcBorders>
              <w:top w:val="single" w:color="auto" w:sz="4" w:space="0"/>
              <w:left w:val="nil"/>
              <w:bottom w:val="single" w:color="auto" w:sz="4" w:space="0"/>
              <w:right w:val="single" w:color="auto" w:sz="4" w:space="0"/>
            </w:tcBorders>
            <w:shd w:val="clear" w:color="auto" w:fill="auto"/>
            <w:vAlign w:val="center"/>
          </w:tcPr>
          <w:p w14:paraId="6F461858">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819" w:type="pct"/>
            <w:tcBorders>
              <w:top w:val="single" w:color="auto" w:sz="4" w:space="0"/>
              <w:left w:val="nil"/>
              <w:bottom w:val="single" w:color="auto" w:sz="4" w:space="0"/>
              <w:right w:val="single" w:color="auto" w:sz="4" w:space="0"/>
            </w:tcBorders>
            <w:shd w:val="clear" w:color="auto" w:fill="auto"/>
            <w:vAlign w:val="center"/>
          </w:tcPr>
          <w:p w14:paraId="6F20DBE1">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任务名称</w:t>
            </w:r>
          </w:p>
        </w:tc>
        <w:tc>
          <w:tcPr>
            <w:tcW w:w="2017" w:type="pct"/>
            <w:tcBorders>
              <w:top w:val="single" w:color="auto" w:sz="4" w:space="0"/>
              <w:left w:val="nil"/>
              <w:bottom w:val="single" w:color="auto" w:sz="4" w:space="0"/>
              <w:right w:val="single" w:color="auto" w:sz="4" w:space="0"/>
            </w:tcBorders>
            <w:shd w:val="clear" w:color="auto" w:fill="auto"/>
            <w:vAlign w:val="center"/>
          </w:tcPr>
          <w:p w14:paraId="5AA046F0">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任务内容</w:t>
            </w:r>
          </w:p>
        </w:tc>
        <w:tc>
          <w:tcPr>
            <w:tcW w:w="390" w:type="pct"/>
            <w:tcBorders>
              <w:top w:val="single" w:color="auto" w:sz="4" w:space="0"/>
              <w:left w:val="nil"/>
              <w:bottom w:val="single" w:color="auto" w:sz="4" w:space="0"/>
              <w:right w:val="single" w:color="auto" w:sz="4" w:space="0"/>
            </w:tcBorders>
            <w:shd w:val="clear" w:color="auto" w:fill="auto"/>
            <w:vAlign w:val="center"/>
          </w:tcPr>
          <w:p w14:paraId="51CE5D4C">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完成时限</w:t>
            </w:r>
          </w:p>
        </w:tc>
        <w:tc>
          <w:tcPr>
            <w:tcW w:w="1314" w:type="pct"/>
            <w:tcBorders>
              <w:top w:val="single" w:color="auto" w:sz="4" w:space="0"/>
              <w:left w:val="nil"/>
              <w:bottom w:val="single" w:color="auto" w:sz="4" w:space="0"/>
              <w:right w:val="single" w:color="auto" w:sz="4" w:space="0"/>
            </w:tcBorders>
            <w:shd w:val="clear" w:color="auto" w:fill="auto"/>
            <w:vAlign w:val="center"/>
          </w:tcPr>
          <w:p w14:paraId="74DE0CF7">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责任单位</w:t>
            </w:r>
          </w:p>
        </w:tc>
      </w:tr>
      <w:tr w14:paraId="69902D0C">
        <w:tblPrEx>
          <w:tblCellMar>
            <w:top w:w="0" w:type="dxa"/>
            <w:left w:w="108" w:type="dxa"/>
            <w:bottom w:w="0" w:type="dxa"/>
            <w:right w:w="108" w:type="dxa"/>
          </w:tblCellMar>
        </w:tblPrEx>
        <w:trPr>
          <w:trHeight w:val="1134" w:hRule="atLeast"/>
          <w:jc w:val="center"/>
        </w:trPr>
        <w:tc>
          <w:tcPr>
            <w:tcW w:w="282" w:type="pct"/>
            <w:tcBorders>
              <w:top w:val="nil"/>
              <w:left w:val="single" w:color="auto" w:sz="4" w:space="0"/>
              <w:bottom w:val="single" w:color="auto" w:sz="4" w:space="0"/>
              <w:right w:val="single" w:color="auto" w:sz="4" w:space="0"/>
            </w:tcBorders>
            <w:vAlign w:val="center"/>
          </w:tcPr>
          <w:p w14:paraId="454EED1D">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一般工业固废</w:t>
            </w:r>
          </w:p>
        </w:tc>
        <w:tc>
          <w:tcPr>
            <w:tcW w:w="177" w:type="pct"/>
            <w:tcBorders>
              <w:top w:val="nil"/>
              <w:left w:val="nil"/>
              <w:bottom w:val="single" w:color="auto" w:sz="4" w:space="0"/>
              <w:right w:val="single" w:color="auto" w:sz="4" w:space="0"/>
            </w:tcBorders>
            <w:shd w:val="clear" w:color="auto" w:fill="auto"/>
            <w:vAlign w:val="center"/>
          </w:tcPr>
          <w:p w14:paraId="7FEB3E55">
            <w:pPr>
              <w:widowControl/>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1</w:t>
            </w:r>
          </w:p>
        </w:tc>
        <w:tc>
          <w:tcPr>
            <w:tcW w:w="819" w:type="pct"/>
            <w:tcBorders>
              <w:top w:val="nil"/>
              <w:left w:val="nil"/>
              <w:bottom w:val="single" w:color="auto" w:sz="4" w:space="0"/>
              <w:right w:val="single" w:color="auto" w:sz="4" w:space="0"/>
            </w:tcBorders>
            <w:shd w:val="clear" w:color="auto" w:fill="auto"/>
            <w:vAlign w:val="center"/>
          </w:tcPr>
          <w:p w14:paraId="7EC34A0C">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制定一般工业固废规范化环境管理方案</w:t>
            </w:r>
          </w:p>
        </w:tc>
        <w:tc>
          <w:tcPr>
            <w:tcW w:w="2017" w:type="pct"/>
            <w:tcBorders>
              <w:top w:val="nil"/>
              <w:left w:val="nil"/>
              <w:bottom w:val="single" w:color="auto" w:sz="4" w:space="0"/>
              <w:right w:val="single" w:color="auto" w:sz="4" w:space="0"/>
            </w:tcBorders>
            <w:shd w:val="clear" w:color="auto" w:fill="auto"/>
            <w:vAlign w:val="center"/>
          </w:tcPr>
          <w:p w14:paraId="24FCA247">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制定一般工业固废规范化环境管理方案，将一般工业固废纳入规范化管理评估范围，切实提高管理能力和水平</w:t>
            </w:r>
          </w:p>
        </w:tc>
        <w:tc>
          <w:tcPr>
            <w:tcW w:w="390" w:type="pct"/>
            <w:tcBorders>
              <w:top w:val="nil"/>
              <w:left w:val="nil"/>
              <w:bottom w:val="single" w:color="auto" w:sz="4" w:space="0"/>
              <w:right w:val="single" w:color="auto" w:sz="4" w:space="0"/>
            </w:tcBorders>
            <w:shd w:val="clear" w:color="auto" w:fill="auto"/>
            <w:vAlign w:val="center"/>
          </w:tcPr>
          <w:p w14:paraId="0AEA3146">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w:t>
            </w:r>
            <w:r>
              <w:rPr>
                <w:rFonts w:ascii="Times New Roman" w:hAnsi="Times New Roman" w:eastAsia="宋体" w:cs="宋体"/>
                <w:color w:val="000000"/>
                <w:kern w:val="0"/>
                <w:szCs w:val="21"/>
              </w:rPr>
              <w:t>025</w:t>
            </w:r>
            <w:r>
              <w:rPr>
                <w:rFonts w:hint="eastAsia" w:ascii="Times New Roman" w:hAnsi="Times New Roman" w:eastAsia="宋体" w:cs="宋体"/>
                <w:color w:val="000000"/>
                <w:kern w:val="0"/>
                <w:szCs w:val="21"/>
              </w:rPr>
              <w:t>年</w:t>
            </w:r>
          </w:p>
        </w:tc>
        <w:tc>
          <w:tcPr>
            <w:tcW w:w="1314" w:type="pct"/>
            <w:tcBorders>
              <w:top w:val="nil"/>
              <w:left w:val="nil"/>
              <w:bottom w:val="single" w:color="auto" w:sz="4" w:space="0"/>
              <w:right w:val="single" w:color="auto" w:sz="4" w:space="0"/>
            </w:tcBorders>
            <w:shd w:val="clear" w:color="auto" w:fill="auto"/>
            <w:vAlign w:val="center"/>
          </w:tcPr>
          <w:p w14:paraId="5570F5BD">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区生态环境分局</w:t>
            </w:r>
          </w:p>
        </w:tc>
      </w:tr>
      <w:tr w14:paraId="6CB6C541">
        <w:tblPrEx>
          <w:tblCellMar>
            <w:top w:w="0" w:type="dxa"/>
            <w:left w:w="108" w:type="dxa"/>
            <w:bottom w:w="0" w:type="dxa"/>
            <w:right w:w="108" w:type="dxa"/>
          </w:tblCellMar>
        </w:tblPrEx>
        <w:trPr>
          <w:trHeight w:val="1134" w:hRule="atLeast"/>
          <w:jc w:val="center"/>
        </w:trPr>
        <w:tc>
          <w:tcPr>
            <w:tcW w:w="282" w:type="pct"/>
            <w:tcBorders>
              <w:top w:val="nil"/>
              <w:left w:val="single" w:color="auto" w:sz="4" w:space="0"/>
              <w:bottom w:val="single" w:color="000000" w:sz="4" w:space="0"/>
              <w:right w:val="single" w:color="auto" w:sz="4" w:space="0"/>
            </w:tcBorders>
            <w:shd w:val="clear" w:color="auto" w:fill="auto"/>
            <w:vAlign w:val="center"/>
          </w:tcPr>
          <w:p w14:paraId="5B1D19F2">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农业固体废物</w:t>
            </w:r>
          </w:p>
        </w:tc>
        <w:tc>
          <w:tcPr>
            <w:tcW w:w="177" w:type="pct"/>
            <w:tcBorders>
              <w:top w:val="nil"/>
              <w:left w:val="nil"/>
              <w:bottom w:val="single" w:color="auto" w:sz="4" w:space="0"/>
              <w:right w:val="single" w:color="auto" w:sz="4" w:space="0"/>
            </w:tcBorders>
            <w:shd w:val="clear" w:color="auto" w:fill="auto"/>
            <w:vAlign w:val="center"/>
          </w:tcPr>
          <w:p w14:paraId="06794B09">
            <w:pPr>
              <w:widowControl/>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2</w:t>
            </w:r>
          </w:p>
        </w:tc>
        <w:tc>
          <w:tcPr>
            <w:tcW w:w="819" w:type="pct"/>
            <w:tcBorders>
              <w:top w:val="nil"/>
              <w:left w:val="nil"/>
              <w:bottom w:val="single" w:color="auto" w:sz="4" w:space="0"/>
              <w:right w:val="single" w:color="auto" w:sz="4" w:space="0"/>
            </w:tcBorders>
            <w:shd w:val="clear" w:color="auto" w:fill="auto"/>
            <w:vAlign w:val="center"/>
          </w:tcPr>
          <w:p w14:paraId="76403DE1">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完善农业固体废物回收处理体系的相关制度</w:t>
            </w:r>
          </w:p>
        </w:tc>
        <w:tc>
          <w:tcPr>
            <w:tcW w:w="2017" w:type="pct"/>
            <w:tcBorders>
              <w:top w:val="nil"/>
              <w:left w:val="nil"/>
              <w:bottom w:val="single" w:color="auto" w:sz="4" w:space="0"/>
              <w:right w:val="single" w:color="auto" w:sz="4" w:space="0"/>
            </w:tcBorders>
            <w:shd w:val="clear" w:color="auto" w:fill="auto"/>
            <w:vAlign w:val="center"/>
          </w:tcPr>
          <w:p w14:paraId="1992E7FD">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制定完善农业固体废物回收处理体系的相关制度，全面提升废旧农膜、农药包装废弃物回收处理能力水平</w:t>
            </w:r>
          </w:p>
        </w:tc>
        <w:tc>
          <w:tcPr>
            <w:tcW w:w="390" w:type="pct"/>
            <w:tcBorders>
              <w:top w:val="nil"/>
              <w:left w:val="nil"/>
              <w:bottom w:val="single" w:color="auto" w:sz="4" w:space="0"/>
              <w:right w:val="single" w:color="auto" w:sz="4" w:space="0"/>
            </w:tcBorders>
            <w:shd w:val="clear" w:color="auto" w:fill="auto"/>
            <w:vAlign w:val="center"/>
          </w:tcPr>
          <w:p w14:paraId="33DA8324">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202</w:t>
            </w:r>
            <w:r>
              <w:rPr>
                <w:rFonts w:ascii="Times New Roman" w:hAnsi="Times New Roman" w:eastAsia="宋体" w:cs="宋体"/>
                <w:color w:val="000000"/>
                <w:kern w:val="0"/>
                <w:szCs w:val="21"/>
              </w:rPr>
              <w:t>5</w:t>
            </w:r>
            <w:r>
              <w:rPr>
                <w:rFonts w:hint="eastAsia" w:ascii="Times New Roman" w:hAnsi="Times New Roman" w:eastAsia="宋体" w:cs="宋体"/>
                <w:color w:val="000000"/>
                <w:kern w:val="0"/>
                <w:szCs w:val="21"/>
              </w:rPr>
              <w:t>年</w:t>
            </w:r>
          </w:p>
        </w:tc>
        <w:tc>
          <w:tcPr>
            <w:tcW w:w="1314" w:type="pct"/>
            <w:tcBorders>
              <w:top w:val="nil"/>
              <w:left w:val="nil"/>
              <w:bottom w:val="single" w:color="auto" w:sz="4" w:space="0"/>
              <w:right w:val="single" w:color="auto" w:sz="4" w:space="0"/>
            </w:tcBorders>
            <w:shd w:val="clear" w:color="auto" w:fill="auto"/>
            <w:vAlign w:val="center"/>
          </w:tcPr>
          <w:p w14:paraId="60E5D8B0">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区农林水务局</w:t>
            </w:r>
          </w:p>
        </w:tc>
      </w:tr>
      <w:tr w14:paraId="5E029DBA">
        <w:tblPrEx>
          <w:tblCellMar>
            <w:top w:w="0" w:type="dxa"/>
            <w:left w:w="108" w:type="dxa"/>
            <w:bottom w:w="0" w:type="dxa"/>
            <w:right w:w="108" w:type="dxa"/>
          </w:tblCellMar>
        </w:tblPrEx>
        <w:trPr>
          <w:trHeight w:val="1134" w:hRule="atLeast"/>
          <w:jc w:val="center"/>
        </w:trPr>
        <w:tc>
          <w:tcPr>
            <w:tcW w:w="282" w:type="pct"/>
            <w:vMerge w:val="restart"/>
            <w:tcBorders>
              <w:top w:val="nil"/>
              <w:left w:val="single" w:color="auto" w:sz="4" w:space="0"/>
              <w:right w:val="single" w:color="auto" w:sz="4" w:space="0"/>
            </w:tcBorders>
            <w:shd w:val="clear" w:color="auto" w:fill="auto"/>
            <w:vAlign w:val="center"/>
          </w:tcPr>
          <w:p w14:paraId="0EA25E53">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生活源固废</w:t>
            </w:r>
          </w:p>
        </w:tc>
        <w:tc>
          <w:tcPr>
            <w:tcW w:w="177" w:type="pct"/>
            <w:tcBorders>
              <w:top w:val="nil"/>
              <w:left w:val="nil"/>
              <w:bottom w:val="single" w:color="auto" w:sz="4" w:space="0"/>
              <w:right w:val="single" w:color="auto" w:sz="4" w:space="0"/>
            </w:tcBorders>
            <w:shd w:val="clear" w:color="auto" w:fill="auto"/>
            <w:vAlign w:val="center"/>
          </w:tcPr>
          <w:p w14:paraId="0609504D">
            <w:pPr>
              <w:widowControl/>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3</w:t>
            </w:r>
          </w:p>
        </w:tc>
        <w:tc>
          <w:tcPr>
            <w:tcW w:w="819" w:type="pct"/>
            <w:tcBorders>
              <w:top w:val="nil"/>
              <w:left w:val="nil"/>
              <w:bottom w:val="single" w:color="auto" w:sz="4" w:space="0"/>
              <w:right w:val="single" w:color="auto" w:sz="4" w:space="0"/>
            </w:tcBorders>
            <w:shd w:val="clear" w:color="auto" w:fill="auto"/>
            <w:vAlign w:val="center"/>
          </w:tcPr>
          <w:p w14:paraId="2E5A4BA7">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制定垃圾分类集中投放点运行方案</w:t>
            </w:r>
          </w:p>
        </w:tc>
        <w:tc>
          <w:tcPr>
            <w:tcW w:w="2017" w:type="pct"/>
            <w:tcBorders>
              <w:top w:val="nil"/>
              <w:left w:val="nil"/>
              <w:bottom w:val="single" w:color="auto" w:sz="4" w:space="0"/>
              <w:right w:val="single" w:color="auto" w:sz="4" w:space="0"/>
            </w:tcBorders>
            <w:shd w:val="clear" w:color="auto" w:fill="auto"/>
            <w:vAlign w:val="center"/>
          </w:tcPr>
          <w:p w14:paraId="5915098D">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制定瑶海区垃圾分类集中投放点运行方案，规范投放点运行机制，落实主体责任</w:t>
            </w:r>
          </w:p>
        </w:tc>
        <w:tc>
          <w:tcPr>
            <w:tcW w:w="390" w:type="pct"/>
            <w:tcBorders>
              <w:top w:val="nil"/>
              <w:left w:val="nil"/>
              <w:bottom w:val="single" w:color="auto" w:sz="4" w:space="0"/>
              <w:right w:val="single" w:color="auto" w:sz="4" w:space="0"/>
            </w:tcBorders>
            <w:shd w:val="clear" w:color="auto" w:fill="auto"/>
            <w:vAlign w:val="center"/>
          </w:tcPr>
          <w:p w14:paraId="171C55CB">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w:t>
            </w:r>
            <w:r>
              <w:rPr>
                <w:rFonts w:ascii="Times New Roman" w:hAnsi="Times New Roman" w:eastAsia="宋体" w:cs="宋体"/>
                <w:color w:val="000000"/>
                <w:kern w:val="0"/>
                <w:szCs w:val="21"/>
              </w:rPr>
              <w:t>022</w:t>
            </w:r>
            <w:r>
              <w:rPr>
                <w:rFonts w:hint="eastAsia" w:ascii="Times New Roman" w:hAnsi="Times New Roman" w:eastAsia="宋体" w:cs="宋体"/>
                <w:color w:val="000000"/>
                <w:kern w:val="0"/>
                <w:szCs w:val="21"/>
              </w:rPr>
              <w:t>年</w:t>
            </w:r>
          </w:p>
        </w:tc>
        <w:tc>
          <w:tcPr>
            <w:tcW w:w="1314" w:type="pct"/>
            <w:tcBorders>
              <w:top w:val="nil"/>
              <w:left w:val="nil"/>
              <w:bottom w:val="single" w:color="auto" w:sz="4" w:space="0"/>
              <w:right w:val="single" w:color="auto" w:sz="4" w:space="0"/>
            </w:tcBorders>
            <w:shd w:val="clear" w:color="auto" w:fill="auto"/>
            <w:vAlign w:val="center"/>
          </w:tcPr>
          <w:p w14:paraId="351411FB">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区城市管理局</w:t>
            </w:r>
          </w:p>
        </w:tc>
      </w:tr>
      <w:tr w14:paraId="38A0BE5C">
        <w:tblPrEx>
          <w:tblCellMar>
            <w:top w:w="0" w:type="dxa"/>
            <w:left w:w="108" w:type="dxa"/>
            <w:bottom w:w="0" w:type="dxa"/>
            <w:right w:w="108" w:type="dxa"/>
          </w:tblCellMar>
        </w:tblPrEx>
        <w:trPr>
          <w:trHeight w:val="1134" w:hRule="atLeast"/>
          <w:jc w:val="center"/>
        </w:trPr>
        <w:tc>
          <w:tcPr>
            <w:tcW w:w="282" w:type="pct"/>
            <w:vMerge w:val="continue"/>
            <w:tcBorders>
              <w:left w:val="single" w:color="auto" w:sz="4" w:space="0"/>
              <w:bottom w:val="single" w:color="000000" w:sz="4" w:space="0"/>
              <w:right w:val="single" w:color="auto" w:sz="4" w:space="0"/>
            </w:tcBorders>
            <w:shd w:val="clear" w:color="auto" w:fill="auto"/>
            <w:vAlign w:val="center"/>
          </w:tcPr>
          <w:p w14:paraId="2569D6B8">
            <w:pPr>
              <w:widowControl/>
              <w:jc w:val="center"/>
              <w:rPr>
                <w:rFonts w:ascii="Times New Roman" w:hAnsi="Times New Roman" w:eastAsia="宋体" w:cs="宋体"/>
                <w:color w:val="000000"/>
                <w:kern w:val="0"/>
                <w:szCs w:val="21"/>
              </w:rPr>
            </w:pPr>
          </w:p>
        </w:tc>
        <w:tc>
          <w:tcPr>
            <w:tcW w:w="177" w:type="pct"/>
            <w:tcBorders>
              <w:top w:val="nil"/>
              <w:left w:val="nil"/>
              <w:bottom w:val="single" w:color="auto" w:sz="4" w:space="0"/>
              <w:right w:val="single" w:color="auto" w:sz="4" w:space="0"/>
            </w:tcBorders>
            <w:shd w:val="clear" w:color="auto" w:fill="auto"/>
            <w:vAlign w:val="center"/>
          </w:tcPr>
          <w:p w14:paraId="685F04C4">
            <w:pPr>
              <w:widowControl/>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4</w:t>
            </w:r>
          </w:p>
        </w:tc>
        <w:tc>
          <w:tcPr>
            <w:tcW w:w="819" w:type="pct"/>
            <w:tcBorders>
              <w:top w:val="nil"/>
              <w:left w:val="nil"/>
              <w:bottom w:val="single" w:color="auto" w:sz="4" w:space="0"/>
              <w:right w:val="single" w:color="auto" w:sz="4" w:space="0"/>
            </w:tcBorders>
            <w:shd w:val="clear" w:color="auto" w:fill="auto"/>
            <w:vAlign w:val="center"/>
          </w:tcPr>
          <w:p w14:paraId="2046CEB0">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配合市级共同制定有害垃圾管理制度</w:t>
            </w:r>
          </w:p>
        </w:tc>
        <w:tc>
          <w:tcPr>
            <w:tcW w:w="2017" w:type="pct"/>
            <w:tcBorders>
              <w:top w:val="nil"/>
              <w:left w:val="nil"/>
              <w:bottom w:val="single" w:color="auto" w:sz="4" w:space="0"/>
              <w:right w:val="single" w:color="auto" w:sz="4" w:space="0"/>
            </w:tcBorders>
            <w:shd w:val="clear" w:color="auto" w:fill="auto"/>
            <w:vAlign w:val="center"/>
          </w:tcPr>
          <w:p w14:paraId="5773F699">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配合市级共同制定废灯管、废家用化学品、废电池等生活垃圾中有害垃圾收集、运输、处置的管理制度，按照“产生者分类投放，各属地收集中转，市统一收运处置”原则，配合市级建立健全有害垃圾收集转运处置体系</w:t>
            </w:r>
          </w:p>
        </w:tc>
        <w:tc>
          <w:tcPr>
            <w:tcW w:w="390" w:type="pct"/>
            <w:tcBorders>
              <w:top w:val="nil"/>
              <w:left w:val="nil"/>
              <w:bottom w:val="single" w:color="auto" w:sz="4" w:space="0"/>
              <w:right w:val="single" w:color="auto" w:sz="4" w:space="0"/>
            </w:tcBorders>
            <w:shd w:val="clear" w:color="auto" w:fill="auto"/>
            <w:vAlign w:val="center"/>
          </w:tcPr>
          <w:p w14:paraId="16C8426C">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2024年</w:t>
            </w:r>
          </w:p>
        </w:tc>
        <w:tc>
          <w:tcPr>
            <w:tcW w:w="1314" w:type="pct"/>
            <w:tcBorders>
              <w:top w:val="nil"/>
              <w:left w:val="nil"/>
              <w:bottom w:val="single" w:color="auto" w:sz="4" w:space="0"/>
              <w:right w:val="single" w:color="auto" w:sz="4" w:space="0"/>
            </w:tcBorders>
            <w:shd w:val="clear" w:color="auto" w:fill="auto"/>
            <w:vAlign w:val="center"/>
          </w:tcPr>
          <w:p w14:paraId="1BA8DFDC">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区生态环境分局、区城市管理局</w:t>
            </w:r>
          </w:p>
        </w:tc>
      </w:tr>
      <w:tr w14:paraId="11FAD68C">
        <w:tblPrEx>
          <w:tblCellMar>
            <w:top w:w="0" w:type="dxa"/>
            <w:left w:w="108" w:type="dxa"/>
            <w:bottom w:w="0" w:type="dxa"/>
            <w:right w:w="108" w:type="dxa"/>
          </w:tblCellMar>
        </w:tblPrEx>
        <w:trPr>
          <w:trHeight w:val="1134" w:hRule="atLeast"/>
          <w:jc w:val="center"/>
        </w:trPr>
        <w:tc>
          <w:tcPr>
            <w:tcW w:w="282" w:type="pct"/>
            <w:tcBorders>
              <w:top w:val="nil"/>
              <w:left w:val="single" w:color="auto" w:sz="4" w:space="0"/>
              <w:bottom w:val="single" w:color="000000" w:sz="4" w:space="0"/>
              <w:right w:val="single" w:color="auto" w:sz="4" w:space="0"/>
            </w:tcBorders>
            <w:shd w:val="clear" w:color="auto" w:fill="auto"/>
            <w:vAlign w:val="center"/>
          </w:tcPr>
          <w:p w14:paraId="09B3952F">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建筑垃圾</w:t>
            </w:r>
          </w:p>
        </w:tc>
        <w:tc>
          <w:tcPr>
            <w:tcW w:w="177" w:type="pct"/>
            <w:tcBorders>
              <w:top w:val="nil"/>
              <w:left w:val="nil"/>
              <w:bottom w:val="single" w:color="auto" w:sz="4" w:space="0"/>
              <w:right w:val="single" w:color="auto" w:sz="4" w:space="0"/>
            </w:tcBorders>
            <w:shd w:val="clear" w:color="auto" w:fill="auto"/>
            <w:vAlign w:val="center"/>
          </w:tcPr>
          <w:p w14:paraId="496EE3AC">
            <w:pPr>
              <w:widowControl/>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5</w:t>
            </w:r>
          </w:p>
        </w:tc>
        <w:tc>
          <w:tcPr>
            <w:tcW w:w="819" w:type="pct"/>
            <w:tcBorders>
              <w:top w:val="nil"/>
              <w:left w:val="nil"/>
              <w:bottom w:val="single" w:color="auto" w:sz="4" w:space="0"/>
              <w:right w:val="single" w:color="auto" w:sz="4" w:space="0"/>
            </w:tcBorders>
            <w:shd w:val="clear" w:color="auto" w:fill="auto"/>
            <w:vAlign w:val="center"/>
          </w:tcPr>
          <w:p w14:paraId="3E210EC8">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落实合肥市绿色建筑、装配式建筑、建筑节能等地方标准</w:t>
            </w:r>
          </w:p>
        </w:tc>
        <w:tc>
          <w:tcPr>
            <w:tcW w:w="2017" w:type="pct"/>
            <w:tcBorders>
              <w:top w:val="nil"/>
              <w:left w:val="nil"/>
              <w:bottom w:val="single" w:color="auto" w:sz="4" w:space="0"/>
              <w:right w:val="single" w:color="auto" w:sz="4" w:space="0"/>
            </w:tcBorders>
            <w:shd w:val="clear" w:color="auto" w:fill="auto"/>
            <w:vAlign w:val="center"/>
          </w:tcPr>
          <w:p w14:paraId="1540EB92">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贯彻落实《合肥市“十四五”绿色建筑发展规划》《合肥市“十四五”装配式建筑发展规划（2021-2025）》，完善工程建设领域标准体系</w:t>
            </w:r>
          </w:p>
        </w:tc>
        <w:tc>
          <w:tcPr>
            <w:tcW w:w="390" w:type="pct"/>
            <w:tcBorders>
              <w:top w:val="nil"/>
              <w:left w:val="nil"/>
              <w:bottom w:val="single" w:color="auto" w:sz="4" w:space="0"/>
              <w:right w:val="single" w:color="auto" w:sz="4" w:space="0"/>
            </w:tcBorders>
            <w:shd w:val="clear" w:color="auto" w:fill="auto"/>
            <w:vAlign w:val="center"/>
          </w:tcPr>
          <w:p w14:paraId="7699FC81">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长期</w:t>
            </w:r>
          </w:p>
        </w:tc>
        <w:tc>
          <w:tcPr>
            <w:tcW w:w="1314" w:type="pct"/>
            <w:tcBorders>
              <w:top w:val="nil"/>
              <w:left w:val="nil"/>
              <w:bottom w:val="single" w:color="auto" w:sz="4" w:space="0"/>
              <w:right w:val="single" w:color="auto" w:sz="4" w:space="0"/>
            </w:tcBorders>
            <w:shd w:val="clear" w:color="auto" w:fill="auto"/>
            <w:vAlign w:val="center"/>
          </w:tcPr>
          <w:p w14:paraId="0C78D11C">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区住房和城乡建设局</w:t>
            </w:r>
          </w:p>
        </w:tc>
      </w:tr>
      <w:tr w14:paraId="62B3CF06">
        <w:tblPrEx>
          <w:tblCellMar>
            <w:top w:w="0" w:type="dxa"/>
            <w:left w:w="108" w:type="dxa"/>
            <w:bottom w:w="0" w:type="dxa"/>
            <w:right w:w="108" w:type="dxa"/>
          </w:tblCellMar>
        </w:tblPrEx>
        <w:trPr>
          <w:trHeight w:val="1134" w:hRule="atLeast"/>
          <w:jc w:val="center"/>
        </w:trPr>
        <w:tc>
          <w:tcPr>
            <w:tcW w:w="282" w:type="pct"/>
            <w:vMerge w:val="restart"/>
            <w:tcBorders>
              <w:top w:val="nil"/>
              <w:left w:val="single" w:color="auto" w:sz="4" w:space="0"/>
              <w:right w:val="single" w:color="auto" w:sz="4" w:space="0"/>
            </w:tcBorders>
            <w:shd w:val="clear" w:color="auto" w:fill="auto"/>
            <w:vAlign w:val="center"/>
          </w:tcPr>
          <w:p w14:paraId="5F057540">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危险废物</w:t>
            </w:r>
          </w:p>
        </w:tc>
        <w:tc>
          <w:tcPr>
            <w:tcW w:w="177" w:type="pct"/>
            <w:tcBorders>
              <w:top w:val="nil"/>
              <w:left w:val="nil"/>
              <w:bottom w:val="single" w:color="auto" w:sz="4" w:space="0"/>
              <w:right w:val="single" w:color="auto" w:sz="4" w:space="0"/>
            </w:tcBorders>
            <w:shd w:val="clear" w:color="auto" w:fill="auto"/>
            <w:vAlign w:val="center"/>
          </w:tcPr>
          <w:p w14:paraId="6F700186">
            <w:pPr>
              <w:widowControl/>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6</w:t>
            </w:r>
          </w:p>
        </w:tc>
        <w:tc>
          <w:tcPr>
            <w:tcW w:w="819" w:type="pct"/>
            <w:tcBorders>
              <w:top w:val="nil"/>
              <w:left w:val="nil"/>
              <w:bottom w:val="single" w:color="auto" w:sz="4" w:space="0"/>
              <w:right w:val="single" w:color="auto" w:sz="4" w:space="0"/>
            </w:tcBorders>
            <w:shd w:val="clear" w:color="auto" w:fill="auto"/>
            <w:vAlign w:val="center"/>
          </w:tcPr>
          <w:p w14:paraId="36F75363">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落实合肥市危险废物工业固体废物污染环境防治工作方案</w:t>
            </w:r>
          </w:p>
        </w:tc>
        <w:tc>
          <w:tcPr>
            <w:tcW w:w="2017" w:type="pct"/>
            <w:tcBorders>
              <w:top w:val="nil"/>
              <w:left w:val="nil"/>
              <w:bottom w:val="single" w:color="auto" w:sz="4" w:space="0"/>
              <w:right w:val="single" w:color="auto" w:sz="4" w:space="0"/>
            </w:tcBorders>
            <w:shd w:val="clear" w:color="auto" w:fill="auto"/>
            <w:vAlign w:val="center"/>
          </w:tcPr>
          <w:p w14:paraId="4946D169">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贯彻落实合肥市关于危险废物、工业固体废物管理的工作思路、目标、具体任务</w:t>
            </w:r>
          </w:p>
        </w:tc>
        <w:tc>
          <w:tcPr>
            <w:tcW w:w="390" w:type="pct"/>
            <w:tcBorders>
              <w:top w:val="nil"/>
              <w:left w:val="nil"/>
              <w:bottom w:val="single" w:color="auto" w:sz="4" w:space="0"/>
              <w:right w:val="single" w:color="auto" w:sz="4" w:space="0"/>
            </w:tcBorders>
            <w:shd w:val="clear" w:color="auto" w:fill="auto"/>
            <w:vAlign w:val="center"/>
          </w:tcPr>
          <w:p w14:paraId="3CDC77D2">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长期</w:t>
            </w:r>
          </w:p>
        </w:tc>
        <w:tc>
          <w:tcPr>
            <w:tcW w:w="1314" w:type="pct"/>
            <w:tcBorders>
              <w:top w:val="nil"/>
              <w:left w:val="nil"/>
              <w:bottom w:val="single" w:color="auto" w:sz="4" w:space="0"/>
              <w:right w:val="single" w:color="auto" w:sz="4" w:space="0"/>
            </w:tcBorders>
            <w:shd w:val="clear" w:color="auto" w:fill="auto"/>
            <w:vAlign w:val="center"/>
          </w:tcPr>
          <w:p w14:paraId="70ED827C">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区生态环境分局、区经济和信息化局、区卫生健康委员会等</w:t>
            </w:r>
          </w:p>
        </w:tc>
      </w:tr>
      <w:tr w14:paraId="6B1B08D7">
        <w:tblPrEx>
          <w:tblCellMar>
            <w:top w:w="0" w:type="dxa"/>
            <w:left w:w="108" w:type="dxa"/>
            <w:bottom w:w="0" w:type="dxa"/>
            <w:right w:w="108" w:type="dxa"/>
          </w:tblCellMar>
        </w:tblPrEx>
        <w:trPr>
          <w:trHeight w:val="1134" w:hRule="atLeast"/>
          <w:jc w:val="center"/>
        </w:trPr>
        <w:tc>
          <w:tcPr>
            <w:tcW w:w="282" w:type="pct"/>
            <w:vMerge w:val="continue"/>
            <w:tcBorders>
              <w:left w:val="single" w:color="auto" w:sz="4" w:space="0"/>
              <w:right w:val="single" w:color="auto" w:sz="4" w:space="0"/>
            </w:tcBorders>
            <w:vAlign w:val="center"/>
          </w:tcPr>
          <w:p w14:paraId="3DE0A66E">
            <w:pPr>
              <w:widowControl/>
              <w:jc w:val="center"/>
              <w:rPr>
                <w:rFonts w:ascii="Times New Roman" w:hAnsi="Times New Roman" w:eastAsia="宋体" w:cs="宋体"/>
                <w:color w:val="000000"/>
                <w:kern w:val="0"/>
                <w:szCs w:val="21"/>
              </w:rPr>
            </w:pPr>
          </w:p>
        </w:tc>
        <w:tc>
          <w:tcPr>
            <w:tcW w:w="177" w:type="pct"/>
            <w:tcBorders>
              <w:top w:val="nil"/>
              <w:left w:val="nil"/>
              <w:bottom w:val="single" w:color="auto" w:sz="4" w:space="0"/>
              <w:right w:val="single" w:color="auto" w:sz="4" w:space="0"/>
            </w:tcBorders>
            <w:shd w:val="clear" w:color="auto" w:fill="auto"/>
            <w:vAlign w:val="center"/>
          </w:tcPr>
          <w:p w14:paraId="6E5D9FC0">
            <w:pPr>
              <w:widowControl/>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7</w:t>
            </w:r>
          </w:p>
        </w:tc>
        <w:tc>
          <w:tcPr>
            <w:tcW w:w="819" w:type="pct"/>
            <w:tcBorders>
              <w:top w:val="nil"/>
              <w:left w:val="nil"/>
              <w:bottom w:val="single" w:color="auto" w:sz="4" w:space="0"/>
              <w:right w:val="single" w:color="auto" w:sz="4" w:space="0"/>
            </w:tcBorders>
            <w:shd w:val="clear" w:color="auto" w:fill="auto"/>
            <w:vAlign w:val="center"/>
          </w:tcPr>
          <w:p w14:paraId="18C68821">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配合市级共同制定中小微企业和社会源危险废物收集转运制度</w:t>
            </w:r>
          </w:p>
        </w:tc>
        <w:tc>
          <w:tcPr>
            <w:tcW w:w="2017" w:type="pct"/>
            <w:tcBorders>
              <w:top w:val="nil"/>
              <w:left w:val="nil"/>
              <w:bottom w:val="single" w:color="auto" w:sz="4" w:space="0"/>
              <w:right w:val="single" w:color="auto" w:sz="4" w:space="0"/>
            </w:tcBorders>
            <w:shd w:val="clear" w:color="auto" w:fill="auto"/>
            <w:vAlign w:val="center"/>
          </w:tcPr>
          <w:p w14:paraId="13612BBD">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配合市级共同制定中小微企业和社会源危险废物收集转运制度，规范转运体系运行，提升转运体系实效</w:t>
            </w:r>
          </w:p>
        </w:tc>
        <w:tc>
          <w:tcPr>
            <w:tcW w:w="390" w:type="pct"/>
            <w:tcBorders>
              <w:top w:val="nil"/>
              <w:left w:val="nil"/>
              <w:bottom w:val="single" w:color="auto" w:sz="4" w:space="0"/>
              <w:right w:val="single" w:color="auto" w:sz="4" w:space="0"/>
            </w:tcBorders>
            <w:shd w:val="clear" w:color="auto" w:fill="auto"/>
            <w:vAlign w:val="center"/>
          </w:tcPr>
          <w:p w14:paraId="11D7ABA8">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2024年</w:t>
            </w:r>
          </w:p>
        </w:tc>
        <w:tc>
          <w:tcPr>
            <w:tcW w:w="1314" w:type="pct"/>
            <w:tcBorders>
              <w:top w:val="nil"/>
              <w:left w:val="nil"/>
              <w:bottom w:val="single" w:color="auto" w:sz="4" w:space="0"/>
              <w:right w:val="single" w:color="auto" w:sz="4" w:space="0"/>
            </w:tcBorders>
            <w:shd w:val="clear" w:color="auto" w:fill="auto"/>
            <w:vAlign w:val="center"/>
          </w:tcPr>
          <w:p w14:paraId="19E11623">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区生态环境分局</w:t>
            </w:r>
          </w:p>
        </w:tc>
      </w:tr>
      <w:tr w14:paraId="48F79EDA">
        <w:tblPrEx>
          <w:tblCellMar>
            <w:top w:w="0" w:type="dxa"/>
            <w:left w:w="108" w:type="dxa"/>
            <w:bottom w:w="0" w:type="dxa"/>
            <w:right w:w="108" w:type="dxa"/>
          </w:tblCellMar>
        </w:tblPrEx>
        <w:trPr>
          <w:trHeight w:val="1134" w:hRule="atLeast"/>
          <w:jc w:val="center"/>
        </w:trPr>
        <w:tc>
          <w:tcPr>
            <w:tcW w:w="282" w:type="pct"/>
            <w:vMerge w:val="continue"/>
            <w:tcBorders>
              <w:left w:val="single" w:color="auto" w:sz="4" w:space="0"/>
              <w:bottom w:val="single" w:color="auto" w:sz="4" w:space="0"/>
              <w:right w:val="single" w:color="auto" w:sz="4" w:space="0"/>
            </w:tcBorders>
            <w:vAlign w:val="center"/>
          </w:tcPr>
          <w:p w14:paraId="30BC0DE3">
            <w:pPr>
              <w:widowControl/>
              <w:jc w:val="center"/>
              <w:rPr>
                <w:rFonts w:ascii="Times New Roman" w:hAnsi="Times New Roman" w:eastAsia="宋体" w:cs="宋体"/>
                <w:color w:val="000000"/>
                <w:kern w:val="0"/>
                <w:szCs w:val="21"/>
              </w:rPr>
            </w:pPr>
          </w:p>
        </w:tc>
        <w:tc>
          <w:tcPr>
            <w:tcW w:w="177" w:type="pct"/>
            <w:tcBorders>
              <w:top w:val="nil"/>
              <w:left w:val="nil"/>
              <w:bottom w:val="single" w:color="auto" w:sz="4" w:space="0"/>
              <w:right w:val="single" w:color="auto" w:sz="4" w:space="0"/>
            </w:tcBorders>
            <w:shd w:val="clear" w:color="auto" w:fill="auto"/>
            <w:vAlign w:val="center"/>
          </w:tcPr>
          <w:p w14:paraId="396D7E11">
            <w:pPr>
              <w:widowControl/>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8</w:t>
            </w:r>
          </w:p>
        </w:tc>
        <w:tc>
          <w:tcPr>
            <w:tcW w:w="819" w:type="pct"/>
            <w:tcBorders>
              <w:top w:val="nil"/>
              <w:left w:val="nil"/>
              <w:bottom w:val="single" w:color="auto" w:sz="4" w:space="0"/>
              <w:right w:val="single" w:color="auto" w:sz="4" w:space="0"/>
            </w:tcBorders>
            <w:shd w:val="clear" w:color="auto" w:fill="auto"/>
            <w:vAlign w:val="center"/>
          </w:tcPr>
          <w:p w14:paraId="388A3292">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健全医疗废物应急管控体系</w:t>
            </w:r>
          </w:p>
        </w:tc>
        <w:tc>
          <w:tcPr>
            <w:tcW w:w="2017" w:type="pct"/>
            <w:tcBorders>
              <w:top w:val="nil"/>
              <w:left w:val="nil"/>
              <w:bottom w:val="single" w:color="auto" w:sz="4" w:space="0"/>
              <w:right w:val="single" w:color="auto" w:sz="4" w:space="0"/>
            </w:tcBorders>
            <w:shd w:val="clear" w:color="auto" w:fill="auto"/>
            <w:vAlign w:val="center"/>
          </w:tcPr>
          <w:p w14:paraId="28C2EBD9">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完善医疗废物应急响应配套政策，保障医疗废物应急管理</w:t>
            </w:r>
          </w:p>
        </w:tc>
        <w:tc>
          <w:tcPr>
            <w:tcW w:w="390" w:type="pct"/>
            <w:tcBorders>
              <w:top w:val="nil"/>
              <w:left w:val="nil"/>
              <w:bottom w:val="single" w:color="auto" w:sz="4" w:space="0"/>
              <w:right w:val="single" w:color="auto" w:sz="4" w:space="0"/>
            </w:tcBorders>
            <w:shd w:val="clear" w:color="auto" w:fill="auto"/>
            <w:vAlign w:val="center"/>
          </w:tcPr>
          <w:p w14:paraId="58DEB162">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长期</w:t>
            </w:r>
          </w:p>
        </w:tc>
        <w:tc>
          <w:tcPr>
            <w:tcW w:w="1314" w:type="pct"/>
            <w:tcBorders>
              <w:top w:val="nil"/>
              <w:left w:val="nil"/>
              <w:bottom w:val="single" w:color="auto" w:sz="4" w:space="0"/>
              <w:right w:val="single" w:color="auto" w:sz="4" w:space="0"/>
            </w:tcBorders>
            <w:shd w:val="clear" w:color="auto" w:fill="auto"/>
            <w:vAlign w:val="center"/>
          </w:tcPr>
          <w:p w14:paraId="7247D65D">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区卫生健康委员会、区生态环境分局</w:t>
            </w:r>
          </w:p>
        </w:tc>
      </w:tr>
      <w:tr w14:paraId="1296E8ED">
        <w:tblPrEx>
          <w:tblCellMar>
            <w:top w:w="0" w:type="dxa"/>
            <w:left w:w="108" w:type="dxa"/>
            <w:bottom w:w="0" w:type="dxa"/>
            <w:right w:w="108" w:type="dxa"/>
          </w:tblCellMar>
        </w:tblPrEx>
        <w:trPr>
          <w:trHeight w:val="1134" w:hRule="atLeast"/>
          <w:jc w:val="center"/>
        </w:trPr>
        <w:tc>
          <w:tcPr>
            <w:tcW w:w="282" w:type="pct"/>
            <w:vMerge w:val="restart"/>
            <w:tcBorders>
              <w:top w:val="nil"/>
              <w:left w:val="single" w:color="auto" w:sz="4" w:space="0"/>
              <w:bottom w:val="single" w:color="auto" w:sz="4" w:space="0"/>
              <w:right w:val="single" w:color="auto" w:sz="4" w:space="0"/>
            </w:tcBorders>
            <w:shd w:val="clear" w:color="auto" w:fill="auto"/>
            <w:vAlign w:val="center"/>
          </w:tcPr>
          <w:p w14:paraId="072F0EEE">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保障体系</w:t>
            </w:r>
          </w:p>
        </w:tc>
        <w:tc>
          <w:tcPr>
            <w:tcW w:w="177" w:type="pct"/>
            <w:tcBorders>
              <w:top w:val="nil"/>
              <w:left w:val="nil"/>
              <w:bottom w:val="single" w:color="auto" w:sz="4" w:space="0"/>
              <w:right w:val="single" w:color="auto" w:sz="4" w:space="0"/>
            </w:tcBorders>
            <w:shd w:val="clear" w:color="auto" w:fill="auto"/>
            <w:vAlign w:val="center"/>
          </w:tcPr>
          <w:p w14:paraId="335C6673">
            <w:pPr>
              <w:widowControl/>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9</w:t>
            </w:r>
          </w:p>
        </w:tc>
        <w:tc>
          <w:tcPr>
            <w:tcW w:w="819" w:type="pct"/>
            <w:tcBorders>
              <w:top w:val="nil"/>
              <w:left w:val="nil"/>
              <w:bottom w:val="single" w:color="auto" w:sz="4" w:space="0"/>
              <w:right w:val="single" w:color="auto" w:sz="4" w:space="0"/>
            </w:tcBorders>
            <w:shd w:val="clear" w:color="auto" w:fill="auto"/>
            <w:vAlign w:val="center"/>
          </w:tcPr>
          <w:p w14:paraId="7AD32722">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落实合肥市减污降碳协同增效实施方案</w:t>
            </w:r>
          </w:p>
        </w:tc>
        <w:tc>
          <w:tcPr>
            <w:tcW w:w="2017" w:type="pct"/>
            <w:tcBorders>
              <w:top w:val="nil"/>
              <w:left w:val="nil"/>
              <w:bottom w:val="single" w:color="auto" w:sz="4" w:space="0"/>
              <w:right w:val="single" w:color="auto" w:sz="4" w:space="0"/>
            </w:tcBorders>
            <w:shd w:val="clear" w:color="auto" w:fill="auto"/>
            <w:vAlign w:val="center"/>
          </w:tcPr>
          <w:p w14:paraId="11914FFF">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贯彻落实合肥市减污降碳协同增效实施方案，推动固废领域减污降碳协同增效</w:t>
            </w:r>
          </w:p>
        </w:tc>
        <w:tc>
          <w:tcPr>
            <w:tcW w:w="390" w:type="pct"/>
            <w:tcBorders>
              <w:top w:val="nil"/>
              <w:left w:val="nil"/>
              <w:bottom w:val="single" w:color="auto" w:sz="4" w:space="0"/>
              <w:right w:val="single" w:color="auto" w:sz="4" w:space="0"/>
            </w:tcBorders>
            <w:shd w:val="clear" w:color="auto" w:fill="auto"/>
            <w:vAlign w:val="center"/>
          </w:tcPr>
          <w:p w14:paraId="0EB69ADE">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长期</w:t>
            </w:r>
          </w:p>
        </w:tc>
        <w:tc>
          <w:tcPr>
            <w:tcW w:w="1314" w:type="pct"/>
            <w:tcBorders>
              <w:top w:val="nil"/>
              <w:left w:val="nil"/>
              <w:bottom w:val="single" w:color="auto" w:sz="4" w:space="0"/>
              <w:right w:val="single" w:color="auto" w:sz="4" w:space="0"/>
            </w:tcBorders>
            <w:shd w:val="clear" w:color="auto" w:fill="auto"/>
            <w:vAlign w:val="center"/>
          </w:tcPr>
          <w:p w14:paraId="0E5FF717">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区生态环境分局、区发展和改革委员会、区经济和信息化局、区农林水务局、区住房和城乡建设局等</w:t>
            </w:r>
          </w:p>
        </w:tc>
      </w:tr>
      <w:tr w14:paraId="21CF4D93">
        <w:tblPrEx>
          <w:tblCellMar>
            <w:top w:w="0" w:type="dxa"/>
            <w:left w:w="108" w:type="dxa"/>
            <w:bottom w:w="0" w:type="dxa"/>
            <w:right w:w="108" w:type="dxa"/>
          </w:tblCellMar>
        </w:tblPrEx>
        <w:trPr>
          <w:trHeight w:val="1134" w:hRule="atLeast"/>
          <w:jc w:val="center"/>
        </w:trPr>
        <w:tc>
          <w:tcPr>
            <w:tcW w:w="282" w:type="pct"/>
            <w:vMerge w:val="continue"/>
            <w:tcBorders>
              <w:top w:val="nil"/>
              <w:left w:val="single" w:color="auto" w:sz="4" w:space="0"/>
              <w:bottom w:val="single" w:color="auto" w:sz="4" w:space="0"/>
              <w:right w:val="single" w:color="auto" w:sz="4" w:space="0"/>
            </w:tcBorders>
            <w:vAlign w:val="center"/>
          </w:tcPr>
          <w:p w14:paraId="42728F15">
            <w:pPr>
              <w:widowControl/>
              <w:jc w:val="center"/>
              <w:rPr>
                <w:rFonts w:ascii="Times New Roman" w:hAnsi="Times New Roman" w:eastAsia="宋体" w:cs="宋体"/>
                <w:color w:val="000000"/>
                <w:kern w:val="0"/>
                <w:szCs w:val="21"/>
              </w:rPr>
            </w:pPr>
          </w:p>
        </w:tc>
        <w:tc>
          <w:tcPr>
            <w:tcW w:w="177" w:type="pct"/>
            <w:tcBorders>
              <w:top w:val="nil"/>
              <w:left w:val="nil"/>
              <w:bottom w:val="single" w:color="auto" w:sz="4" w:space="0"/>
              <w:right w:val="single" w:color="auto" w:sz="4" w:space="0"/>
            </w:tcBorders>
            <w:shd w:val="clear" w:color="auto" w:fill="auto"/>
            <w:vAlign w:val="center"/>
          </w:tcPr>
          <w:p w14:paraId="3FE8014E">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r>
              <w:rPr>
                <w:rFonts w:ascii="Times New Roman" w:hAnsi="Times New Roman" w:eastAsia="宋体" w:cs="宋体"/>
                <w:color w:val="000000"/>
                <w:kern w:val="0"/>
                <w:szCs w:val="21"/>
              </w:rPr>
              <w:t>0</w:t>
            </w:r>
          </w:p>
        </w:tc>
        <w:tc>
          <w:tcPr>
            <w:tcW w:w="819" w:type="pct"/>
            <w:tcBorders>
              <w:top w:val="nil"/>
              <w:left w:val="nil"/>
              <w:bottom w:val="single" w:color="auto" w:sz="4" w:space="0"/>
              <w:right w:val="single" w:color="auto" w:sz="4" w:space="0"/>
            </w:tcBorders>
            <w:shd w:val="clear" w:color="auto" w:fill="auto"/>
            <w:vAlign w:val="center"/>
          </w:tcPr>
          <w:p w14:paraId="4286DDA9">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落实合肥市居民生活绿色低碳行动方案</w:t>
            </w:r>
          </w:p>
        </w:tc>
        <w:tc>
          <w:tcPr>
            <w:tcW w:w="2017" w:type="pct"/>
            <w:tcBorders>
              <w:top w:val="nil"/>
              <w:left w:val="nil"/>
              <w:bottom w:val="single" w:color="auto" w:sz="4" w:space="0"/>
              <w:right w:val="single" w:color="auto" w:sz="4" w:space="0"/>
            </w:tcBorders>
            <w:shd w:val="clear" w:color="auto" w:fill="auto"/>
            <w:vAlign w:val="center"/>
          </w:tcPr>
          <w:p w14:paraId="4AF26B72">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贯彻落实合肥市居民生活绿色低碳行动方案，完成市级下达的任务，推动全社会加快形成绿色低碳生活方式</w:t>
            </w:r>
          </w:p>
        </w:tc>
        <w:tc>
          <w:tcPr>
            <w:tcW w:w="390" w:type="pct"/>
            <w:tcBorders>
              <w:top w:val="nil"/>
              <w:left w:val="nil"/>
              <w:bottom w:val="single" w:color="auto" w:sz="4" w:space="0"/>
              <w:right w:val="single" w:color="auto" w:sz="4" w:space="0"/>
            </w:tcBorders>
            <w:shd w:val="clear" w:color="auto" w:fill="auto"/>
            <w:vAlign w:val="center"/>
          </w:tcPr>
          <w:p w14:paraId="5110C017">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长期</w:t>
            </w:r>
          </w:p>
        </w:tc>
        <w:tc>
          <w:tcPr>
            <w:tcW w:w="1314" w:type="pct"/>
            <w:tcBorders>
              <w:top w:val="nil"/>
              <w:left w:val="nil"/>
              <w:bottom w:val="single" w:color="auto" w:sz="4" w:space="0"/>
              <w:right w:val="single" w:color="auto" w:sz="4" w:space="0"/>
            </w:tcBorders>
            <w:shd w:val="clear" w:color="auto" w:fill="auto"/>
            <w:vAlign w:val="center"/>
          </w:tcPr>
          <w:p w14:paraId="0AA61DBB">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区发展和改革委员会、区城市管理局、区生态环境分局、区市场监督管理局、区商务局、区文化和旅游局等</w:t>
            </w:r>
          </w:p>
        </w:tc>
      </w:tr>
      <w:tr w14:paraId="4B0EAC90">
        <w:tblPrEx>
          <w:tblCellMar>
            <w:top w:w="0" w:type="dxa"/>
            <w:left w:w="108" w:type="dxa"/>
            <w:bottom w:w="0" w:type="dxa"/>
            <w:right w:w="108" w:type="dxa"/>
          </w:tblCellMar>
        </w:tblPrEx>
        <w:trPr>
          <w:trHeight w:val="1134" w:hRule="atLeast"/>
          <w:jc w:val="center"/>
        </w:trPr>
        <w:tc>
          <w:tcPr>
            <w:tcW w:w="282" w:type="pct"/>
            <w:vMerge w:val="continue"/>
            <w:tcBorders>
              <w:top w:val="nil"/>
              <w:left w:val="single" w:color="auto" w:sz="4" w:space="0"/>
              <w:bottom w:val="single" w:color="auto" w:sz="4" w:space="0"/>
              <w:right w:val="single" w:color="auto" w:sz="4" w:space="0"/>
            </w:tcBorders>
            <w:vAlign w:val="center"/>
          </w:tcPr>
          <w:p w14:paraId="28DFD48C">
            <w:pPr>
              <w:widowControl/>
              <w:jc w:val="center"/>
              <w:rPr>
                <w:rFonts w:ascii="Times New Roman" w:hAnsi="Times New Roman" w:eastAsia="宋体" w:cs="宋体"/>
                <w:color w:val="000000"/>
                <w:kern w:val="0"/>
                <w:szCs w:val="21"/>
              </w:rPr>
            </w:pPr>
          </w:p>
        </w:tc>
        <w:tc>
          <w:tcPr>
            <w:tcW w:w="177" w:type="pct"/>
            <w:tcBorders>
              <w:top w:val="nil"/>
              <w:left w:val="nil"/>
              <w:bottom w:val="single" w:color="auto" w:sz="4" w:space="0"/>
              <w:right w:val="single" w:color="auto" w:sz="4" w:space="0"/>
            </w:tcBorders>
            <w:shd w:val="clear" w:color="auto" w:fill="auto"/>
            <w:vAlign w:val="center"/>
          </w:tcPr>
          <w:p w14:paraId="2DE9D807">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r>
              <w:rPr>
                <w:rFonts w:ascii="Times New Roman" w:hAnsi="Times New Roman" w:eastAsia="宋体" w:cs="宋体"/>
                <w:color w:val="000000"/>
                <w:kern w:val="0"/>
                <w:szCs w:val="21"/>
              </w:rPr>
              <w:t>1</w:t>
            </w:r>
          </w:p>
        </w:tc>
        <w:tc>
          <w:tcPr>
            <w:tcW w:w="819" w:type="pct"/>
            <w:tcBorders>
              <w:top w:val="nil"/>
              <w:left w:val="nil"/>
              <w:bottom w:val="single" w:color="auto" w:sz="4" w:space="0"/>
              <w:right w:val="single" w:color="auto" w:sz="4" w:space="0"/>
            </w:tcBorders>
            <w:shd w:val="clear" w:color="auto" w:fill="auto"/>
            <w:vAlign w:val="center"/>
          </w:tcPr>
          <w:p w14:paraId="7F113DDC">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制定“无废城市”建设专班工作方案</w:t>
            </w:r>
          </w:p>
        </w:tc>
        <w:tc>
          <w:tcPr>
            <w:tcW w:w="2017" w:type="pct"/>
            <w:tcBorders>
              <w:top w:val="nil"/>
              <w:left w:val="nil"/>
              <w:bottom w:val="single" w:color="auto" w:sz="4" w:space="0"/>
              <w:right w:val="single" w:color="auto" w:sz="4" w:space="0"/>
            </w:tcBorders>
            <w:shd w:val="clear" w:color="auto" w:fill="auto"/>
            <w:vAlign w:val="center"/>
          </w:tcPr>
          <w:p w14:paraId="537F1F66">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在区生态环境保护委员会办公室设立“无废城市”建设工作专班，制定“无废城市”建设工作专班工作方案，明确人员构成、工作组设置、职责分工等</w:t>
            </w:r>
          </w:p>
        </w:tc>
        <w:tc>
          <w:tcPr>
            <w:tcW w:w="390" w:type="pct"/>
            <w:tcBorders>
              <w:top w:val="nil"/>
              <w:left w:val="nil"/>
              <w:bottom w:val="single" w:color="auto" w:sz="4" w:space="0"/>
              <w:right w:val="single" w:color="auto" w:sz="4" w:space="0"/>
            </w:tcBorders>
            <w:shd w:val="clear" w:color="auto" w:fill="auto"/>
            <w:vAlign w:val="center"/>
          </w:tcPr>
          <w:p w14:paraId="4EE47D45">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w:t>
            </w:r>
            <w:r>
              <w:rPr>
                <w:rFonts w:ascii="Times New Roman" w:hAnsi="Times New Roman" w:eastAsia="宋体" w:cs="宋体"/>
                <w:color w:val="000000"/>
                <w:kern w:val="0"/>
                <w:szCs w:val="21"/>
              </w:rPr>
              <w:t>023</w:t>
            </w:r>
            <w:r>
              <w:rPr>
                <w:rFonts w:hint="eastAsia" w:ascii="Times New Roman" w:hAnsi="Times New Roman" w:eastAsia="宋体" w:cs="宋体"/>
                <w:color w:val="000000"/>
                <w:kern w:val="0"/>
                <w:szCs w:val="21"/>
              </w:rPr>
              <w:t>年</w:t>
            </w:r>
          </w:p>
        </w:tc>
        <w:tc>
          <w:tcPr>
            <w:tcW w:w="1314" w:type="pct"/>
            <w:tcBorders>
              <w:top w:val="nil"/>
              <w:left w:val="nil"/>
              <w:bottom w:val="single" w:color="auto" w:sz="4" w:space="0"/>
              <w:right w:val="single" w:color="auto" w:sz="4" w:space="0"/>
            </w:tcBorders>
            <w:shd w:val="clear" w:color="auto" w:fill="auto"/>
            <w:vAlign w:val="center"/>
          </w:tcPr>
          <w:p w14:paraId="2EA6AB84">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区生态环境分局</w:t>
            </w:r>
          </w:p>
        </w:tc>
      </w:tr>
      <w:tr w14:paraId="4D9C41D2">
        <w:tblPrEx>
          <w:tblCellMar>
            <w:top w:w="0" w:type="dxa"/>
            <w:left w:w="108" w:type="dxa"/>
            <w:bottom w:w="0" w:type="dxa"/>
            <w:right w:w="108" w:type="dxa"/>
          </w:tblCellMar>
        </w:tblPrEx>
        <w:trPr>
          <w:trHeight w:val="1134" w:hRule="atLeast"/>
          <w:jc w:val="center"/>
        </w:trPr>
        <w:tc>
          <w:tcPr>
            <w:tcW w:w="282" w:type="pct"/>
            <w:vMerge w:val="continue"/>
            <w:tcBorders>
              <w:top w:val="nil"/>
              <w:left w:val="single" w:color="auto" w:sz="4" w:space="0"/>
              <w:bottom w:val="single" w:color="auto" w:sz="4" w:space="0"/>
              <w:right w:val="single" w:color="auto" w:sz="4" w:space="0"/>
            </w:tcBorders>
            <w:vAlign w:val="center"/>
          </w:tcPr>
          <w:p w14:paraId="0CFEE057">
            <w:pPr>
              <w:widowControl/>
              <w:jc w:val="center"/>
              <w:rPr>
                <w:rFonts w:ascii="Times New Roman" w:hAnsi="Times New Roman" w:eastAsia="宋体" w:cs="宋体"/>
                <w:color w:val="000000"/>
                <w:kern w:val="0"/>
                <w:szCs w:val="21"/>
              </w:rPr>
            </w:pPr>
          </w:p>
        </w:tc>
        <w:tc>
          <w:tcPr>
            <w:tcW w:w="177" w:type="pct"/>
            <w:tcBorders>
              <w:top w:val="nil"/>
              <w:left w:val="nil"/>
              <w:bottom w:val="single" w:color="auto" w:sz="4" w:space="0"/>
              <w:right w:val="single" w:color="auto" w:sz="4" w:space="0"/>
            </w:tcBorders>
            <w:shd w:val="clear" w:color="auto" w:fill="auto"/>
            <w:vAlign w:val="center"/>
          </w:tcPr>
          <w:p w14:paraId="28F11CC9">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r>
              <w:rPr>
                <w:rFonts w:ascii="Times New Roman" w:hAnsi="Times New Roman" w:eastAsia="宋体" w:cs="宋体"/>
                <w:color w:val="000000"/>
                <w:kern w:val="0"/>
                <w:szCs w:val="21"/>
              </w:rPr>
              <w:t>2</w:t>
            </w:r>
          </w:p>
        </w:tc>
        <w:tc>
          <w:tcPr>
            <w:tcW w:w="819" w:type="pct"/>
            <w:tcBorders>
              <w:top w:val="nil"/>
              <w:left w:val="nil"/>
              <w:bottom w:val="single" w:color="auto" w:sz="4" w:space="0"/>
              <w:right w:val="single" w:color="auto" w:sz="4" w:space="0"/>
            </w:tcBorders>
            <w:shd w:val="clear" w:color="auto" w:fill="auto"/>
            <w:vAlign w:val="center"/>
          </w:tcPr>
          <w:p w14:paraId="44EA00D1">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制定“无废城市”建设部门责任清单</w:t>
            </w:r>
          </w:p>
        </w:tc>
        <w:tc>
          <w:tcPr>
            <w:tcW w:w="2017" w:type="pct"/>
            <w:tcBorders>
              <w:top w:val="nil"/>
              <w:left w:val="nil"/>
              <w:bottom w:val="single" w:color="auto" w:sz="4" w:space="0"/>
              <w:right w:val="single" w:color="auto" w:sz="4" w:space="0"/>
            </w:tcBorders>
            <w:shd w:val="clear" w:color="auto" w:fill="auto"/>
            <w:vAlign w:val="center"/>
          </w:tcPr>
          <w:p w14:paraId="602E3BCC">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建立部门职责明确、分工协作的工作机制，明确部门责任清单和重点工作任务清单</w:t>
            </w:r>
          </w:p>
        </w:tc>
        <w:tc>
          <w:tcPr>
            <w:tcW w:w="390" w:type="pct"/>
            <w:tcBorders>
              <w:top w:val="nil"/>
              <w:left w:val="nil"/>
              <w:bottom w:val="single" w:color="auto" w:sz="4" w:space="0"/>
              <w:right w:val="single" w:color="auto" w:sz="4" w:space="0"/>
            </w:tcBorders>
            <w:shd w:val="clear" w:color="auto" w:fill="auto"/>
            <w:vAlign w:val="center"/>
          </w:tcPr>
          <w:p w14:paraId="68B8F432">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w:t>
            </w:r>
            <w:r>
              <w:rPr>
                <w:rFonts w:ascii="Times New Roman" w:hAnsi="Times New Roman" w:eastAsia="宋体" w:cs="宋体"/>
                <w:color w:val="000000"/>
                <w:kern w:val="0"/>
                <w:szCs w:val="21"/>
              </w:rPr>
              <w:t>023</w:t>
            </w:r>
            <w:r>
              <w:rPr>
                <w:rFonts w:hint="eastAsia" w:ascii="Times New Roman" w:hAnsi="Times New Roman" w:eastAsia="宋体" w:cs="宋体"/>
                <w:color w:val="000000"/>
                <w:kern w:val="0"/>
                <w:szCs w:val="21"/>
              </w:rPr>
              <w:t>年</w:t>
            </w:r>
          </w:p>
        </w:tc>
        <w:tc>
          <w:tcPr>
            <w:tcW w:w="1314" w:type="pct"/>
            <w:tcBorders>
              <w:top w:val="nil"/>
              <w:left w:val="nil"/>
              <w:bottom w:val="single" w:color="auto" w:sz="4" w:space="0"/>
              <w:right w:val="single" w:color="auto" w:sz="4" w:space="0"/>
            </w:tcBorders>
            <w:shd w:val="clear" w:color="auto" w:fill="auto"/>
            <w:vAlign w:val="center"/>
          </w:tcPr>
          <w:p w14:paraId="1A7D225E">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“无废城市”建设工作专班</w:t>
            </w:r>
          </w:p>
        </w:tc>
      </w:tr>
      <w:tr w14:paraId="006AC88C">
        <w:tblPrEx>
          <w:tblCellMar>
            <w:top w:w="0" w:type="dxa"/>
            <w:left w:w="108" w:type="dxa"/>
            <w:bottom w:w="0" w:type="dxa"/>
            <w:right w:w="108" w:type="dxa"/>
          </w:tblCellMar>
        </w:tblPrEx>
        <w:trPr>
          <w:trHeight w:val="1134" w:hRule="atLeast"/>
          <w:jc w:val="center"/>
        </w:trPr>
        <w:tc>
          <w:tcPr>
            <w:tcW w:w="282" w:type="pct"/>
            <w:vMerge w:val="continue"/>
            <w:tcBorders>
              <w:top w:val="nil"/>
              <w:left w:val="single" w:color="auto" w:sz="4" w:space="0"/>
              <w:bottom w:val="single" w:color="auto" w:sz="4" w:space="0"/>
              <w:right w:val="single" w:color="auto" w:sz="4" w:space="0"/>
            </w:tcBorders>
            <w:vAlign w:val="center"/>
          </w:tcPr>
          <w:p w14:paraId="7E95EEAD">
            <w:pPr>
              <w:widowControl/>
              <w:jc w:val="center"/>
              <w:rPr>
                <w:rFonts w:ascii="Times New Roman" w:hAnsi="Times New Roman" w:eastAsia="宋体" w:cs="宋体"/>
                <w:color w:val="000000"/>
                <w:kern w:val="0"/>
                <w:szCs w:val="21"/>
              </w:rPr>
            </w:pPr>
          </w:p>
        </w:tc>
        <w:tc>
          <w:tcPr>
            <w:tcW w:w="177" w:type="pct"/>
            <w:tcBorders>
              <w:top w:val="nil"/>
              <w:left w:val="nil"/>
              <w:bottom w:val="single" w:color="auto" w:sz="4" w:space="0"/>
              <w:right w:val="single" w:color="auto" w:sz="4" w:space="0"/>
            </w:tcBorders>
            <w:shd w:val="clear" w:color="auto" w:fill="auto"/>
            <w:vAlign w:val="center"/>
          </w:tcPr>
          <w:p w14:paraId="58F2576F">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r>
              <w:rPr>
                <w:rFonts w:ascii="Times New Roman" w:hAnsi="Times New Roman" w:eastAsia="宋体" w:cs="宋体"/>
                <w:color w:val="000000"/>
                <w:kern w:val="0"/>
                <w:szCs w:val="21"/>
              </w:rPr>
              <w:t>3</w:t>
            </w:r>
          </w:p>
        </w:tc>
        <w:tc>
          <w:tcPr>
            <w:tcW w:w="819" w:type="pct"/>
            <w:tcBorders>
              <w:top w:val="nil"/>
              <w:left w:val="nil"/>
              <w:bottom w:val="single" w:color="auto" w:sz="4" w:space="0"/>
              <w:right w:val="single" w:color="auto" w:sz="4" w:space="0"/>
            </w:tcBorders>
            <w:shd w:val="clear" w:color="auto" w:fill="auto"/>
            <w:vAlign w:val="center"/>
          </w:tcPr>
          <w:p w14:paraId="64112F70">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制定“无废城市”建设宣传工作方案</w:t>
            </w:r>
          </w:p>
        </w:tc>
        <w:tc>
          <w:tcPr>
            <w:tcW w:w="2017" w:type="pct"/>
            <w:tcBorders>
              <w:top w:val="nil"/>
              <w:left w:val="nil"/>
              <w:bottom w:val="single" w:color="auto" w:sz="4" w:space="0"/>
              <w:right w:val="single" w:color="auto" w:sz="4" w:space="0"/>
            </w:tcBorders>
            <w:shd w:val="clear" w:color="auto" w:fill="auto"/>
            <w:vAlign w:val="center"/>
          </w:tcPr>
          <w:p w14:paraId="0255CE08">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制定“无废城市”建设宣传工作方案，明确各项工作任务、时间安排和职责分工</w:t>
            </w:r>
          </w:p>
        </w:tc>
        <w:tc>
          <w:tcPr>
            <w:tcW w:w="390" w:type="pct"/>
            <w:tcBorders>
              <w:top w:val="nil"/>
              <w:left w:val="nil"/>
              <w:bottom w:val="single" w:color="auto" w:sz="4" w:space="0"/>
              <w:right w:val="single" w:color="auto" w:sz="4" w:space="0"/>
            </w:tcBorders>
            <w:shd w:val="clear" w:color="auto" w:fill="auto"/>
            <w:vAlign w:val="center"/>
          </w:tcPr>
          <w:p w14:paraId="30CDC36D">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202</w:t>
            </w:r>
            <w:r>
              <w:rPr>
                <w:rFonts w:ascii="Times New Roman" w:hAnsi="Times New Roman" w:eastAsia="宋体" w:cs="宋体"/>
                <w:color w:val="000000"/>
                <w:kern w:val="0"/>
                <w:szCs w:val="21"/>
              </w:rPr>
              <w:t>4</w:t>
            </w:r>
            <w:r>
              <w:rPr>
                <w:rFonts w:hint="eastAsia" w:ascii="Times New Roman" w:hAnsi="Times New Roman" w:eastAsia="宋体" w:cs="宋体"/>
                <w:color w:val="000000"/>
                <w:kern w:val="0"/>
                <w:szCs w:val="21"/>
              </w:rPr>
              <w:t>年</w:t>
            </w:r>
          </w:p>
        </w:tc>
        <w:tc>
          <w:tcPr>
            <w:tcW w:w="1314" w:type="pct"/>
            <w:tcBorders>
              <w:top w:val="nil"/>
              <w:left w:val="nil"/>
              <w:bottom w:val="single" w:color="auto" w:sz="4" w:space="0"/>
              <w:right w:val="single" w:color="auto" w:sz="4" w:space="0"/>
            </w:tcBorders>
            <w:shd w:val="clear" w:color="auto" w:fill="auto"/>
            <w:vAlign w:val="center"/>
          </w:tcPr>
          <w:p w14:paraId="60CF011E">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区委宣传部、区生态环境分局</w:t>
            </w:r>
          </w:p>
        </w:tc>
      </w:tr>
      <w:tr w14:paraId="47BC3FDA">
        <w:tblPrEx>
          <w:tblCellMar>
            <w:top w:w="0" w:type="dxa"/>
            <w:left w:w="108" w:type="dxa"/>
            <w:bottom w:w="0" w:type="dxa"/>
            <w:right w:w="108" w:type="dxa"/>
          </w:tblCellMar>
        </w:tblPrEx>
        <w:trPr>
          <w:trHeight w:val="1134" w:hRule="atLeast"/>
          <w:jc w:val="center"/>
        </w:trPr>
        <w:tc>
          <w:tcPr>
            <w:tcW w:w="282" w:type="pct"/>
            <w:vMerge w:val="continue"/>
            <w:tcBorders>
              <w:top w:val="nil"/>
              <w:left w:val="single" w:color="auto" w:sz="4" w:space="0"/>
              <w:bottom w:val="single" w:color="auto" w:sz="4" w:space="0"/>
              <w:right w:val="single" w:color="auto" w:sz="4" w:space="0"/>
            </w:tcBorders>
            <w:vAlign w:val="center"/>
          </w:tcPr>
          <w:p w14:paraId="1B9C64E0">
            <w:pPr>
              <w:widowControl/>
              <w:jc w:val="center"/>
              <w:rPr>
                <w:rFonts w:ascii="Times New Roman" w:hAnsi="Times New Roman" w:eastAsia="宋体" w:cs="宋体"/>
                <w:color w:val="000000"/>
                <w:kern w:val="0"/>
                <w:szCs w:val="21"/>
              </w:rPr>
            </w:pPr>
          </w:p>
        </w:tc>
        <w:tc>
          <w:tcPr>
            <w:tcW w:w="177" w:type="pct"/>
            <w:tcBorders>
              <w:top w:val="nil"/>
              <w:left w:val="nil"/>
              <w:bottom w:val="single" w:color="auto" w:sz="4" w:space="0"/>
              <w:right w:val="single" w:color="auto" w:sz="4" w:space="0"/>
            </w:tcBorders>
            <w:shd w:val="clear" w:color="auto" w:fill="auto"/>
            <w:vAlign w:val="center"/>
          </w:tcPr>
          <w:p w14:paraId="59D699D3">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1</w:t>
            </w:r>
            <w:r>
              <w:rPr>
                <w:rFonts w:ascii="Times New Roman" w:hAnsi="Times New Roman" w:eastAsia="宋体" w:cs="宋体"/>
                <w:color w:val="000000"/>
                <w:kern w:val="0"/>
                <w:szCs w:val="21"/>
              </w:rPr>
              <w:t>4</w:t>
            </w:r>
          </w:p>
        </w:tc>
        <w:tc>
          <w:tcPr>
            <w:tcW w:w="819" w:type="pct"/>
            <w:tcBorders>
              <w:top w:val="nil"/>
              <w:left w:val="nil"/>
              <w:bottom w:val="single" w:color="auto" w:sz="4" w:space="0"/>
              <w:right w:val="single" w:color="auto" w:sz="4" w:space="0"/>
            </w:tcBorders>
            <w:shd w:val="clear" w:color="auto" w:fill="auto"/>
            <w:vAlign w:val="center"/>
          </w:tcPr>
          <w:p w14:paraId="18D81EB1">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制定“无废城市”建设考核评价机制</w:t>
            </w:r>
          </w:p>
        </w:tc>
        <w:tc>
          <w:tcPr>
            <w:tcW w:w="2017" w:type="pct"/>
            <w:tcBorders>
              <w:top w:val="nil"/>
              <w:left w:val="nil"/>
              <w:bottom w:val="single" w:color="auto" w:sz="4" w:space="0"/>
              <w:right w:val="single" w:color="auto" w:sz="4" w:space="0"/>
            </w:tcBorders>
            <w:shd w:val="clear" w:color="auto" w:fill="auto"/>
            <w:vAlign w:val="center"/>
          </w:tcPr>
          <w:p w14:paraId="361E1ECE">
            <w:pPr>
              <w:widowControl/>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制定反映“无废城市”建设工作要求的考核评价机制</w:t>
            </w:r>
          </w:p>
        </w:tc>
        <w:tc>
          <w:tcPr>
            <w:tcW w:w="390" w:type="pct"/>
            <w:tcBorders>
              <w:top w:val="nil"/>
              <w:left w:val="nil"/>
              <w:bottom w:val="single" w:color="auto" w:sz="4" w:space="0"/>
              <w:right w:val="single" w:color="auto" w:sz="4" w:space="0"/>
            </w:tcBorders>
            <w:shd w:val="clear" w:color="auto" w:fill="auto"/>
            <w:vAlign w:val="center"/>
          </w:tcPr>
          <w:p w14:paraId="3C9088A6">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202</w:t>
            </w:r>
            <w:r>
              <w:rPr>
                <w:rFonts w:ascii="Times New Roman" w:hAnsi="Times New Roman" w:eastAsia="宋体" w:cs="宋体"/>
                <w:color w:val="000000"/>
                <w:kern w:val="0"/>
                <w:szCs w:val="21"/>
              </w:rPr>
              <w:t>4</w:t>
            </w:r>
            <w:r>
              <w:rPr>
                <w:rFonts w:hint="eastAsia" w:ascii="Times New Roman" w:hAnsi="Times New Roman" w:eastAsia="宋体" w:cs="宋体"/>
                <w:color w:val="000000"/>
                <w:kern w:val="0"/>
                <w:szCs w:val="21"/>
              </w:rPr>
              <w:t>年</w:t>
            </w:r>
          </w:p>
        </w:tc>
        <w:tc>
          <w:tcPr>
            <w:tcW w:w="1314" w:type="pct"/>
            <w:tcBorders>
              <w:top w:val="nil"/>
              <w:left w:val="nil"/>
              <w:bottom w:val="single" w:color="auto" w:sz="4" w:space="0"/>
              <w:right w:val="single" w:color="auto" w:sz="4" w:space="0"/>
            </w:tcBorders>
            <w:shd w:val="clear" w:color="auto" w:fill="auto"/>
            <w:vAlign w:val="center"/>
          </w:tcPr>
          <w:p w14:paraId="0FD70A8B">
            <w:pPr>
              <w:widowControl/>
              <w:jc w:val="center"/>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“无废城市”建设工作专班</w:t>
            </w:r>
          </w:p>
        </w:tc>
      </w:tr>
    </w:tbl>
    <w:p w14:paraId="50696546">
      <w:pPr>
        <w:ind w:firstLine="640" w:firstLineChars="200"/>
        <w:rPr>
          <w:rFonts w:ascii="Times New Roman" w:hAnsi="Times New Roman" w:eastAsia="楷体"/>
          <w:sz w:val="32"/>
          <w:szCs w:val="32"/>
        </w:rPr>
      </w:pPr>
      <w:r>
        <w:rPr>
          <w:rFonts w:ascii="Times New Roman" w:hAnsi="Times New Roman" w:eastAsia="楷体"/>
          <w:sz w:val="32"/>
          <w:szCs w:val="32"/>
        </w:rPr>
        <w:br w:type="page"/>
      </w:r>
    </w:p>
    <w:p w14:paraId="7DCB9AD8">
      <w:pPr>
        <w:ind w:firstLine="640" w:firstLineChars="200"/>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14:paraId="49FC52B0">
      <w:pPr>
        <w:pStyle w:val="27"/>
      </w:pPr>
      <w:bookmarkStart w:id="54" w:name="_Toc155617325"/>
      <w:r>
        <w:rPr>
          <w:rFonts w:hint="eastAsia"/>
        </w:rPr>
        <w:t>“无废城市”技术体系建设任务清单</w:t>
      </w:r>
      <w:bookmarkEnd w:id="54"/>
    </w:p>
    <w:tbl>
      <w:tblPr>
        <w:tblStyle w:val="12"/>
        <w:tblW w:w="4946" w:type="pct"/>
        <w:jc w:val="center"/>
        <w:tblLayout w:type="autofit"/>
        <w:tblCellMar>
          <w:top w:w="0" w:type="dxa"/>
          <w:left w:w="108" w:type="dxa"/>
          <w:bottom w:w="0" w:type="dxa"/>
          <w:right w:w="108" w:type="dxa"/>
        </w:tblCellMar>
      </w:tblPr>
      <w:tblGrid>
        <w:gridCol w:w="791"/>
        <w:gridCol w:w="496"/>
        <w:gridCol w:w="2299"/>
        <w:gridCol w:w="5659"/>
        <w:gridCol w:w="1094"/>
        <w:gridCol w:w="3682"/>
      </w:tblGrid>
      <w:tr w14:paraId="4A432228">
        <w:tblPrEx>
          <w:tblCellMar>
            <w:top w:w="0" w:type="dxa"/>
            <w:left w:w="108" w:type="dxa"/>
            <w:bottom w:w="0" w:type="dxa"/>
            <w:right w:w="108" w:type="dxa"/>
          </w:tblCellMar>
        </w:tblPrEx>
        <w:trPr>
          <w:trHeight w:val="1134" w:hRule="atLeast"/>
          <w:tblHeader/>
          <w:jc w:val="center"/>
        </w:trPr>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6BFBB13A">
            <w:pPr>
              <w:pStyle w:val="31"/>
              <w:spacing w:line="240" w:lineRule="auto"/>
              <w:rPr>
                <w:rFonts w:eastAsia="黑体"/>
              </w:rPr>
            </w:pPr>
            <w:r>
              <w:rPr>
                <w:rFonts w:hint="eastAsia" w:eastAsia="黑体"/>
              </w:rPr>
              <w:t>任务领域</w:t>
            </w:r>
          </w:p>
        </w:tc>
        <w:tc>
          <w:tcPr>
            <w:tcW w:w="177" w:type="pct"/>
            <w:tcBorders>
              <w:top w:val="single" w:color="auto" w:sz="4" w:space="0"/>
              <w:left w:val="nil"/>
              <w:bottom w:val="single" w:color="auto" w:sz="4" w:space="0"/>
              <w:right w:val="single" w:color="auto" w:sz="4" w:space="0"/>
            </w:tcBorders>
            <w:shd w:val="clear" w:color="auto" w:fill="auto"/>
            <w:vAlign w:val="center"/>
          </w:tcPr>
          <w:p w14:paraId="31CADD75">
            <w:pPr>
              <w:pStyle w:val="31"/>
              <w:spacing w:line="240" w:lineRule="auto"/>
              <w:rPr>
                <w:rFonts w:eastAsia="黑体"/>
              </w:rPr>
            </w:pPr>
            <w:r>
              <w:rPr>
                <w:rFonts w:hint="eastAsia" w:eastAsia="黑体"/>
              </w:rPr>
              <w:t>序号</w:t>
            </w:r>
          </w:p>
        </w:tc>
        <w:tc>
          <w:tcPr>
            <w:tcW w:w="820" w:type="pct"/>
            <w:tcBorders>
              <w:top w:val="single" w:color="auto" w:sz="4" w:space="0"/>
              <w:left w:val="nil"/>
              <w:bottom w:val="single" w:color="auto" w:sz="4" w:space="0"/>
              <w:right w:val="single" w:color="auto" w:sz="4" w:space="0"/>
            </w:tcBorders>
            <w:shd w:val="clear" w:color="auto" w:fill="auto"/>
            <w:vAlign w:val="center"/>
          </w:tcPr>
          <w:p w14:paraId="4E9E8DD2">
            <w:pPr>
              <w:pStyle w:val="31"/>
              <w:spacing w:line="240" w:lineRule="auto"/>
              <w:rPr>
                <w:rFonts w:eastAsia="黑体"/>
              </w:rPr>
            </w:pPr>
            <w:r>
              <w:rPr>
                <w:rFonts w:hint="eastAsia" w:eastAsia="黑体"/>
              </w:rPr>
              <w:t>任务名称</w:t>
            </w:r>
          </w:p>
        </w:tc>
        <w:tc>
          <w:tcPr>
            <w:tcW w:w="2018" w:type="pct"/>
            <w:tcBorders>
              <w:top w:val="single" w:color="auto" w:sz="4" w:space="0"/>
              <w:left w:val="nil"/>
              <w:bottom w:val="single" w:color="auto" w:sz="4" w:space="0"/>
              <w:right w:val="single" w:color="auto" w:sz="4" w:space="0"/>
            </w:tcBorders>
            <w:shd w:val="clear" w:color="auto" w:fill="auto"/>
            <w:vAlign w:val="center"/>
          </w:tcPr>
          <w:p w14:paraId="33B39399">
            <w:pPr>
              <w:pStyle w:val="31"/>
              <w:spacing w:line="240" w:lineRule="auto"/>
              <w:rPr>
                <w:rFonts w:eastAsia="黑体"/>
              </w:rPr>
            </w:pPr>
            <w:r>
              <w:rPr>
                <w:rFonts w:hint="eastAsia" w:eastAsia="黑体"/>
              </w:rPr>
              <w:t>任务内容</w:t>
            </w:r>
          </w:p>
        </w:tc>
        <w:tc>
          <w:tcPr>
            <w:tcW w:w="390" w:type="pct"/>
            <w:tcBorders>
              <w:top w:val="single" w:color="auto" w:sz="4" w:space="0"/>
              <w:left w:val="nil"/>
              <w:bottom w:val="single" w:color="auto" w:sz="4" w:space="0"/>
              <w:right w:val="single" w:color="auto" w:sz="4" w:space="0"/>
            </w:tcBorders>
            <w:shd w:val="clear" w:color="auto" w:fill="auto"/>
            <w:vAlign w:val="center"/>
          </w:tcPr>
          <w:p w14:paraId="0B32140D">
            <w:pPr>
              <w:pStyle w:val="31"/>
              <w:spacing w:line="240" w:lineRule="auto"/>
              <w:rPr>
                <w:rFonts w:eastAsia="黑体"/>
              </w:rPr>
            </w:pPr>
            <w:r>
              <w:rPr>
                <w:rFonts w:hint="eastAsia" w:eastAsia="黑体"/>
              </w:rPr>
              <w:t>完成时限</w:t>
            </w:r>
          </w:p>
        </w:tc>
        <w:tc>
          <w:tcPr>
            <w:tcW w:w="1313" w:type="pct"/>
            <w:tcBorders>
              <w:top w:val="single" w:color="auto" w:sz="4" w:space="0"/>
              <w:left w:val="nil"/>
              <w:bottom w:val="single" w:color="auto" w:sz="4" w:space="0"/>
              <w:right w:val="single" w:color="auto" w:sz="4" w:space="0"/>
            </w:tcBorders>
            <w:shd w:val="clear" w:color="auto" w:fill="auto"/>
            <w:vAlign w:val="center"/>
          </w:tcPr>
          <w:p w14:paraId="1B37E46E">
            <w:pPr>
              <w:pStyle w:val="31"/>
              <w:spacing w:line="240" w:lineRule="auto"/>
              <w:rPr>
                <w:rFonts w:eastAsia="黑体"/>
              </w:rPr>
            </w:pPr>
            <w:r>
              <w:rPr>
                <w:rFonts w:hint="eastAsia" w:eastAsia="黑体"/>
              </w:rPr>
              <w:t>责任单位</w:t>
            </w:r>
          </w:p>
        </w:tc>
      </w:tr>
      <w:tr w14:paraId="0C706937">
        <w:tblPrEx>
          <w:tblCellMar>
            <w:top w:w="0" w:type="dxa"/>
            <w:left w:w="108" w:type="dxa"/>
            <w:bottom w:w="0" w:type="dxa"/>
            <w:right w:w="108" w:type="dxa"/>
          </w:tblCellMar>
        </w:tblPrEx>
        <w:trPr>
          <w:trHeight w:val="1134" w:hRule="atLeast"/>
          <w:jc w:val="center"/>
        </w:trPr>
        <w:tc>
          <w:tcPr>
            <w:tcW w:w="282" w:type="pct"/>
            <w:tcBorders>
              <w:top w:val="nil"/>
              <w:left w:val="single" w:color="auto" w:sz="4" w:space="0"/>
              <w:bottom w:val="single" w:color="auto" w:sz="4" w:space="0"/>
              <w:right w:val="single" w:color="auto" w:sz="4" w:space="0"/>
            </w:tcBorders>
            <w:vAlign w:val="center"/>
          </w:tcPr>
          <w:p w14:paraId="2CFE580B">
            <w:pPr>
              <w:pStyle w:val="31"/>
              <w:spacing w:line="240" w:lineRule="auto"/>
            </w:pPr>
            <w:r>
              <w:rPr>
                <w:rFonts w:hint="eastAsia"/>
              </w:rPr>
              <w:t>建筑垃圾</w:t>
            </w:r>
          </w:p>
        </w:tc>
        <w:tc>
          <w:tcPr>
            <w:tcW w:w="177" w:type="pct"/>
            <w:tcBorders>
              <w:top w:val="nil"/>
              <w:left w:val="nil"/>
              <w:bottom w:val="single" w:color="auto" w:sz="4" w:space="0"/>
              <w:right w:val="single" w:color="auto" w:sz="4" w:space="0"/>
            </w:tcBorders>
            <w:shd w:val="clear" w:color="auto" w:fill="auto"/>
            <w:vAlign w:val="center"/>
          </w:tcPr>
          <w:p w14:paraId="34845E23">
            <w:pPr>
              <w:pStyle w:val="31"/>
              <w:spacing w:line="240" w:lineRule="auto"/>
            </w:pPr>
            <w:r>
              <w:t>1</w:t>
            </w:r>
          </w:p>
        </w:tc>
        <w:tc>
          <w:tcPr>
            <w:tcW w:w="820" w:type="pct"/>
            <w:tcBorders>
              <w:top w:val="nil"/>
              <w:left w:val="nil"/>
              <w:bottom w:val="single" w:color="auto" w:sz="4" w:space="0"/>
              <w:right w:val="single" w:color="auto" w:sz="4" w:space="0"/>
            </w:tcBorders>
            <w:shd w:val="clear" w:color="auto" w:fill="auto"/>
            <w:vAlign w:val="center"/>
          </w:tcPr>
          <w:p w14:paraId="551C2AC6">
            <w:pPr>
              <w:pStyle w:val="31"/>
              <w:spacing w:line="240" w:lineRule="auto"/>
              <w:jc w:val="left"/>
            </w:pPr>
            <w:r>
              <w:rPr>
                <w:rFonts w:hint="eastAsia"/>
              </w:rPr>
              <w:t>装配式建筑新技术研发推广</w:t>
            </w:r>
          </w:p>
        </w:tc>
        <w:tc>
          <w:tcPr>
            <w:tcW w:w="2018" w:type="pct"/>
            <w:tcBorders>
              <w:top w:val="nil"/>
              <w:left w:val="nil"/>
              <w:bottom w:val="single" w:color="auto" w:sz="4" w:space="0"/>
              <w:right w:val="single" w:color="auto" w:sz="4" w:space="0"/>
            </w:tcBorders>
            <w:shd w:val="clear" w:color="auto" w:fill="auto"/>
            <w:vAlign w:val="center"/>
          </w:tcPr>
          <w:p w14:paraId="34A1C167">
            <w:pPr>
              <w:pStyle w:val="31"/>
              <w:spacing w:line="240" w:lineRule="auto"/>
              <w:jc w:val="left"/>
            </w:pPr>
            <w:r>
              <w:rPr>
                <w:rFonts w:hint="eastAsia"/>
              </w:rPr>
              <w:t>开展一体化装修、BIM技术等装配式建筑新技术研发</w:t>
            </w:r>
          </w:p>
        </w:tc>
        <w:tc>
          <w:tcPr>
            <w:tcW w:w="390" w:type="pct"/>
            <w:tcBorders>
              <w:top w:val="nil"/>
              <w:left w:val="nil"/>
              <w:bottom w:val="single" w:color="auto" w:sz="4" w:space="0"/>
              <w:right w:val="single" w:color="auto" w:sz="4" w:space="0"/>
            </w:tcBorders>
            <w:shd w:val="clear" w:color="auto" w:fill="auto"/>
            <w:vAlign w:val="center"/>
          </w:tcPr>
          <w:p w14:paraId="3C854D3B">
            <w:pPr>
              <w:pStyle w:val="31"/>
              <w:spacing w:line="240" w:lineRule="auto"/>
            </w:pPr>
            <w:r>
              <w:rPr>
                <w:rFonts w:hint="eastAsia"/>
              </w:rPr>
              <w:t>2025年</w:t>
            </w:r>
          </w:p>
        </w:tc>
        <w:tc>
          <w:tcPr>
            <w:tcW w:w="1313" w:type="pct"/>
            <w:tcBorders>
              <w:top w:val="nil"/>
              <w:left w:val="nil"/>
              <w:bottom w:val="single" w:color="auto" w:sz="4" w:space="0"/>
              <w:right w:val="single" w:color="auto" w:sz="4" w:space="0"/>
            </w:tcBorders>
            <w:shd w:val="clear" w:color="auto" w:fill="auto"/>
            <w:vAlign w:val="center"/>
          </w:tcPr>
          <w:p w14:paraId="60F0AED7">
            <w:pPr>
              <w:pStyle w:val="31"/>
              <w:spacing w:line="240" w:lineRule="auto"/>
            </w:pPr>
            <w:r>
              <w:rPr>
                <w:rFonts w:hint="eastAsia"/>
              </w:rPr>
              <w:t>区住房和城乡建设局</w:t>
            </w:r>
          </w:p>
        </w:tc>
      </w:tr>
      <w:tr w14:paraId="61277AAF">
        <w:tblPrEx>
          <w:tblCellMar>
            <w:top w:w="0" w:type="dxa"/>
            <w:left w:w="108" w:type="dxa"/>
            <w:bottom w:w="0" w:type="dxa"/>
            <w:right w:w="108" w:type="dxa"/>
          </w:tblCellMar>
        </w:tblPrEx>
        <w:trPr>
          <w:trHeight w:val="1134" w:hRule="atLeast"/>
          <w:jc w:val="center"/>
        </w:trPr>
        <w:tc>
          <w:tcPr>
            <w:tcW w:w="282" w:type="pct"/>
            <w:tcBorders>
              <w:top w:val="nil"/>
              <w:left w:val="single" w:color="auto" w:sz="4" w:space="0"/>
              <w:bottom w:val="single" w:color="auto" w:sz="4" w:space="0"/>
              <w:right w:val="single" w:color="auto" w:sz="4" w:space="0"/>
            </w:tcBorders>
            <w:vAlign w:val="center"/>
          </w:tcPr>
          <w:p w14:paraId="0F9CC1DC">
            <w:pPr>
              <w:pStyle w:val="31"/>
              <w:spacing w:line="240" w:lineRule="auto"/>
            </w:pPr>
            <w:r>
              <w:rPr>
                <w:rFonts w:hint="eastAsia"/>
              </w:rPr>
              <w:t>保障体系</w:t>
            </w:r>
          </w:p>
        </w:tc>
        <w:tc>
          <w:tcPr>
            <w:tcW w:w="177" w:type="pct"/>
            <w:tcBorders>
              <w:top w:val="nil"/>
              <w:left w:val="nil"/>
              <w:bottom w:val="single" w:color="auto" w:sz="4" w:space="0"/>
              <w:right w:val="single" w:color="auto" w:sz="4" w:space="0"/>
            </w:tcBorders>
            <w:shd w:val="clear" w:color="auto" w:fill="auto"/>
            <w:vAlign w:val="center"/>
          </w:tcPr>
          <w:p w14:paraId="0BC5C900">
            <w:pPr>
              <w:pStyle w:val="31"/>
              <w:spacing w:line="240" w:lineRule="auto"/>
            </w:pPr>
            <w:r>
              <w:t>2</w:t>
            </w:r>
          </w:p>
        </w:tc>
        <w:tc>
          <w:tcPr>
            <w:tcW w:w="820" w:type="pct"/>
            <w:tcBorders>
              <w:top w:val="nil"/>
              <w:left w:val="nil"/>
              <w:bottom w:val="single" w:color="auto" w:sz="4" w:space="0"/>
              <w:right w:val="single" w:color="auto" w:sz="4" w:space="0"/>
            </w:tcBorders>
            <w:shd w:val="clear" w:color="auto" w:fill="auto"/>
            <w:vAlign w:val="center"/>
          </w:tcPr>
          <w:p w14:paraId="3DBCC1B1">
            <w:pPr>
              <w:pStyle w:val="31"/>
              <w:spacing w:line="240" w:lineRule="auto"/>
              <w:jc w:val="left"/>
            </w:pPr>
            <w:r>
              <w:rPr>
                <w:rFonts w:hint="eastAsia"/>
              </w:rPr>
              <w:t>加速固废领域技术成果转化</w:t>
            </w:r>
          </w:p>
        </w:tc>
        <w:tc>
          <w:tcPr>
            <w:tcW w:w="2018" w:type="pct"/>
            <w:tcBorders>
              <w:top w:val="nil"/>
              <w:left w:val="nil"/>
              <w:bottom w:val="single" w:color="auto" w:sz="4" w:space="0"/>
              <w:right w:val="single" w:color="auto" w:sz="4" w:space="0"/>
            </w:tcBorders>
            <w:shd w:val="clear" w:color="auto" w:fill="auto"/>
            <w:vAlign w:val="center"/>
          </w:tcPr>
          <w:p w14:paraId="0D5F8217">
            <w:pPr>
              <w:pStyle w:val="31"/>
              <w:spacing w:line="240" w:lineRule="auto"/>
              <w:jc w:val="left"/>
            </w:pPr>
            <w:r>
              <w:rPr>
                <w:rFonts w:hint="eastAsia"/>
              </w:rPr>
              <w:t>实施关键技术“揭榜挂帅”机制，支持成果就地转化场景应用，探索成果沿途转化机制</w:t>
            </w:r>
          </w:p>
        </w:tc>
        <w:tc>
          <w:tcPr>
            <w:tcW w:w="390" w:type="pct"/>
            <w:tcBorders>
              <w:top w:val="nil"/>
              <w:left w:val="nil"/>
              <w:bottom w:val="single" w:color="auto" w:sz="4" w:space="0"/>
              <w:right w:val="single" w:color="auto" w:sz="4" w:space="0"/>
            </w:tcBorders>
            <w:shd w:val="clear" w:color="auto" w:fill="auto"/>
            <w:vAlign w:val="center"/>
          </w:tcPr>
          <w:p w14:paraId="240E5737">
            <w:pPr>
              <w:pStyle w:val="31"/>
              <w:spacing w:line="240" w:lineRule="auto"/>
            </w:pPr>
            <w:r>
              <w:rPr>
                <w:rFonts w:hint="eastAsia"/>
              </w:rPr>
              <w:t>长期</w:t>
            </w:r>
          </w:p>
        </w:tc>
        <w:tc>
          <w:tcPr>
            <w:tcW w:w="1313" w:type="pct"/>
            <w:tcBorders>
              <w:top w:val="nil"/>
              <w:left w:val="nil"/>
              <w:bottom w:val="single" w:color="auto" w:sz="4" w:space="0"/>
              <w:right w:val="single" w:color="auto" w:sz="4" w:space="0"/>
            </w:tcBorders>
            <w:shd w:val="clear" w:color="auto" w:fill="auto"/>
            <w:vAlign w:val="center"/>
          </w:tcPr>
          <w:p w14:paraId="5534AEEC">
            <w:pPr>
              <w:pStyle w:val="31"/>
              <w:spacing w:line="240" w:lineRule="auto"/>
            </w:pPr>
            <w:r>
              <w:rPr>
                <w:rFonts w:hint="eastAsia"/>
              </w:rPr>
              <w:t>区科学技术局</w:t>
            </w:r>
          </w:p>
        </w:tc>
      </w:tr>
    </w:tbl>
    <w:p w14:paraId="58A8F70B">
      <w:pPr>
        <w:ind w:firstLine="723" w:firstLineChars="200"/>
        <w:rPr>
          <w:rFonts w:ascii="Times New Roman" w:hAnsi="Times New Roman" w:eastAsia="黑体"/>
          <w:b/>
          <w:bCs/>
          <w:sz w:val="36"/>
          <w:szCs w:val="36"/>
        </w:rPr>
      </w:pPr>
      <w:r>
        <w:rPr>
          <w:rFonts w:ascii="Times New Roman" w:hAnsi="Times New Roman" w:eastAsia="黑体"/>
          <w:b/>
          <w:bCs/>
          <w:sz w:val="36"/>
          <w:szCs w:val="36"/>
        </w:rPr>
        <w:br w:type="page"/>
      </w:r>
    </w:p>
    <w:p w14:paraId="6C4851B8">
      <w:pPr>
        <w:ind w:firstLine="640" w:firstLineChars="200"/>
        <w:rPr>
          <w:rFonts w:ascii="Times New Roman" w:hAnsi="Times New Roman" w:eastAsia="黑体"/>
          <w:b/>
          <w:bCs/>
          <w:sz w:val="36"/>
          <w:szCs w:val="36"/>
        </w:rPr>
      </w:pPr>
      <w:r>
        <w:rPr>
          <w:rFonts w:hint="eastAsia" w:ascii="黑体" w:hAnsi="黑体" w:eastAsia="黑体"/>
          <w:sz w:val="32"/>
          <w:szCs w:val="32"/>
        </w:rPr>
        <w:t>附件</w:t>
      </w:r>
      <w:r>
        <w:rPr>
          <w:rFonts w:ascii="黑体" w:hAnsi="黑体" w:eastAsia="黑体"/>
          <w:sz w:val="32"/>
          <w:szCs w:val="32"/>
        </w:rPr>
        <w:t>3</w:t>
      </w:r>
    </w:p>
    <w:p w14:paraId="3EC9289F">
      <w:pPr>
        <w:pStyle w:val="27"/>
      </w:pPr>
      <w:bookmarkStart w:id="55" w:name="_Toc155617326"/>
      <w:r>
        <w:rPr>
          <w:rFonts w:hint="eastAsia"/>
        </w:rPr>
        <w:t>“无废城市”市场体系建设任务清单</w:t>
      </w:r>
      <w:bookmarkEnd w:id="55"/>
    </w:p>
    <w:tbl>
      <w:tblPr>
        <w:tblStyle w:val="12"/>
        <w:tblW w:w="4947" w:type="pct"/>
        <w:jc w:val="center"/>
        <w:tblLayout w:type="autofit"/>
        <w:tblCellMar>
          <w:top w:w="0" w:type="dxa"/>
          <w:left w:w="108" w:type="dxa"/>
          <w:bottom w:w="0" w:type="dxa"/>
          <w:right w:w="108" w:type="dxa"/>
        </w:tblCellMar>
      </w:tblPr>
      <w:tblGrid>
        <w:gridCol w:w="791"/>
        <w:gridCol w:w="502"/>
        <w:gridCol w:w="2300"/>
        <w:gridCol w:w="5657"/>
        <w:gridCol w:w="1094"/>
        <w:gridCol w:w="3680"/>
      </w:tblGrid>
      <w:tr w14:paraId="0105FD3C">
        <w:tblPrEx>
          <w:tblCellMar>
            <w:top w:w="0" w:type="dxa"/>
            <w:left w:w="108" w:type="dxa"/>
            <w:bottom w:w="0" w:type="dxa"/>
            <w:right w:w="108" w:type="dxa"/>
          </w:tblCellMar>
        </w:tblPrEx>
        <w:trPr>
          <w:trHeight w:val="1134" w:hRule="atLeast"/>
          <w:tblHeader/>
          <w:jc w:val="center"/>
        </w:trPr>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14:paraId="401944E1">
            <w:pPr>
              <w:pStyle w:val="31"/>
              <w:spacing w:line="240" w:lineRule="auto"/>
              <w:rPr>
                <w:rFonts w:eastAsia="黑体"/>
              </w:rPr>
            </w:pPr>
            <w:r>
              <w:rPr>
                <w:rFonts w:hint="eastAsia" w:eastAsia="黑体"/>
              </w:rPr>
              <w:t>任务领域</w:t>
            </w:r>
          </w:p>
        </w:tc>
        <w:tc>
          <w:tcPr>
            <w:tcW w:w="179" w:type="pct"/>
            <w:tcBorders>
              <w:top w:val="single" w:color="auto" w:sz="4" w:space="0"/>
              <w:left w:val="nil"/>
              <w:bottom w:val="single" w:color="auto" w:sz="4" w:space="0"/>
              <w:right w:val="single" w:color="auto" w:sz="4" w:space="0"/>
            </w:tcBorders>
            <w:shd w:val="clear" w:color="auto" w:fill="auto"/>
            <w:vAlign w:val="center"/>
          </w:tcPr>
          <w:p w14:paraId="24744F05">
            <w:pPr>
              <w:pStyle w:val="31"/>
              <w:spacing w:line="240" w:lineRule="auto"/>
              <w:rPr>
                <w:rFonts w:eastAsia="黑体"/>
              </w:rPr>
            </w:pPr>
            <w:r>
              <w:rPr>
                <w:rFonts w:hint="eastAsia" w:eastAsia="黑体"/>
              </w:rPr>
              <w:t>序号</w:t>
            </w:r>
          </w:p>
        </w:tc>
        <w:tc>
          <w:tcPr>
            <w:tcW w:w="820" w:type="pct"/>
            <w:tcBorders>
              <w:top w:val="single" w:color="auto" w:sz="4" w:space="0"/>
              <w:left w:val="nil"/>
              <w:bottom w:val="single" w:color="auto" w:sz="4" w:space="0"/>
              <w:right w:val="single" w:color="auto" w:sz="4" w:space="0"/>
            </w:tcBorders>
            <w:shd w:val="clear" w:color="auto" w:fill="auto"/>
            <w:vAlign w:val="center"/>
          </w:tcPr>
          <w:p w14:paraId="1D084025">
            <w:pPr>
              <w:pStyle w:val="31"/>
              <w:spacing w:line="240" w:lineRule="auto"/>
              <w:rPr>
                <w:rFonts w:eastAsia="黑体"/>
              </w:rPr>
            </w:pPr>
            <w:r>
              <w:rPr>
                <w:rFonts w:hint="eastAsia" w:eastAsia="黑体"/>
              </w:rPr>
              <w:t>任务名称</w:t>
            </w:r>
          </w:p>
        </w:tc>
        <w:tc>
          <w:tcPr>
            <w:tcW w:w="2017" w:type="pct"/>
            <w:tcBorders>
              <w:top w:val="single" w:color="auto" w:sz="4" w:space="0"/>
              <w:left w:val="nil"/>
              <w:bottom w:val="single" w:color="auto" w:sz="4" w:space="0"/>
              <w:right w:val="single" w:color="auto" w:sz="4" w:space="0"/>
            </w:tcBorders>
            <w:shd w:val="clear" w:color="auto" w:fill="auto"/>
            <w:vAlign w:val="center"/>
          </w:tcPr>
          <w:p w14:paraId="6091904D">
            <w:pPr>
              <w:pStyle w:val="31"/>
              <w:spacing w:line="240" w:lineRule="auto"/>
              <w:rPr>
                <w:rFonts w:eastAsia="黑体"/>
              </w:rPr>
            </w:pPr>
            <w:r>
              <w:rPr>
                <w:rFonts w:hint="eastAsia" w:eastAsia="黑体"/>
              </w:rPr>
              <w:t>任务内容</w:t>
            </w:r>
          </w:p>
        </w:tc>
        <w:tc>
          <w:tcPr>
            <w:tcW w:w="390" w:type="pct"/>
            <w:tcBorders>
              <w:top w:val="single" w:color="auto" w:sz="4" w:space="0"/>
              <w:left w:val="nil"/>
              <w:bottom w:val="single" w:color="auto" w:sz="4" w:space="0"/>
              <w:right w:val="single" w:color="auto" w:sz="4" w:space="0"/>
            </w:tcBorders>
            <w:shd w:val="clear" w:color="auto" w:fill="auto"/>
            <w:vAlign w:val="center"/>
          </w:tcPr>
          <w:p w14:paraId="4B59B10A">
            <w:pPr>
              <w:pStyle w:val="31"/>
              <w:spacing w:line="240" w:lineRule="auto"/>
              <w:rPr>
                <w:rFonts w:eastAsia="黑体"/>
              </w:rPr>
            </w:pPr>
            <w:r>
              <w:rPr>
                <w:rFonts w:hint="eastAsia" w:eastAsia="黑体"/>
              </w:rPr>
              <w:t>完成时限</w:t>
            </w:r>
          </w:p>
        </w:tc>
        <w:tc>
          <w:tcPr>
            <w:tcW w:w="1312" w:type="pct"/>
            <w:tcBorders>
              <w:top w:val="single" w:color="auto" w:sz="4" w:space="0"/>
              <w:left w:val="nil"/>
              <w:bottom w:val="single" w:color="auto" w:sz="4" w:space="0"/>
              <w:right w:val="single" w:color="auto" w:sz="4" w:space="0"/>
            </w:tcBorders>
            <w:shd w:val="clear" w:color="auto" w:fill="auto"/>
            <w:vAlign w:val="center"/>
          </w:tcPr>
          <w:p w14:paraId="4AE9A905">
            <w:pPr>
              <w:pStyle w:val="31"/>
              <w:spacing w:line="240" w:lineRule="auto"/>
              <w:rPr>
                <w:rFonts w:eastAsia="黑体"/>
              </w:rPr>
            </w:pPr>
            <w:r>
              <w:rPr>
                <w:rFonts w:hint="eastAsia" w:eastAsia="黑体"/>
              </w:rPr>
              <w:t>责任单位</w:t>
            </w:r>
          </w:p>
        </w:tc>
      </w:tr>
      <w:tr w14:paraId="68FACB2D">
        <w:tblPrEx>
          <w:tblCellMar>
            <w:top w:w="0" w:type="dxa"/>
            <w:left w:w="108" w:type="dxa"/>
            <w:bottom w:w="0" w:type="dxa"/>
            <w:right w:w="108" w:type="dxa"/>
          </w:tblCellMar>
        </w:tblPrEx>
        <w:trPr>
          <w:trHeight w:val="1134" w:hRule="atLeast"/>
          <w:jc w:val="center"/>
        </w:trPr>
        <w:tc>
          <w:tcPr>
            <w:tcW w:w="282" w:type="pct"/>
            <w:vMerge w:val="restart"/>
            <w:tcBorders>
              <w:top w:val="nil"/>
              <w:left w:val="single" w:color="auto" w:sz="4" w:space="0"/>
              <w:bottom w:val="single" w:color="auto" w:sz="4" w:space="0"/>
              <w:right w:val="single" w:color="auto" w:sz="4" w:space="0"/>
            </w:tcBorders>
            <w:shd w:val="clear" w:color="auto" w:fill="auto"/>
            <w:vAlign w:val="center"/>
          </w:tcPr>
          <w:p w14:paraId="5DD0A729">
            <w:pPr>
              <w:pStyle w:val="31"/>
              <w:spacing w:line="240" w:lineRule="auto"/>
            </w:pPr>
            <w:r>
              <w:rPr>
                <w:rFonts w:hint="eastAsia"/>
              </w:rPr>
              <w:t>一般工业固废</w:t>
            </w:r>
          </w:p>
        </w:tc>
        <w:tc>
          <w:tcPr>
            <w:tcW w:w="179" w:type="pct"/>
            <w:tcBorders>
              <w:top w:val="nil"/>
              <w:left w:val="nil"/>
              <w:bottom w:val="single" w:color="auto" w:sz="4" w:space="0"/>
              <w:right w:val="single" w:color="auto" w:sz="4" w:space="0"/>
            </w:tcBorders>
            <w:shd w:val="clear" w:color="auto" w:fill="auto"/>
            <w:vAlign w:val="center"/>
          </w:tcPr>
          <w:p w14:paraId="28A9AADC">
            <w:pPr>
              <w:pStyle w:val="31"/>
              <w:spacing w:line="240" w:lineRule="auto"/>
            </w:pPr>
            <w:r>
              <w:rPr>
                <w:rFonts w:hint="eastAsia"/>
              </w:rPr>
              <w:t>1</w:t>
            </w:r>
          </w:p>
        </w:tc>
        <w:tc>
          <w:tcPr>
            <w:tcW w:w="820" w:type="pct"/>
            <w:tcBorders>
              <w:top w:val="nil"/>
              <w:left w:val="nil"/>
              <w:bottom w:val="single" w:color="auto" w:sz="4" w:space="0"/>
              <w:right w:val="single" w:color="auto" w:sz="4" w:space="0"/>
            </w:tcBorders>
            <w:shd w:val="clear" w:color="auto" w:fill="auto"/>
            <w:vAlign w:val="center"/>
          </w:tcPr>
          <w:p w14:paraId="100C8C7F">
            <w:pPr>
              <w:pStyle w:val="31"/>
              <w:spacing w:line="240" w:lineRule="auto"/>
              <w:jc w:val="left"/>
            </w:pPr>
            <w:r>
              <w:rPr>
                <w:rFonts w:hint="eastAsia"/>
              </w:rPr>
              <w:t>配合市级共同搭建一般工业固废信息化交互平台</w:t>
            </w:r>
          </w:p>
        </w:tc>
        <w:tc>
          <w:tcPr>
            <w:tcW w:w="2017" w:type="pct"/>
            <w:tcBorders>
              <w:top w:val="nil"/>
              <w:left w:val="nil"/>
              <w:bottom w:val="single" w:color="auto" w:sz="4" w:space="0"/>
              <w:right w:val="single" w:color="auto" w:sz="4" w:space="0"/>
            </w:tcBorders>
            <w:shd w:val="clear" w:color="auto" w:fill="auto"/>
            <w:vAlign w:val="center"/>
          </w:tcPr>
          <w:p w14:paraId="4C769E0E">
            <w:pPr>
              <w:pStyle w:val="31"/>
              <w:spacing w:line="240" w:lineRule="auto"/>
              <w:jc w:val="left"/>
            </w:pPr>
            <w:r>
              <w:rPr>
                <w:rFonts w:hint="eastAsia"/>
              </w:rPr>
              <w:t>配合市级共同搭建一般工业固废信息化交互平台，推动一般工业固废安全高效处理</w:t>
            </w:r>
          </w:p>
        </w:tc>
        <w:tc>
          <w:tcPr>
            <w:tcW w:w="390" w:type="pct"/>
            <w:tcBorders>
              <w:top w:val="nil"/>
              <w:left w:val="nil"/>
              <w:bottom w:val="single" w:color="auto" w:sz="4" w:space="0"/>
              <w:right w:val="single" w:color="auto" w:sz="4" w:space="0"/>
            </w:tcBorders>
            <w:shd w:val="clear" w:color="auto" w:fill="auto"/>
            <w:vAlign w:val="center"/>
          </w:tcPr>
          <w:p w14:paraId="7D9A6895">
            <w:pPr>
              <w:pStyle w:val="31"/>
              <w:spacing w:line="240" w:lineRule="auto"/>
            </w:pPr>
            <w:r>
              <w:rPr>
                <w:rFonts w:hint="eastAsia"/>
              </w:rPr>
              <w:t>2024年</w:t>
            </w:r>
          </w:p>
        </w:tc>
        <w:tc>
          <w:tcPr>
            <w:tcW w:w="1312" w:type="pct"/>
            <w:tcBorders>
              <w:top w:val="nil"/>
              <w:left w:val="nil"/>
              <w:bottom w:val="single" w:color="auto" w:sz="4" w:space="0"/>
              <w:right w:val="single" w:color="auto" w:sz="4" w:space="0"/>
            </w:tcBorders>
            <w:shd w:val="clear" w:color="auto" w:fill="auto"/>
            <w:vAlign w:val="center"/>
          </w:tcPr>
          <w:p w14:paraId="27AB12BE">
            <w:pPr>
              <w:pStyle w:val="31"/>
              <w:spacing w:line="240" w:lineRule="auto"/>
            </w:pPr>
            <w:r>
              <w:rPr>
                <w:rFonts w:hint="eastAsia"/>
              </w:rPr>
              <w:t>区生态环境分局</w:t>
            </w:r>
          </w:p>
        </w:tc>
      </w:tr>
      <w:tr w14:paraId="0859EC0E">
        <w:tblPrEx>
          <w:tblCellMar>
            <w:top w:w="0" w:type="dxa"/>
            <w:left w:w="108" w:type="dxa"/>
            <w:bottom w:w="0" w:type="dxa"/>
            <w:right w:w="108" w:type="dxa"/>
          </w:tblCellMar>
        </w:tblPrEx>
        <w:trPr>
          <w:trHeight w:val="1134" w:hRule="atLeast"/>
          <w:jc w:val="center"/>
        </w:trPr>
        <w:tc>
          <w:tcPr>
            <w:tcW w:w="282" w:type="pct"/>
            <w:vMerge w:val="continue"/>
            <w:tcBorders>
              <w:top w:val="nil"/>
              <w:left w:val="single" w:color="auto" w:sz="4" w:space="0"/>
              <w:bottom w:val="single" w:color="auto" w:sz="4" w:space="0"/>
              <w:right w:val="single" w:color="auto" w:sz="4" w:space="0"/>
            </w:tcBorders>
            <w:vAlign w:val="center"/>
          </w:tcPr>
          <w:p w14:paraId="78517A7A">
            <w:pPr>
              <w:pStyle w:val="31"/>
              <w:spacing w:line="240" w:lineRule="auto"/>
            </w:pPr>
          </w:p>
        </w:tc>
        <w:tc>
          <w:tcPr>
            <w:tcW w:w="179" w:type="pct"/>
            <w:tcBorders>
              <w:top w:val="nil"/>
              <w:left w:val="nil"/>
              <w:bottom w:val="single" w:color="auto" w:sz="4" w:space="0"/>
              <w:right w:val="single" w:color="auto" w:sz="4" w:space="0"/>
            </w:tcBorders>
            <w:shd w:val="clear" w:color="auto" w:fill="auto"/>
            <w:vAlign w:val="center"/>
          </w:tcPr>
          <w:p w14:paraId="68D48132">
            <w:pPr>
              <w:pStyle w:val="31"/>
              <w:spacing w:line="240" w:lineRule="auto"/>
            </w:pPr>
            <w:r>
              <w:rPr>
                <w:rFonts w:hint="eastAsia"/>
              </w:rPr>
              <w:t>2</w:t>
            </w:r>
          </w:p>
        </w:tc>
        <w:tc>
          <w:tcPr>
            <w:tcW w:w="820" w:type="pct"/>
            <w:tcBorders>
              <w:top w:val="nil"/>
              <w:left w:val="nil"/>
              <w:bottom w:val="single" w:color="auto" w:sz="4" w:space="0"/>
              <w:right w:val="single" w:color="auto" w:sz="4" w:space="0"/>
            </w:tcBorders>
            <w:shd w:val="clear" w:color="auto" w:fill="auto"/>
            <w:vAlign w:val="center"/>
          </w:tcPr>
          <w:p w14:paraId="3B6D4424">
            <w:pPr>
              <w:pStyle w:val="31"/>
              <w:spacing w:line="240" w:lineRule="auto"/>
              <w:jc w:val="left"/>
            </w:pPr>
            <w:r>
              <w:rPr>
                <w:rFonts w:hint="eastAsia"/>
              </w:rPr>
              <w:t>配合市级共同建设一般工业固废收集转运体系</w:t>
            </w:r>
          </w:p>
        </w:tc>
        <w:tc>
          <w:tcPr>
            <w:tcW w:w="2017" w:type="pct"/>
            <w:tcBorders>
              <w:top w:val="nil"/>
              <w:left w:val="nil"/>
              <w:bottom w:val="single" w:color="auto" w:sz="4" w:space="0"/>
              <w:right w:val="single" w:color="auto" w:sz="4" w:space="0"/>
            </w:tcBorders>
            <w:shd w:val="clear" w:color="auto" w:fill="auto"/>
            <w:vAlign w:val="center"/>
          </w:tcPr>
          <w:p w14:paraId="69DBDEE9">
            <w:pPr>
              <w:pStyle w:val="31"/>
              <w:spacing w:line="240" w:lineRule="auto"/>
              <w:jc w:val="left"/>
            </w:pPr>
            <w:r>
              <w:rPr>
                <w:rFonts w:hint="eastAsia"/>
              </w:rPr>
              <w:t>配合市级共同制定一般工业固废收集转运体系建设方案，推动建立精准化源头分类、专业化二次分拣、最大化资源利用、集中化统一处置的“四化”收运体系，全面提升一般工业固废治理水平</w:t>
            </w:r>
          </w:p>
        </w:tc>
        <w:tc>
          <w:tcPr>
            <w:tcW w:w="390" w:type="pct"/>
            <w:tcBorders>
              <w:top w:val="nil"/>
              <w:left w:val="nil"/>
              <w:bottom w:val="single" w:color="auto" w:sz="4" w:space="0"/>
              <w:right w:val="single" w:color="auto" w:sz="4" w:space="0"/>
            </w:tcBorders>
            <w:shd w:val="clear" w:color="auto" w:fill="auto"/>
            <w:vAlign w:val="center"/>
          </w:tcPr>
          <w:p w14:paraId="33037593">
            <w:pPr>
              <w:pStyle w:val="31"/>
              <w:spacing w:line="240" w:lineRule="auto"/>
            </w:pPr>
            <w:r>
              <w:rPr>
                <w:rFonts w:hint="eastAsia"/>
              </w:rPr>
              <w:t>2024年</w:t>
            </w:r>
          </w:p>
        </w:tc>
        <w:tc>
          <w:tcPr>
            <w:tcW w:w="1312" w:type="pct"/>
            <w:tcBorders>
              <w:top w:val="nil"/>
              <w:left w:val="nil"/>
              <w:bottom w:val="single" w:color="auto" w:sz="4" w:space="0"/>
              <w:right w:val="single" w:color="auto" w:sz="4" w:space="0"/>
            </w:tcBorders>
            <w:shd w:val="clear" w:color="auto" w:fill="auto"/>
            <w:vAlign w:val="center"/>
          </w:tcPr>
          <w:p w14:paraId="26C25595">
            <w:pPr>
              <w:pStyle w:val="31"/>
              <w:spacing w:line="240" w:lineRule="auto"/>
            </w:pPr>
            <w:r>
              <w:rPr>
                <w:rFonts w:hint="eastAsia"/>
              </w:rPr>
              <w:t>区生态环境分局</w:t>
            </w:r>
          </w:p>
        </w:tc>
      </w:tr>
      <w:tr w14:paraId="1A9CC37A">
        <w:tblPrEx>
          <w:tblCellMar>
            <w:top w:w="0" w:type="dxa"/>
            <w:left w:w="108" w:type="dxa"/>
            <w:bottom w:w="0" w:type="dxa"/>
            <w:right w:w="108" w:type="dxa"/>
          </w:tblCellMar>
        </w:tblPrEx>
        <w:trPr>
          <w:trHeight w:val="1134" w:hRule="atLeast"/>
          <w:jc w:val="center"/>
        </w:trPr>
        <w:tc>
          <w:tcPr>
            <w:tcW w:w="282" w:type="pct"/>
            <w:vMerge w:val="restart"/>
            <w:tcBorders>
              <w:top w:val="nil"/>
              <w:left w:val="single" w:color="auto" w:sz="4" w:space="0"/>
              <w:bottom w:val="single" w:color="auto" w:sz="4" w:space="0"/>
              <w:right w:val="single" w:color="auto" w:sz="4" w:space="0"/>
            </w:tcBorders>
            <w:shd w:val="clear" w:color="auto" w:fill="auto"/>
            <w:vAlign w:val="center"/>
          </w:tcPr>
          <w:p w14:paraId="74C3D3DE">
            <w:pPr>
              <w:pStyle w:val="31"/>
              <w:spacing w:line="240" w:lineRule="auto"/>
            </w:pPr>
            <w:r>
              <w:rPr>
                <w:rFonts w:hint="eastAsia"/>
              </w:rPr>
              <w:t>建筑垃圾</w:t>
            </w:r>
          </w:p>
        </w:tc>
        <w:tc>
          <w:tcPr>
            <w:tcW w:w="179" w:type="pct"/>
            <w:tcBorders>
              <w:top w:val="nil"/>
              <w:left w:val="nil"/>
              <w:bottom w:val="single" w:color="auto" w:sz="4" w:space="0"/>
              <w:right w:val="single" w:color="auto" w:sz="4" w:space="0"/>
            </w:tcBorders>
            <w:shd w:val="clear" w:color="auto" w:fill="auto"/>
            <w:vAlign w:val="center"/>
          </w:tcPr>
          <w:p w14:paraId="17A3DED1">
            <w:pPr>
              <w:pStyle w:val="31"/>
              <w:spacing w:line="240" w:lineRule="auto"/>
            </w:pPr>
            <w:r>
              <w:t>3</w:t>
            </w:r>
          </w:p>
        </w:tc>
        <w:tc>
          <w:tcPr>
            <w:tcW w:w="820" w:type="pct"/>
            <w:tcBorders>
              <w:top w:val="nil"/>
              <w:left w:val="nil"/>
              <w:bottom w:val="single" w:color="auto" w:sz="4" w:space="0"/>
              <w:right w:val="single" w:color="auto" w:sz="4" w:space="0"/>
            </w:tcBorders>
            <w:shd w:val="clear" w:color="auto" w:fill="auto"/>
            <w:vAlign w:val="center"/>
          </w:tcPr>
          <w:p w14:paraId="04A7B273">
            <w:pPr>
              <w:pStyle w:val="31"/>
              <w:spacing w:line="240" w:lineRule="auto"/>
              <w:jc w:val="left"/>
            </w:pPr>
            <w:r>
              <w:rPr>
                <w:rFonts w:hint="eastAsia"/>
              </w:rPr>
              <w:t>培育装配式建筑龙头企业</w:t>
            </w:r>
          </w:p>
        </w:tc>
        <w:tc>
          <w:tcPr>
            <w:tcW w:w="2017" w:type="pct"/>
            <w:tcBorders>
              <w:top w:val="nil"/>
              <w:left w:val="nil"/>
              <w:bottom w:val="single" w:color="auto" w:sz="4" w:space="0"/>
              <w:right w:val="single" w:color="auto" w:sz="4" w:space="0"/>
            </w:tcBorders>
            <w:shd w:val="clear" w:color="auto" w:fill="auto"/>
            <w:vAlign w:val="center"/>
          </w:tcPr>
          <w:p w14:paraId="307593EF">
            <w:pPr>
              <w:pStyle w:val="31"/>
              <w:spacing w:line="240" w:lineRule="auto"/>
              <w:jc w:val="left"/>
            </w:pPr>
            <w:r>
              <w:rPr>
                <w:rFonts w:hint="eastAsia"/>
              </w:rPr>
              <w:t>加强装配式建筑上下游产业协同合作，培育一批具有较强研发能力、较大规模和综合优势强的装配式建筑龙头企业</w:t>
            </w:r>
          </w:p>
        </w:tc>
        <w:tc>
          <w:tcPr>
            <w:tcW w:w="390" w:type="pct"/>
            <w:tcBorders>
              <w:top w:val="nil"/>
              <w:left w:val="nil"/>
              <w:bottom w:val="single" w:color="auto" w:sz="4" w:space="0"/>
              <w:right w:val="single" w:color="auto" w:sz="4" w:space="0"/>
            </w:tcBorders>
            <w:shd w:val="clear" w:color="auto" w:fill="auto"/>
            <w:vAlign w:val="center"/>
          </w:tcPr>
          <w:p w14:paraId="29B90D78">
            <w:pPr>
              <w:pStyle w:val="31"/>
              <w:spacing w:line="240" w:lineRule="auto"/>
            </w:pPr>
            <w:r>
              <w:rPr>
                <w:rFonts w:hint="eastAsia"/>
              </w:rPr>
              <w:t>长期</w:t>
            </w:r>
          </w:p>
        </w:tc>
        <w:tc>
          <w:tcPr>
            <w:tcW w:w="1312" w:type="pct"/>
            <w:tcBorders>
              <w:top w:val="nil"/>
              <w:left w:val="nil"/>
              <w:bottom w:val="single" w:color="auto" w:sz="4" w:space="0"/>
              <w:right w:val="single" w:color="auto" w:sz="4" w:space="0"/>
            </w:tcBorders>
            <w:shd w:val="clear" w:color="auto" w:fill="auto"/>
            <w:vAlign w:val="center"/>
          </w:tcPr>
          <w:p w14:paraId="3B467FAC">
            <w:pPr>
              <w:pStyle w:val="31"/>
              <w:spacing w:line="240" w:lineRule="auto"/>
            </w:pPr>
            <w:r>
              <w:rPr>
                <w:rFonts w:hint="eastAsia"/>
              </w:rPr>
              <w:t>区住房和城乡建设局</w:t>
            </w:r>
          </w:p>
        </w:tc>
      </w:tr>
      <w:tr w14:paraId="73B22A0F">
        <w:tblPrEx>
          <w:tblCellMar>
            <w:top w:w="0" w:type="dxa"/>
            <w:left w:w="108" w:type="dxa"/>
            <w:bottom w:w="0" w:type="dxa"/>
            <w:right w:w="108" w:type="dxa"/>
          </w:tblCellMar>
        </w:tblPrEx>
        <w:trPr>
          <w:trHeight w:val="1134" w:hRule="atLeast"/>
          <w:jc w:val="center"/>
        </w:trPr>
        <w:tc>
          <w:tcPr>
            <w:tcW w:w="282" w:type="pct"/>
            <w:vMerge w:val="continue"/>
            <w:tcBorders>
              <w:top w:val="nil"/>
              <w:left w:val="single" w:color="auto" w:sz="4" w:space="0"/>
              <w:bottom w:val="single" w:color="auto" w:sz="4" w:space="0"/>
              <w:right w:val="single" w:color="auto" w:sz="4" w:space="0"/>
            </w:tcBorders>
            <w:vAlign w:val="center"/>
          </w:tcPr>
          <w:p w14:paraId="0B03D892">
            <w:pPr>
              <w:pStyle w:val="31"/>
              <w:spacing w:line="240" w:lineRule="auto"/>
            </w:pPr>
          </w:p>
        </w:tc>
        <w:tc>
          <w:tcPr>
            <w:tcW w:w="179" w:type="pct"/>
            <w:tcBorders>
              <w:top w:val="nil"/>
              <w:left w:val="nil"/>
              <w:bottom w:val="single" w:color="auto" w:sz="4" w:space="0"/>
              <w:right w:val="single" w:color="auto" w:sz="4" w:space="0"/>
            </w:tcBorders>
            <w:shd w:val="clear" w:color="auto" w:fill="auto"/>
            <w:vAlign w:val="center"/>
          </w:tcPr>
          <w:p w14:paraId="2D9803D3">
            <w:pPr>
              <w:pStyle w:val="31"/>
              <w:spacing w:line="240" w:lineRule="auto"/>
            </w:pPr>
            <w:r>
              <w:t>4</w:t>
            </w:r>
          </w:p>
        </w:tc>
        <w:tc>
          <w:tcPr>
            <w:tcW w:w="820" w:type="pct"/>
            <w:tcBorders>
              <w:top w:val="nil"/>
              <w:left w:val="nil"/>
              <w:bottom w:val="single" w:color="auto" w:sz="4" w:space="0"/>
              <w:right w:val="single" w:color="auto" w:sz="4" w:space="0"/>
            </w:tcBorders>
            <w:shd w:val="clear" w:color="auto" w:fill="auto"/>
            <w:vAlign w:val="center"/>
          </w:tcPr>
          <w:p w14:paraId="3BD784A1">
            <w:pPr>
              <w:pStyle w:val="31"/>
              <w:spacing w:line="240" w:lineRule="auto"/>
              <w:jc w:val="left"/>
            </w:pPr>
            <w:r>
              <w:rPr>
                <w:rFonts w:hint="eastAsia"/>
              </w:rPr>
              <w:t>发展装配式建筑产业链</w:t>
            </w:r>
          </w:p>
        </w:tc>
        <w:tc>
          <w:tcPr>
            <w:tcW w:w="2017" w:type="pct"/>
            <w:tcBorders>
              <w:top w:val="nil"/>
              <w:left w:val="nil"/>
              <w:bottom w:val="single" w:color="auto" w:sz="4" w:space="0"/>
              <w:right w:val="single" w:color="auto" w:sz="4" w:space="0"/>
            </w:tcBorders>
            <w:shd w:val="clear" w:color="auto" w:fill="auto"/>
            <w:vAlign w:val="center"/>
          </w:tcPr>
          <w:p w14:paraId="5607D932">
            <w:pPr>
              <w:pStyle w:val="31"/>
              <w:spacing w:line="240" w:lineRule="auto"/>
              <w:jc w:val="left"/>
            </w:pPr>
            <w:r>
              <w:rPr>
                <w:rFonts w:hint="eastAsia"/>
              </w:rPr>
              <w:t>发展装配式建筑研发、设计、运输和装配的产业链</w:t>
            </w:r>
          </w:p>
        </w:tc>
        <w:tc>
          <w:tcPr>
            <w:tcW w:w="390" w:type="pct"/>
            <w:tcBorders>
              <w:top w:val="nil"/>
              <w:left w:val="nil"/>
              <w:bottom w:val="single" w:color="auto" w:sz="4" w:space="0"/>
              <w:right w:val="single" w:color="auto" w:sz="4" w:space="0"/>
            </w:tcBorders>
            <w:shd w:val="clear" w:color="auto" w:fill="auto"/>
            <w:vAlign w:val="center"/>
          </w:tcPr>
          <w:p w14:paraId="062442A9">
            <w:pPr>
              <w:pStyle w:val="31"/>
              <w:spacing w:line="240" w:lineRule="auto"/>
            </w:pPr>
            <w:r>
              <w:rPr>
                <w:rFonts w:hint="eastAsia"/>
              </w:rPr>
              <w:t>长期</w:t>
            </w:r>
          </w:p>
        </w:tc>
        <w:tc>
          <w:tcPr>
            <w:tcW w:w="1312" w:type="pct"/>
            <w:tcBorders>
              <w:top w:val="nil"/>
              <w:left w:val="nil"/>
              <w:bottom w:val="single" w:color="auto" w:sz="4" w:space="0"/>
              <w:right w:val="single" w:color="auto" w:sz="4" w:space="0"/>
            </w:tcBorders>
            <w:shd w:val="clear" w:color="auto" w:fill="auto"/>
            <w:vAlign w:val="center"/>
          </w:tcPr>
          <w:p w14:paraId="381E0BA9">
            <w:pPr>
              <w:pStyle w:val="31"/>
              <w:spacing w:line="240" w:lineRule="auto"/>
            </w:pPr>
            <w:r>
              <w:rPr>
                <w:rFonts w:hint="eastAsia"/>
              </w:rPr>
              <w:t>区住房和城乡建设局</w:t>
            </w:r>
          </w:p>
        </w:tc>
      </w:tr>
      <w:tr w14:paraId="54D3FE8A">
        <w:tblPrEx>
          <w:tblCellMar>
            <w:top w:w="0" w:type="dxa"/>
            <w:left w:w="108" w:type="dxa"/>
            <w:bottom w:w="0" w:type="dxa"/>
            <w:right w:w="108" w:type="dxa"/>
          </w:tblCellMar>
        </w:tblPrEx>
        <w:trPr>
          <w:trHeight w:val="1134" w:hRule="atLeast"/>
          <w:jc w:val="center"/>
        </w:trPr>
        <w:tc>
          <w:tcPr>
            <w:tcW w:w="282" w:type="pct"/>
            <w:tcBorders>
              <w:top w:val="nil"/>
              <w:left w:val="single" w:color="auto" w:sz="4" w:space="0"/>
              <w:bottom w:val="single" w:color="auto" w:sz="4" w:space="0"/>
              <w:right w:val="single" w:color="auto" w:sz="4" w:space="0"/>
            </w:tcBorders>
            <w:shd w:val="clear" w:color="auto" w:fill="auto"/>
            <w:vAlign w:val="center"/>
          </w:tcPr>
          <w:p w14:paraId="15046F39">
            <w:pPr>
              <w:pStyle w:val="31"/>
              <w:spacing w:line="240" w:lineRule="auto"/>
            </w:pPr>
            <w:r>
              <w:rPr>
                <w:rFonts w:hint="eastAsia"/>
              </w:rPr>
              <w:t>危险废物</w:t>
            </w:r>
          </w:p>
        </w:tc>
        <w:tc>
          <w:tcPr>
            <w:tcW w:w="179" w:type="pct"/>
            <w:tcBorders>
              <w:top w:val="nil"/>
              <w:left w:val="nil"/>
              <w:bottom w:val="single" w:color="auto" w:sz="4" w:space="0"/>
              <w:right w:val="single" w:color="auto" w:sz="4" w:space="0"/>
            </w:tcBorders>
            <w:shd w:val="clear" w:color="auto" w:fill="auto"/>
            <w:vAlign w:val="center"/>
          </w:tcPr>
          <w:p w14:paraId="662B953A">
            <w:pPr>
              <w:pStyle w:val="31"/>
              <w:spacing w:line="240" w:lineRule="auto"/>
            </w:pPr>
            <w:r>
              <w:t>5</w:t>
            </w:r>
          </w:p>
        </w:tc>
        <w:tc>
          <w:tcPr>
            <w:tcW w:w="820" w:type="pct"/>
            <w:tcBorders>
              <w:top w:val="nil"/>
              <w:left w:val="nil"/>
              <w:bottom w:val="single" w:color="auto" w:sz="4" w:space="0"/>
              <w:right w:val="single" w:color="auto" w:sz="4" w:space="0"/>
            </w:tcBorders>
            <w:shd w:val="clear" w:color="auto" w:fill="auto"/>
            <w:vAlign w:val="center"/>
          </w:tcPr>
          <w:p w14:paraId="3108C2C4">
            <w:pPr>
              <w:pStyle w:val="31"/>
              <w:spacing w:line="240" w:lineRule="auto"/>
              <w:jc w:val="left"/>
            </w:pPr>
            <w:r>
              <w:rPr>
                <w:rFonts w:hint="eastAsia"/>
              </w:rPr>
              <w:t>医疗废物收集转运体系建设</w:t>
            </w:r>
          </w:p>
        </w:tc>
        <w:tc>
          <w:tcPr>
            <w:tcW w:w="2017" w:type="pct"/>
            <w:tcBorders>
              <w:top w:val="nil"/>
              <w:left w:val="nil"/>
              <w:bottom w:val="single" w:color="auto" w:sz="4" w:space="0"/>
              <w:right w:val="single" w:color="auto" w:sz="4" w:space="0"/>
            </w:tcBorders>
            <w:shd w:val="clear" w:color="auto" w:fill="auto"/>
            <w:vAlign w:val="center"/>
          </w:tcPr>
          <w:p w14:paraId="382493DF">
            <w:pPr>
              <w:pStyle w:val="31"/>
              <w:spacing w:line="240" w:lineRule="auto"/>
              <w:jc w:val="left"/>
            </w:pPr>
            <w:r>
              <w:rPr>
                <w:rFonts w:hint="eastAsia"/>
              </w:rPr>
              <w:t>规范集中处置单位对医疗卫生机构的医疗垃圾分类收集、交接、转运及处置登记行为</w:t>
            </w:r>
          </w:p>
        </w:tc>
        <w:tc>
          <w:tcPr>
            <w:tcW w:w="390" w:type="pct"/>
            <w:tcBorders>
              <w:top w:val="nil"/>
              <w:left w:val="nil"/>
              <w:bottom w:val="single" w:color="auto" w:sz="4" w:space="0"/>
              <w:right w:val="single" w:color="auto" w:sz="4" w:space="0"/>
            </w:tcBorders>
            <w:shd w:val="clear" w:color="auto" w:fill="auto"/>
            <w:vAlign w:val="center"/>
          </w:tcPr>
          <w:p w14:paraId="6E49B477">
            <w:pPr>
              <w:pStyle w:val="31"/>
              <w:spacing w:line="240" w:lineRule="auto"/>
            </w:pPr>
            <w:r>
              <w:rPr>
                <w:rFonts w:hint="eastAsia"/>
              </w:rPr>
              <w:t>长期</w:t>
            </w:r>
          </w:p>
        </w:tc>
        <w:tc>
          <w:tcPr>
            <w:tcW w:w="1312" w:type="pct"/>
            <w:tcBorders>
              <w:top w:val="nil"/>
              <w:left w:val="nil"/>
              <w:bottom w:val="single" w:color="auto" w:sz="4" w:space="0"/>
              <w:right w:val="single" w:color="auto" w:sz="4" w:space="0"/>
            </w:tcBorders>
            <w:shd w:val="clear" w:color="auto" w:fill="auto"/>
            <w:vAlign w:val="center"/>
          </w:tcPr>
          <w:p w14:paraId="1C9D2CFF">
            <w:pPr>
              <w:pStyle w:val="31"/>
              <w:spacing w:line="240" w:lineRule="auto"/>
            </w:pPr>
            <w:r>
              <w:rPr>
                <w:rFonts w:hint="eastAsia"/>
              </w:rPr>
              <w:t>区卫生健康委员会、区生态环境分局</w:t>
            </w:r>
          </w:p>
        </w:tc>
      </w:tr>
      <w:tr w14:paraId="4BB211F4">
        <w:tblPrEx>
          <w:tblCellMar>
            <w:top w:w="0" w:type="dxa"/>
            <w:left w:w="108" w:type="dxa"/>
            <w:bottom w:w="0" w:type="dxa"/>
            <w:right w:w="108" w:type="dxa"/>
          </w:tblCellMar>
        </w:tblPrEx>
        <w:trPr>
          <w:trHeight w:val="1134" w:hRule="atLeast"/>
          <w:jc w:val="center"/>
        </w:trPr>
        <w:tc>
          <w:tcPr>
            <w:tcW w:w="282" w:type="pct"/>
            <w:vMerge w:val="restart"/>
            <w:tcBorders>
              <w:top w:val="nil"/>
              <w:left w:val="single" w:color="auto" w:sz="4" w:space="0"/>
              <w:bottom w:val="single" w:color="auto" w:sz="4" w:space="0"/>
              <w:right w:val="single" w:color="auto" w:sz="4" w:space="0"/>
            </w:tcBorders>
            <w:shd w:val="clear" w:color="auto" w:fill="auto"/>
            <w:vAlign w:val="center"/>
          </w:tcPr>
          <w:p w14:paraId="1ADB76A1">
            <w:pPr>
              <w:pStyle w:val="31"/>
              <w:spacing w:line="240" w:lineRule="auto"/>
            </w:pPr>
            <w:r>
              <w:rPr>
                <w:rFonts w:hint="eastAsia"/>
              </w:rPr>
              <w:t>保障体系</w:t>
            </w:r>
          </w:p>
        </w:tc>
        <w:tc>
          <w:tcPr>
            <w:tcW w:w="179" w:type="pct"/>
            <w:tcBorders>
              <w:top w:val="nil"/>
              <w:left w:val="nil"/>
              <w:bottom w:val="single" w:color="auto" w:sz="4" w:space="0"/>
              <w:right w:val="single" w:color="auto" w:sz="4" w:space="0"/>
            </w:tcBorders>
            <w:shd w:val="clear" w:color="auto" w:fill="auto"/>
            <w:vAlign w:val="center"/>
          </w:tcPr>
          <w:p w14:paraId="7062B5DC">
            <w:pPr>
              <w:pStyle w:val="31"/>
              <w:spacing w:line="240" w:lineRule="auto"/>
            </w:pPr>
            <w:r>
              <w:t>6</w:t>
            </w:r>
          </w:p>
        </w:tc>
        <w:tc>
          <w:tcPr>
            <w:tcW w:w="820" w:type="pct"/>
            <w:tcBorders>
              <w:top w:val="nil"/>
              <w:left w:val="nil"/>
              <w:bottom w:val="single" w:color="auto" w:sz="4" w:space="0"/>
              <w:right w:val="single" w:color="auto" w:sz="4" w:space="0"/>
            </w:tcBorders>
            <w:shd w:val="clear" w:color="auto" w:fill="auto"/>
            <w:vAlign w:val="center"/>
          </w:tcPr>
          <w:p w14:paraId="15E79BAE">
            <w:pPr>
              <w:pStyle w:val="31"/>
              <w:spacing w:line="240" w:lineRule="auto"/>
              <w:jc w:val="left"/>
            </w:pPr>
            <w:r>
              <w:rPr>
                <w:rFonts w:hint="eastAsia"/>
              </w:rPr>
              <w:t>节能环保产业培育工程</w:t>
            </w:r>
          </w:p>
        </w:tc>
        <w:tc>
          <w:tcPr>
            <w:tcW w:w="2017" w:type="pct"/>
            <w:tcBorders>
              <w:top w:val="nil"/>
              <w:left w:val="nil"/>
              <w:bottom w:val="single" w:color="auto" w:sz="4" w:space="0"/>
              <w:right w:val="single" w:color="auto" w:sz="4" w:space="0"/>
            </w:tcBorders>
            <w:shd w:val="clear" w:color="auto" w:fill="auto"/>
            <w:vAlign w:val="center"/>
          </w:tcPr>
          <w:p w14:paraId="714C2545">
            <w:pPr>
              <w:pStyle w:val="31"/>
              <w:spacing w:line="240" w:lineRule="auto"/>
              <w:jc w:val="left"/>
            </w:pPr>
            <w:r>
              <w:rPr>
                <w:rFonts w:hint="eastAsia"/>
              </w:rPr>
              <w:t>配合市级政策，支持节能环保产业高质量发展</w:t>
            </w:r>
          </w:p>
        </w:tc>
        <w:tc>
          <w:tcPr>
            <w:tcW w:w="390" w:type="pct"/>
            <w:tcBorders>
              <w:top w:val="nil"/>
              <w:left w:val="nil"/>
              <w:bottom w:val="single" w:color="auto" w:sz="4" w:space="0"/>
              <w:right w:val="single" w:color="auto" w:sz="4" w:space="0"/>
            </w:tcBorders>
            <w:shd w:val="clear" w:color="auto" w:fill="auto"/>
            <w:vAlign w:val="center"/>
          </w:tcPr>
          <w:p w14:paraId="113EB7B6">
            <w:pPr>
              <w:pStyle w:val="31"/>
              <w:spacing w:line="240" w:lineRule="auto"/>
            </w:pPr>
            <w:r>
              <w:t>2025</w:t>
            </w:r>
            <w:r>
              <w:rPr>
                <w:rFonts w:hint="eastAsia"/>
              </w:rPr>
              <w:t>年</w:t>
            </w:r>
          </w:p>
        </w:tc>
        <w:tc>
          <w:tcPr>
            <w:tcW w:w="1312" w:type="pct"/>
            <w:tcBorders>
              <w:top w:val="nil"/>
              <w:left w:val="nil"/>
              <w:bottom w:val="single" w:color="auto" w:sz="4" w:space="0"/>
              <w:right w:val="single" w:color="auto" w:sz="4" w:space="0"/>
            </w:tcBorders>
            <w:shd w:val="clear" w:color="auto" w:fill="auto"/>
            <w:vAlign w:val="center"/>
          </w:tcPr>
          <w:p w14:paraId="2E1A8D78">
            <w:pPr>
              <w:pStyle w:val="31"/>
              <w:spacing w:line="240" w:lineRule="auto"/>
            </w:pPr>
            <w:r>
              <w:rPr>
                <w:rFonts w:hint="eastAsia"/>
              </w:rPr>
              <w:t>区生态环境分局、区财政局、区经济和信息化局</w:t>
            </w:r>
          </w:p>
        </w:tc>
      </w:tr>
      <w:tr w14:paraId="76A5BD01">
        <w:tblPrEx>
          <w:tblCellMar>
            <w:top w:w="0" w:type="dxa"/>
            <w:left w:w="108" w:type="dxa"/>
            <w:bottom w:w="0" w:type="dxa"/>
            <w:right w:w="108" w:type="dxa"/>
          </w:tblCellMar>
        </w:tblPrEx>
        <w:trPr>
          <w:trHeight w:val="1134" w:hRule="atLeast"/>
          <w:jc w:val="center"/>
        </w:trPr>
        <w:tc>
          <w:tcPr>
            <w:tcW w:w="282" w:type="pct"/>
            <w:vMerge w:val="continue"/>
            <w:tcBorders>
              <w:top w:val="nil"/>
              <w:left w:val="single" w:color="auto" w:sz="4" w:space="0"/>
              <w:bottom w:val="single" w:color="auto" w:sz="4" w:space="0"/>
              <w:right w:val="single" w:color="auto" w:sz="4" w:space="0"/>
            </w:tcBorders>
            <w:vAlign w:val="center"/>
          </w:tcPr>
          <w:p w14:paraId="33D8B0BB">
            <w:pPr>
              <w:pStyle w:val="31"/>
              <w:spacing w:line="240" w:lineRule="auto"/>
            </w:pPr>
          </w:p>
        </w:tc>
        <w:tc>
          <w:tcPr>
            <w:tcW w:w="179" w:type="pct"/>
            <w:tcBorders>
              <w:top w:val="nil"/>
              <w:left w:val="nil"/>
              <w:bottom w:val="single" w:color="auto" w:sz="4" w:space="0"/>
              <w:right w:val="single" w:color="auto" w:sz="4" w:space="0"/>
            </w:tcBorders>
            <w:shd w:val="clear" w:color="auto" w:fill="auto"/>
            <w:vAlign w:val="center"/>
          </w:tcPr>
          <w:p w14:paraId="1B00D339">
            <w:pPr>
              <w:pStyle w:val="31"/>
              <w:spacing w:line="240" w:lineRule="auto"/>
            </w:pPr>
            <w:r>
              <w:t>7</w:t>
            </w:r>
          </w:p>
        </w:tc>
        <w:tc>
          <w:tcPr>
            <w:tcW w:w="820" w:type="pct"/>
            <w:tcBorders>
              <w:top w:val="nil"/>
              <w:left w:val="nil"/>
              <w:bottom w:val="single" w:color="auto" w:sz="4" w:space="0"/>
              <w:right w:val="single" w:color="auto" w:sz="4" w:space="0"/>
            </w:tcBorders>
            <w:shd w:val="clear" w:color="auto" w:fill="auto"/>
            <w:vAlign w:val="center"/>
          </w:tcPr>
          <w:p w14:paraId="09B3EAA8">
            <w:pPr>
              <w:pStyle w:val="31"/>
              <w:spacing w:line="240" w:lineRule="auto"/>
              <w:jc w:val="left"/>
            </w:pPr>
            <w:r>
              <w:rPr>
                <w:rFonts w:hint="eastAsia"/>
              </w:rPr>
              <w:t>推动绿色采购</w:t>
            </w:r>
          </w:p>
        </w:tc>
        <w:tc>
          <w:tcPr>
            <w:tcW w:w="2017" w:type="pct"/>
            <w:tcBorders>
              <w:top w:val="nil"/>
              <w:left w:val="nil"/>
              <w:bottom w:val="single" w:color="auto" w:sz="4" w:space="0"/>
              <w:right w:val="single" w:color="auto" w:sz="4" w:space="0"/>
            </w:tcBorders>
            <w:shd w:val="clear" w:color="auto" w:fill="auto"/>
            <w:vAlign w:val="center"/>
          </w:tcPr>
          <w:p w14:paraId="563DE44E">
            <w:pPr>
              <w:pStyle w:val="31"/>
              <w:spacing w:line="240" w:lineRule="auto"/>
              <w:jc w:val="left"/>
            </w:pPr>
            <w:r>
              <w:rPr>
                <w:rFonts w:hint="eastAsia"/>
              </w:rPr>
              <w:t>发挥政府机关、事业单位的引领作用，优先采购符合行业标准的可降解塑料制品、节能产品等绿色产品，将绿色采购纳入项目支出绩效评价管理</w:t>
            </w:r>
          </w:p>
        </w:tc>
        <w:tc>
          <w:tcPr>
            <w:tcW w:w="390" w:type="pct"/>
            <w:tcBorders>
              <w:top w:val="nil"/>
              <w:left w:val="nil"/>
              <w:bottom w:val="single" w:color="auto" w:sz="4" w:space="0"/>
              <w:right w:val="single" w:color="auto" w:sz="4" w:space="0"/>
            </w:tcBorders>
            <w:shd w:val="clear" w:color="auto" w:fill="auto"/>
            <w:vAlign w:val="center"/>
          </w:tcPr>
          <w:p w14:paraId="1F6C63CC">
            <w:pPr>
              <w:pStyle w:val="31"/>
              <w:spacing w:line="240" w:lineRule="auto"/>
            </w:pPr>
            <w:r>
              <w:rPr>
                <w:rFonts w:hint="eastAsia"/>
              </w:rPr>
              <w:t>长期</w:t>
            </w:r>
          </w:p>
        </w:tc>
        <w:tc>
          <w:tcPr>
            <w:tcW w:w="1312" w:type="pct"/>
            <w:tcBorders>
              <w:top w:val="nil"/>
              <w:left w:val="nil"/>
              <w:bottom w:val="single" w:color="auto" w:sz="4" w:space="0"/>
              <w:right w:val="single" w:color="auto" w:sz="4" w:space="0"/>
            </w:tcBorders>
            <w:shd w:val="clear" w:color="auto" w:fill="auto"/>
            <w:vAlign w:val="center"/>
          </w:tcPr>
          <w:p w14:paraId="1C3D4C53">
            <w:pPr>
              <w:pStyle w:val="31"/>
              <w:spacing w:line="240" w:lineRule="auto"/>
            </w:pPr>
            <w:r>
              <w:rPr>
                <w:rFonts w:hint="eastAsia"/>
              </w:rPr>
              <w:t>区财政局、区市场监督管理局等</w:t>
            </w:r>
          </w:p>
        </w:tc>
      </w:tr>
      <w:tr w14:paraId="5E7BA67B">
        <w:tblPrEx>
          <w:tblCellMar>
            <w:top w:w="0" w:type="dxa"/>
            <w:left w:w="108" w:type="dxa"/>
            <w:bottom w:w="0" w:type="dxa"/>
            <w:right w:w="108" w:type="dxa"/>
          </w:tblCellMar>
        </w:tblPrEx>
        <w:trPr>
          <w:trHeight w:val="1134" w:hRule="atLeast"/>
          <w:jc w:val="center"/>
        </w:trPr>
        <w:tc>
          <w:tcPr>
            <w:tcW w:w="282" w:type="pct"/>
            <w:vMerge w:val="continue"/>
            <w:tcBorders>
              <w:top w:val="nil"/>
              <w:left w:val="single" w:color="auto" w:sz="4" w:space="0"/>
              <w:bottom w:val="single" w:color="auto" w:sz="4" w:space="0"/>
              <w:right w:val="single" w:color="auto" w:sz="4" w:space="0"/>
            </w:tcBorders>
            <w:vAlign w:val="center"/>
          </w:tcPr>
          <w:p w14:paraId="49B0F65B">
            <w:pPr>
              <w:pStyle w:val="31"/>
              <w:spacing w:line="240" w:lineRule="auto"/>
            </w:pPr>
          </w:p>
        </w:tc>
        <w:tc>
          <w:tcPr>
            <w:tcW w:w="179" w:type="pct"/>
            <w:tcBorders>
              <w:top w:val="nil"/>
              <w:left w:val="nil"/>
              <w:bottom w:val="single" w:color="auto" w:sz="4" w:space="0"/>
              <w:right w:val="single" w:color="auto" w:sz="4" w:space="0"/>
            </w:tcBorders>
            <w:shd w:val="clear" w:color="auto" w:fill="auto"/>
            <w:vAlign w:val="center"/>
          </w:tcPr>
          <w:p w14:paraId="24E7D4AE">
            <w:pPr>
              <w:pStyle w:val="31"/>
              <w:spacing w:line="240" w:lineRule="auto"/>
            </w:pPr>
            <w:r>
              <w:t>8</w:t>
            </w:r>
          </w:p>
        </w:tc>
        <w:tc>
          <w:tcPr>
            <w:tcW w:w="820" w:type="pct"/>
            <w:tcBorders>
              <w:top w:val="nil"/>
              <w:left w:val="nil"/>
              <w:bottom w:val="single" w:color="auto" w:sz="4" w:space="0"/>
              <w:right w:val="single" w:color="auto" w:sz="4" w:space="0"/>
            </w:tcBorders>
            <w:shd w:val="clear" w:color="auto" w:fill="auto"/>
            <w:vAlign w:val="center"/>
          </w:tcPr>
          <w:p w14:paraId="6CD6E5F5">
            <w:pPr>
              <w:pStyle w:val="31"/>
              <w:spacing w:line="240" w:lineRule="auto"/>
              <w:jc w:val="left"/>
            </w:pPr>
            <w:r>
              <w:rPr>
                <w:rFonts w:hint="eastAsia"/>
              </w:rPr>
              <w:t>配合市级共同健全信用评价、税收等制度激励</w:t>
            </w:r>
          </w:p>
        </w:tc>
        <w:tc>
          <w:tcPr>
            <w:tcW w:w="2017" w:type="pct"/>
            <w:tcBorders>
              <w:top w:val="nil"/>
              <w:left w:val="nil"/>
              <w:bottom w:val="single" w:color="auto" w:sz="4" w:space="0"/>
              <w:right w:val="single" w:color="auto" w:sz="4" w:space="0"/>
            </w:tcBorders>
            <w:shd w:val="clear" w:color="auto" w:fill="auto"/>
            <w:vAlign w:val="center"/>
          </w:tcPr>
          <w:p w14:paraId="0B40E48A">
            <w:pPr>
              <w:pStyle w:val="31"/>
              <w:spacing w:line="240" w:lineRule="auto"/>
              <w:jc w:val="left"/>
            </w:pPr>
            <w:r>
              <w:rPr>
                <w:rFonts w:hint="eastAsia"/>
              </w:rPr>
              <w:t>配合市级共同健全企业环境信用评价，强化企业责任。依据企业信用评价排名，实现差别化管理服务，进一步激发市场主体活力。落实好现有资源综合利用增值税等税收优惠政策，支持引导企业做大做强</w:t>
            </w:r>
          </w:p>
        </w:tc>
        <w:tc>
          <w:tcPr>
            <w:tcW w:w="390" w:type="pct"/>
            <w:tcBorders>
              <w:top w:val="nil"/>
              <w:left w:val="nil"/>
              <w:bottom w:val="single" w:color="auto" w:sz="4" w:space="0"/>
              <w:right w:val="single" w:color="auto" w:sz="4" w:space="0"/>
            </w:tcBorders>
            <w:shd w:val="clear" w:color="auto" w:fill="auto"/>
            <w:vAlign w:val="center"/>
          </w:tcPr>
          <w:p w14:paraId="538C3169">
            <w:pPr>
              <w:pStyle w:val="31"/>
              <w:spacing w:line="240" w:lineRule="auto"/>
            </w:pPr>
            <w:r>
              <w:rPr>
                <w:rFonts w:hint="eastAsia"/>
              </w:rPr>
              <w:t>长期</w:t>
            </w:r>
          </w:p>
        </w:tc>
        <w:tc>
          <w:tcPr>
            <w:tcW w:w="1312" w:type="pct"/>
            <w:tcBorders>
              <w:top w:val="nil"/>
              <w:left w:val="nil"/>
              <w:bottom w:val="single" w:color="auto" w:sz="4" w:space="0"/>
              <w:right w:val="single" w:color="auto" w:sz="4" w:space="0"/>
            </w:tcBorders>
            <w:shd w:val="clear" w:color="auto" w:fill="auto"/>
            <w:vAlign w:val="center"/>
          </w:tcPr>
          <w:p w14:paraId="44507A96">
            <w:pPr>
              <w:pStyle w:val="31"/>
              <w:spacing w:line="240" w:lineRule="auto"/>
            </w:pPr>
            <w:r>
              <w:rPr>
                <w:rFonts w:hint="eastAsia"/>
              </w:rPr>
              <w:t>区生态环境分局、区税务局等</w:t>
            </w:r>
          </w:p>
        </w:tc>
      </w:tr>
    </w:tbl>
    <w:p w14:paraId="03E09332">
      <w:pPr>
        <w:ind w:firstLine="640" w:firstLineChars="200"/>
        <w:rPr>
          <w:rFonts w:ascii="黑体" w:hAnsi="黑体" w:eastAsia="黑体"/>
          <w:sz w:val="32"/>
          <w:szCs w:val="32"/>
        </w:rPr>
      </w:pPr>
      <w:r>
        <w:rPr>
          <w:rFonts w:ascii="黑体" w:hAnsi="黑体" w:eastAsia="黑体"/>
          <w:sz w:val="32"/>
          <w:szCs w:val="32"/>
        </w:rPr>
        <w:br w:type="page"/>
      </w:r>
    </w:p>
    <w:p w14:paraId="5B13C918">
      <w:pPr>
        <w:ind w:firstLine="640" w:firstLineChars="200"/>
        <w:rPr>
          <w:rFonts w:ascii="Times New Roman" w:hAnsi="Times New Roman" w:eastAsia="黑体"/>
          <w:b/>
          <w:bCs/>
          <w:sz w:val="36"/>
          <w:szCs w:val="36"/>
        </w:rPr>
      </w:pPr>
      <w:r>
        <w:rPr>
          <w:rFonts w:hint="eastAsia" w:ascii="黑体" w:hAnsi="黑体" w:eastAsia="黑体"/>
          <w:sz w:val="32"/>
          <w:szCs w:val="32"/>
        </w:rPr>
        <w:t>附件</w:t>
      </w:r>
      <w:r>
        <w:rPr>
          <w:rFonts w:ascii="黑体" w:hAnsi="黑体" w:eastAsia="黑体"/>
          <w:sz w:val="32"/>
          <w:szCs w:val="32"/>
        </w:rPr>
        <w:t>4</w:t>
      </w:r>
    </w:p>
    <w:p w14:paraId="08DD8D2A">
      <w:pPr>
        <w:pStyle w:val="27"/>
      </w:pPr>
      <w:bookmarkStart w:id="56" w:name="_Toc155617327"/>
      <w:r>
        <w:rPr>
          <w:rFonts w:hint="eastAsia"/>
        </w:rPr>
        <w:t>“无废城市”监管体系建设任务清单</w:t>
      </w:r>
      <w:bookmarkEnd w:id="56"/>
    </w:p>
    <w:tbl>
      <w:tblPr>
        <w:tblStyle w:val="12"/>
        <w:tblW w:w="4946" w:type="pct"/>
        <w:jc w:val="center"/>
        <w:tblLayout w:type="autofit"/>
        <w:tblCellMar>
          <w:top w:w="0" w:type="dxa"/>
          <w:left w:w="108" w:type="dxa"/>
          <w:bottom w:w="0" w:type="dxa"/>
          <w:right w:w="108" w:type="dxa"/>
        </w:tblCellMar>
      </w:tblPr>
      <w:tblGrid>
        <w:gridCol w:w="788"/>
        <w:gridCol w:w="502"/>
        <w:gridCol w:w="2299"/>
        <w:gridCol w:w="5656"/>
        <w:gridCol w:w="1094"/>
        <w:gridCol w:w="3682"/>
      </w:tblGrid>
      <w:tr w14:paraId="5272E8BB">
        <w:tblPrEx>
          <w:tblCellMar>
            <w:top w:w="0" w:type="dxa"/>
            <w:left w:w="108" w:type="dxa"/>
            <w:bottom w:w="0" w:type="dxa"/>
            <w:right w:w="108" w:type="dxa"/>
          </w:tblCellMar>
        </w:tblPrEx>
        <w:trPr>
          <w:trHeight w:val="1134" w:hRule="atLeast"/>
          <w:tblHeader/>
          <w:jc w:val="center"/>
        </w:trPr>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14:paraId="0A5022CA">
            <w:pPr>
              <w:pStyle w:val="31"/>
              <w:spacing w:line="240" w:lineRule="auto"/>
              <w:rPr>
                <w:rFonts w:eastAsia="黑体"/>
              </w:rPr>
            </w:pPr>
            <w:r>
              <w:rPr>
                <w:rFonts w:hint="eastAsia" w:eastAsia="黑体"/>
              </w:rPr>
              <w:t>任务领域</w:t>
            </w:r>
          </w:p>
        </w:tc>
        <w:tc>
          <w:tcPr>
            <w:tcW w:w="179" w:type="pct"/>
            <w:tcBorders>
              <w:top w:val="single" w:color="auto" w:sz="4" w:space="0"/>
              <w:left w:val="nil"/>
              <w:bottom w:val="single" w:color="auto" w:sz="4" w:space="0"/>
              <w:right w:val="single" w:color="auto" w:sz="4" w:space="0"/>
            </w:tcBorders>
            <w:shd w:val="clear" w:color="auto" w:fill="auto"/>
            <w:vAlign w:val="center"/>
          </w:tcPr>
          <w:p w14:paraId="3F53503D">
            <w:pPr>
              <w:pStyle w:val="31"/>
              <w:spacing w:line="240" w:lineRule="auto"/>
              <w:rPr>
                <w:rFonts w:eastAsia="黑体"/>
              </w:rPr>
            </w:pPr>
            <w:r>
              <w:rPr>
                <w:rFonts w:hint="eastAsia" w:eastAsia="黑体"/>
              </w:rPr>
              <w:t>序号</w:t>
            </w:r>
          </w:p>
        </w:tc>
        <w:tc>
          <w:tcPr>
            <w:tcW w:w="820" w:type="pct"/>
            <w:tcBorders>
              <w:top w:val="single" w:color="auto" w:sz="4" w:space="0"/>
              <w:left w:val="nil"/>
              <w:bottom w:val="single" w:color="auto" w:sz="4" w:space="0"/>
              <w:right w:val="single" w:color="auto" w:sz="4" w:space="0"/>
            </w:tcBorders>
            <w:shd w:val="clear" w:color="auto" w:fill="auto"/>
            <w:vAlign w:val="center"/>
          </w:tcPr>
          <w:p w14:paraId="7A39F81E">
            <w:pPr>
              <w:pStyle w:val="31"/>
              <w:spacing w:line="240" w:lineRule="auto"/>
              <w:rPr>
                <w:rFonts w:eastAsia="黑体"/>
              </w:rPr>
            </w:pPr>
            <w:r>
              <w:rPr>
                <w:rFonts w:hint="eastAsia" w:eastAsia="黑体"/>
              </w:rPr>
              <w:t>任务名称</w:t>
            </w:r>
          </w:p>
        </w:tc>
        <w:tc>
          <w:tcPr>
            <w:tcW w:w="2017" w:type="pct"/>
            <w:tcBorders>
              <w:top w:val="single" w:color="auto" w:sz="4" w:space="0"/>
              <w:left w:val="nil"/>
              <w:bottom w:val="single" w:color="auto" w:sz="4" w:space="0"/>
              <w:right w:val="single" w:color="auto" w:sz="4" w:space="0"/>
            </w:tcBorders>
            <w:shd w:val="clear" w:color="auto" w:fill="auto"/>
            <w:vAlign w:val="center"/>
          </w:tcPr>
          <w:p w14:paraId="1CF08D70">
            <w:pPr>
              <w:pStyle w:val="31"/>
              <w:spacing w:line="240" w:lineRule="auto"/>
              <w:rPr>
                <w:rFonts w:eastAsia="黑体"/>
              </w:rPr>
            </w:pPr>
            <w:r>
              <w:rPr>
                <w:rFonts w:hint="eastAsia" w:eastAsia="黑体"/>
              </w:rPr>
              <w:t>任务内容</w:t>
            </w:r>
          </w:p>
        </w:tc>
        <w:tc>
          <w:tcPr>
            <w:tcW w:w="390" w:type="pct"/>
            <w:tcBorders>
              <w:top w:val="single" w:color="auto" w:sz="4" w:space="0"/>
              <w:left w:val="nil"/>
              <w:bottom w:val="single" w:color="auto" w:sz="4" w:space="0"/>
              <w:right w:val="single" w:color="auto" w:sz="4" w:space="0"/>
            </w:tcBorders>
            <w:shd w:val="clear" w:color="auto" w:fill="auto"/>
            <w:vAlign w:val="center"/>
          </w:tcPr>
          <w:p w14:paraId="536EC2F3">
            <w:pPr>
              <w:pStyle w:val="31"/>
              <w:spacing w:line="240" w:lineRule="auto"/>
              <w:rPr>
                <w:rFonts w:eastAsia="黑体"/>
              </w:rPr>
            </w:pPr>
            <w:r>
              <w:rPr>
                <w:rFonts w:hint="eastAsia" w:eastAsia="黑体"/>
              </w:rPr>
              <w:t>完成时限</w:t>
            </w:r>
          </w:p>
        </w:tc>
        <w:tc>
          <w:tcPr>
            <w:tcW w:w="1313" w:type="pct"/>
            <w:tcBorders>
              <w:top w:val="single" w:color="auto" w:sz="4" w:space="0"/>
              <w:left w:val="nil"/>
              <w:bottom w:val="single" w:color="auto" w:sz="4" w:space="0"/>
              <w:right w:val="single" w:color="auto" w:sz="4" w:space="0"/>
            </w:tcBorders>
            <w:shd w:val="clear" w:color="auto" w:fill="auto"/>
            <w:vAlign w:val="center"/>
          </w:tcPr>
          <w:p w14:paraId="5B39C622">
            <w:pPr>
              <w:pStyle w:val="31"/>
              <w:spacing w:line="240" w:lineRule="auto"/>
              <w:rPr>
                <w:rFonts w:eastAsia="黑体"/>
              </w:rPr>
            </w:pPr>
            <w:r>
              <w:rPr>
                <w:rFonts w:hint="eastAsia" w:eastAsia="黑体"/>
              </w:rPr>
              <w:t>责任单位</w:t>
            </w:r>
          </w:p>
        </w:tc>
      </w:tr>
      <w:tr w14:paraId="6F06B1A8">
        <w:tblPrEx>
          <w:tblCellMar>
            <w:top w:w="0" w:type="dxa"/>
            <w:left w:w="108" w:type="dxa"/>
            <w:bottom w:w="0" w:type="dxa"/>
            <w:right w:w="108" w:type="dxa"/>
          </w:tblCellMar>
        </w:tblPrEx>
        <w:trPr>
          <w:trHeight w:val="1134" w:hRule="atLeast"/>
          <w:jc w:val="center"/>
        </w:trPr>
        <w:tc>
          <w:tcPr>
            <w:tcW w:w="281" w:type="pct"/>
            <w:tcBorders>
              <w:top w:val="nil"/>
              <w:left w:val="single" w:color="auto" w:sz="4" w:space="0"/>
              <w:bottom w:val="single" w:color="000000" w:sz="4" w:space="0"/>
              <w:right w:val="single" w:color="auto" w:sz="4" w:space="0"/>
            </w:tcBorders>
            <w:shd w:val="clear" w:color="auto" w:fill="auto"/>
            <w:vAlign w:val="center"/>
          </w:tcPr>
          <w:p w14:paraId="1D573ABB">
            <w:pPr>
              <w:pStyle w:val="31"/>
              <w:spacing w:line="240" w:lineRule="auto"/>
            </w:pPr>
            <w:r>
              <w:rPr>
                <w:rFonts w:hint="eastAsia"/>
              </w:rPr>
              <w:t>一般工业固废</w:t>
            </w:r>
          </w:p>
        </w:tc>
        <w:tc>
          <w:tcPr>
            <w:tcW w:w="179" w:type="pct"/>
            <w:tcBorders>
              <w:top w:val="nil"/>
              <w:left w:val="nil"/>
              <w:bottom w:val="single" w:color="auto" w:sz="4" w:space="0"/>
              <w:right w:val="single" w:color="auto" w:sz="4" w:space="0"/>
            </w:tcBorders>
            <w:shd w:val="clear" w:color="auto" w:fill="auto"/>
            <w:vAlign w:val="center"/>
          </w:tcPr>
          <w:p w14:paraId="3674E7E2">
            <w:pPr>
              <w:pStyle w:val="31"/>
              <w:spacing w:line="240" w:lineRule="auto"/>
            </w:pPr>
            <w:r>
              <w:rPr>
                <w:rFonts w:hint="eastAsia"/>
              </w:rPr>
              <w:t>1</w:t>
            </w:r>
          </w:p>
        </w:tc>
        <w:tc>
          <w:tcPr>
            <w:tcW w:w="820" w:type="pct"/>
            <w:tcBorders>
              <w:top w:val="nil"/>
              <w:left w:val="nil"/>
              <w:bottom w:val="single" w:color="auto" w:sz="4" w:space="0"/>
              <w:right w:val="single" w:color="auto" w:sz="4" w:space="0"/>
            </w:tcBorders>
            <w:shd w:val="clear" w:color="auto" w:fill="auto"/>
            <w:vAlign w:val="center"/>
          </w:tcPr>
          <w:p w14:paraId="3DF09BAC">
            <w:pPr>
              <w:pStyle w:val="31"/>
              <w:spacing w:line="240" w:lineRule="auto"/>
              <w:jc w:val="left"/>
            </w:pPr>
            <w:r>
              <w:rPr>
                <w:rFonts w:hint="eastAsia"/>
              </w:rPr>
              <w:t>开展一般工业固废全过程管理核查</w:t>
            </w:r>
          </w:p>
        </w:tc>
        <w:tc>
          <w:tcPr>
            <w:tcW w:w="2017" w:type="pct"/>
            <w:tcBorders>
              <w:top w:val="nil"/>
              <w:left w:val="nil"/>
              <w:bottom w:val="single" w:color="auto" w:sz="4" w:space="0"/>
              <w:right w:val="single" w:color="auto" w:sz="4" w:space="0"/>
            </w:tcBorders>
            <w:shd w:val="clear" w:color="auto" w:fill="auto"/>
            <w:vAlign w:val="center"/>
          </w:tcPr>
          <w:p w14:paraId="5290F5C4">
            <w:pPr>
              <w:pStyle w:val="31"/>
              <w:spacing w:line="240" w:lineRule="auto"/>
              <w:jc w:val="left"/>
            </w:pPr>
            <w:r>
              <w:rPr>
                <w:rFonts w:hint="eastAsia"/>
              </w:rPr>
              <w:t>开展一般工业固废全过程管理核查，详细掌握涉固废企业数量、类别以及固废种类、产生量、贮存情况、综合利用和处置等基本情况</w:t>
            </w:r>
          </w:p>
        </w:tc>
        <w:tc>
          <w:tcPr>
            <w:tcW w:w="390" w:type="pct"/>
            <w:tcBorders>
              <w:top w:val="nil"/>
              <w:left w:val="nil"/>
              <w:bottom w:val="single" w:color="auto" w:sz="4" w:space="0"/>
              <w:right w:val="single" w:color="auto" w:sz="4" w:space="0"/>
            </w:tcBorders>
            <w:shd w:val="clear" w:color="auto" w:fill="auto"/>
            <w:vAlign w:val="center"/>
          </w:tcPr>
          <w:p w14:paraId="1E3149B4">
            <w:pPr>
              <w:pStyle w:val="31"/>
              <w:spacing w:line="240" w:lineRule="auto"/>
            </w:pPr>
            <w:r>
              <w:rPr>
                <w:rFonts w:hint="eastAsia"/>
              </w:rPr>
              <w:t>2023年</w:t>
            </w:r>
          </w:p>
        </w:tc>
        <w:tc>
          <w:tcPr>
            <w:tcW w:w="1313" w:type="pct"/>
            <w:tcBorders>
              <w:top w:val="nil"/>
              <w:left w:val="nil"/>
              <w:bottom w:val="single" w:color="auto" w:sz="4" w:space="0"/>
              <w:right w:val="single" w:color="auto" w:sz="4" w:space="0"/>
            </w:tcBorders>
            <w:shd w:val="clear" w:color="auto" w:fill="auto"/>
            <w:vAlign w:val="center"/>
          </w:tcPr>
          <w:p w14:paraId="63E54EA3">
            <w:pPr>
              <w:pStyle w:val="31"/>
              <w:spacing w:line="240" w:lineRule="auto"/>
            </w:pPr>
            <w:r>
              <w:rPr>
                <w:rFonts w:hint="eastAsia"/>
              </w:rPr>
              <w:t>区生态环境分局</w:t>
            </w:r>
          </w:p>
        </w:tc>
      </w:tr>
      <w:tr w14:paraId="78327E71">
        <w:tblPrEx>
          <w:tblCellMar>
            <w:top w:w="0" w:type="dxa"/>
            <w:left w:w="108" w:type="dxa"/>
            <w:bottom w:w="0" w:type="dxa"/>
            <w:right w:w="108" w:type="dxa"/>
          </w:tblCellMar>
        </w:tblPrEx>
        <w:trPr>
          <w:trHeight w:val="1134" w:hRule="atLeast"/>
          <w:jc w:val="center"/>
        </w:trPr>
        <w:tc>
          <w:tcPr>
            <w:tcW w:w="281" w:type="pct"/>
            <w:vMerge w:val="restart"/>
            <w:tcBorders>
              <w:top w:val="nil"/>
              <w:left w:val="single" w:color="auto" w:sz="4" w:space="0"/>
              <w:bottom w:val="single" w:color="000000" w:sz="4" w:space="0"/>
              <w:right w:val="single" w:color="auto" w:sz="4" w:space="0"/>
            </w:tcBorders>
            <w:shd w:val="clear" w:color="auto" w:fill="auto"/>
            <w:vAlign w:val="center"/>
          </w:tcPr>
          <w:p w14:paraId="7F21A194">
            <w:pPr>
              <w:pStyle w:val="31"/>
              <w:spacing w:line="240" w:lineRule="auto"/>
            </w:pPr>
            <w:r>
              <w:rPr>
                <w:rFonts w:hint="eastAsia"/>
              </w:rPr>
              <w:t>农业固体废物</w:t>
            </w:r>
          </w:p>
        </w:tc>
        <w:tc>
          <w:tcPr>
            <w:tcW w:w="179" w:type="pct"/>
            <w:tcBorders>
              <w:top w:val="nil"/>
              <w:left w:val="nil"/>
              <w:bottom w:val="single" w:color="auto" w:sz="4" w:space="0"/>
              <w:right w:val="single" w:color="auto" w:sz="4" w:space="0"/>
            </w:tcBorders>
            <w:shd w:val="clear" w:color="auto" w:fill="auto"/>
            <w:vAlign w:val="center"/>
          </w:tcPr>
          <w:p w14:paraId="4840B888">
            <w:pPr>
              <w:pStyle w:val="31"/>
              <w:spacing w:line="240" w:lineRule="auto"/>
            </w:pPr>
            <w:r>
              <w:t>2</w:t>
            </w:r>
          </w:p>
        </w:tc>
        <w:tc>
          <w:tcPr>
            <w:tcW w:w="820" w:type="pct"/>
            <w:tcBorders>
              <w:top w:val="nil"/>
              <w:left w:val="nil"/>
              <w:bottom w:val="single" w:color="auto" w:sz="4" w:space="0"/>
              <w:right w:val="single" w:color="auto" w:sz="4" w:space="0"/>
            </w:tcBorders>
            <w:shd w:val="clear" w:color="auto" w:fill="auto"/>
            <w:vAlign w:val="center"/>
          </w:tcPr>
          <w:p w14:paraId="75F4065B">
            <w:pPr>
              <w:pStyle w:val="31"/>
              <w:spacing w:line="240" w:lineRule="auto"/>
              <w:jc w:val="left"/>
            </w:pPr>
            <w:r>
              <w:rPr>
                <w:rFonts w:hint="eastAsia"/>
              </w:rPr>
              <w:t>加强农业固体废物全过程监管</w:t>
            </w:r>
          </w:p>
        </w:tc>
        <w:tc>
          <w:tcPr>
            <w:tcW w:w="2017" w:type="pct"/>
            <w:tcBorders>
              <w:top w:val="nil"/>
              <w:left w:val="nil"/>
              <w:bottom w:val="single" w:color="auto" w:sz="4" w:space="0"/>
              <w:right w:val="single" w:color="auto" w:sz="4" w:space="0"/>
            </w:tcBorders>
            <w:shd w:val="clear" w:color="auto" w:fill="auto"/>
            <w:vAlign w:val="center"/>
          </w:tcPr>
          <w:p w14:paraId="2DA4BFCE">
            <w:pPr>
              <w:pStyle w:val="31"/>
              <w:spacing w:line="240" w:lineRule="auto"/>
              <w:jc w:val="left"/>
            </w:pPr>
            <w:r>
              <w:rPr>
                <w:rFonts w:hint="eastAsia"/>
              </w:rPr>
              <w:t>加强农药农膜销售、使用、回收等全过程监管体系建设，建立管理台账</w:t>
            </w:r>
          </w:p>
        </w:tc>
        <w:tc>
          <w:tcPr>
            <w:tcW w:w="390" w:type="pct"/>
            <w:tcBorders>
              <w:top w:val="nil"/>
              <w:left w:val="nil"/>
              <w:bottom w:val="single" w:color="auto" w:sz="4" w:space="0"/>
              <w:right w:val="single" w:color="auto" w:sz="4" w:space="0"/>
            </w:tcBorders>
            <w:shd w:val="clear" w:color="auto" w:fill="auto"/>
            <w:vAlign w:val="center"/>
          </w:tcPr>
          <w:p w14:paraId="245F074C">
            <w:pPr>
              <w:pStyle w:val="31"/>
              <w:spacing w:line="240" w:lineRule="auto"/>
            </w:pPr>
            <w:r>
              <w:rPr>
                <w:rFonts w:hint="eastAsia"/>
              </w:rPr>
              <w:t>长期</w:t>
            </w:r>
          </w:p>
        </w:tc>
        <w:tc>
          <w:tcPr>
            <w:tcW w:w="1313" w:type="pct"/>
            <w:tcBorders>
              <w:top w:val="nil"/>
              <w:left w:val="nil"/>
              <w:bottom w:val="single" w:color="auto" w:sz="4" w:space="0"/>
              <w:right w:val="single" w:color="auto" w:sz="4" w:space="0"/>
            </w:tcBorders>
            <w:shd w:val="clear" w:color="auto" w:fill="auto"/>
            <w:vAlign w:val="center"/>
          </w:tcPr>
          <w:p w14:paraId="6CA7B0B2">
            <w:pPr>
              <w:pStyle w:val="31"/>
              <w:spacing w:line="240" w:lineRule="auto"/>
            </w:pPr>
            <w:r>
              <w:rPr>
                <w:rFonts w:hint="eastAsia"/>
              </w:rPr>
              <w:t>区农林水务局、区市场监督管理局</w:t>
            </w:r>
          </w:p>
        </w:tc>
      </w:tr>
      <w:tr w14:paraId="0A1E51E7">
        <w:tblPrEx>
          <w:tblCellMar>
            <w:top w:w="0" w:type="dxa"/>
            <w:left w:w="108" w:type="dxa"/>
            <w:bottom w:w="0" w:type="dxa"/>
            <w:right w:w="108" w:type="dxa"/>
          </w:tblCellMar>
        </w:tblPrEx>
        <w:trPr>
          <w:trHeight w:val="1134" w:hRule="atLeast"/>
          <w:jc w:val="center"/>
        </w:trPr>
        <w:tc>
          <w:tcPr>
            <w:tcW w:w="281" w:type="pct"/>
            <w:vMerge w:val="continue"/>
            <w:tcBorders>
              <w:top w:val="nil"/>
              <w:left w:val="single" w:color="auto" w:sz="4" w:space="0"/>
              <w:bottom w:val="single" w:color="000000" w:sz="4" w:space="0"/>
              <w:right w:val="single" w:color="auto" w:sz="4" w:space="0"/>
            </w:tcBorders>
            <w:vAlign w:val="center"/>
          </w:tcPr>
          <w:p w14:paraId="4429B6E7">
            <w:pPr>
              <w:pStyle w:val="31"/>
              <w:spacing w:line="240" w:lineRule="auto"/>
            </w:pPr>
          </w:p>
        </w:tc>
        <w:tc>
          <w:tcPr>
            <w:tcW w:w="179" w:type="pct"/>
            <w:tcBorders>
              <w:top w:val="nil"/>
              <w:left w:val="nil"/>
              <w:bottom w:val="single" w:color="auto" w:sz="4" w:space="0"/>
              <w:right w:val="single" w:color="auto" w:sz="4" w:space="0"/>
            </w:tcBorders>
            <w:shd w:val="clear" w:color="auto" w:fill="auto"/>
            <w:vAlign w:val="center"/>
          </w:tcPr>
          <w:p w14:paraId="0F5A8D85">
            <w:pPr>
              <w:pStyle w:val="31"/>
              <w:spacing w:line="240" w:lineRule="auto"/>
            </w:pPr>
            <w:r>
              <w:t>3</w:t>
            </w:r>
          </w:p>
        </w:tc>
        <w:tc>
          <w:tcPr>
            <w:tcW w:w="820" w:type="pct"/>
            <w:tcBorders>
              <w:top w:val="nil"/>
              <w:left w:val="nil"/>
              <w:bottom w:val="single" w:color="auto" w:sz="4" w:space="0"/>
              <w:right w:val="single" w:color="auto" w:sz="4" w:space="0"/>
            </w:tcBorders>
            <w:shd w:val="clear" w:color="auto" w:fill="auto"/>
            <w:vAlign w:val="center"/>
          </w:tcPr>
          <w:p w14:paraId="1FF3D360">
            <w:pPr>
              <w:pStyle w:val="31"/>
              <w:spacing w:line="240" w:lineRule="auto"/>
              <w:jc w:val="left"/>
            </w:pPr>
            <w:r>
              <w:rPr>
                <w:rFonts w:hint="eastAsia"/>
              </w:rPr>
              <w:t>开展畜禽禁养、秸秆禁烧专项检查行动</w:t>
            </w:r>
          </w:p>
        </w:tc>
        <w:tc>
          <w:tcPr>
            <w:tcW w:w="2017" w:type="pct"/>
            <w:tcBorders>
              <w:top w:val="nil"/>
              <w:left w:val="nil"/>
              <w:bottom w:val="single" w:color="auto" w:sz="4" w:space="0"/>
              <w:right w:val="single" w:color="auto" w:sz="4" w:space="0"/>
            </w:tcBorders>
            <w:shd w:val="clear" w:color="auto" w:fill="auto"/>
            <w:vAlign w:val="center"/>
          </w:tcPr>
          <w:p w14:paraId="6800DC38">
            <w:pPr>
              <w:pStyle w:val="31"/>
              <w:spacing w:line="240" w:lineRule="auto"/>
              <w:jc w:val="left"/>
            </w:pPr>
            <w:r>
              <w:rPr>
                <w:rFonts w:hint="eastAsia"/>
              </w:rPr>
              <w:t>确保全域退出养殖环节、推动秸秆综合利用</w:t>
            </w:r>
          </w:p>
        </w:tc>
        <w:tc>
          <w:tcPr>
            <w:tcW w:w="390" w:type="pct"/>
            <w:tcBorders>
              <w:top w:val="nil"/>
              <w:left w:val="nil"/>
              <w:bottom w:val="single" w:color="auto" w:sz="4" w:space="0"/>
              <w:right w:val="single" w:color="auto" w:sz="4" w:space="0"/>
            </w:tcBorders>
            <w:shd w:val="clear" w:color="auto" w:fill="auto"/>
            <w:vAlign w:val="center"/>
          </w:tcPr>
          <w:p w14:paraId="040D4217">
            <w:pPr>
              <w:pStyle w:val="31"/>
              <w:spacing w:line="240" w:lineRule="auto"/>
            </w:pPr>
            <w:r>
              <w:rPr>
                <w:rFonts w:hint="eastAsia"/>
              </w:rPr>
              <w:t>长期</w:t>
            </w:r>
          </w:p>
        </w:tc>
        <w:tc>
          <w:tcPr>
            <w:tcW w:w="1313" w:type="pct"/>
            <w:tcBorders>
              <w:top w:val="nil"/>
              <w:left w:val="nil"/>
              <w:bottom w:val="single" w:color="auto" w:sz="4" w:space="0"/>
              <w:right w:val="single" w:color="auto" w:sz="4" w:space="0"/>
            </w:tcBorders>
            <w:shd w:val="clear" w:color="auto" w:fill="auto"/>
            <w:vAlign w:val="center"/>
          </w:tcPr>
          <w:p w14:paraId="0BAD157F">
            <w:pPr>
              <w:pStyle w:val="31"/>
              <w:spacing w:line="240" w:lineRule="auto"/>
            </w:pPr>
            <w:r>
              <w:rPr>
                <w:rFonts w:hint="eastAsia"/>
              </w:rPr>
              <w:t>区农林水务局、区生态环境分局</w:t>
            </w:r>
          </w:p>
        </w:tc>
      </w:tr>
      <w:tr w14:paraId="12C0ACC0">
        <w:tblPrEx>
          <w:tblCellMar>
            <w:top w:w="0" w:type="dxa"/>
            <w:left w:w="108" w:type="dxa"/>
            <w:bottom w:w="0" w:type="dxa"/>
            <w:right w:w="108" w:type="dxa"/>
          </w:tblCellMar>
        </w:tblPrEx>
        <w:trPr>
          <w:trHeight w:val="1134" w:hRule="atLeast"/>
          <w:jc w:val="center"/>
        </w:trPr>
        <w:tc>
          <w:tcPr>
            <w:tcW w:w="281" w:type="pct"/>
            <w:vMerge w:val="restart"/>
            <w:tcBorders>
              <w:top w:val="nil"/>
              <w:left w:val="single" w:color="auto" w:sz="4" w:space="0"/>
              <w:bottom w:val="single" w:color="auto" w:sz="4" w:space="0"/>
              <w:right w:val="single" w:color="auto" w:sz="4" w:space="0"/>
            </w:tcBorders>
            <w:shd w:val="clear" w:color="auto" w:fill="auto"/>
            <w:vAlign w:val="center"/>
          </w:tcPr>
          <w:p w14:paraId="4838B733">
            <w:pPr>
              <w:pStyle w:val="31"/>
              <w:spacing w:line="240" w:lineRule="auto"/>
            </w:pPr>
            <w:r>
              <w:rPr>
                <w:rFonts w:hint="eastAsia"/>
              </w:rPr>
              <w:t>生活源固废</w:t>
            </w:r>
          </w:p>
        </w:tc>
        <w:tc>
          <w:tcPr>
            <w:tcW w:w="179" w:type="pct"/>
            <w:tcBorders>
              <w:top w:val="nil"/>
              <w:left w:val="nil"/>
              <w:bottom w:val="single" w:color="auto" w:sz="4" w:space="0"/>
              <w:right w:val="single" w:color="auto" w:sz="4" w:space="0"/>
            </w:tcBorders>
            <w:shd w:val="clear" w:color="auto" w:fill="auto"/>
            <w:vAlign w:val="center"/>
          </w:tcPr>
          <w:p w14:paraId="42D906C7">
            <w:pPr>
              <w:pStyle w:val="31"/>
              <w:spacing w:line="240" w:lineRule="auto"/>
            </w:pPr>
            <w:r>
              <w:t>4</w:t>
            </w:r>
          </w:p>
        </w:tc>
        <w:tc>
          <w:tcPr>
            <w:tcW w:w="820" w:type="pct"/>
            <w:tcBorders>
              <w:top w:val="nil"/>
              <w:left w:val="nil"/>
              <w:bottom w:val="single" w:color="auto" w:sz="4" w:space="0"/>
              <w:right w:val="single" w:color="auto" w:sz="4" w:space="0"/>
            </w:tcBorders>
            <w:shd w:val="clear" w:color="auto" w:fill="auto"/>
            <w:vAlign w:val="center"/>
          </w:tcPr>
          <w:p w14:paraId="1AE5E5AC">
            <w:pPr>
              <w:pStyle w:val="31"/>
              <w:spacing w:line="240" w:lineRule="auto"/>
              <w:jc w:val="left"/>
            </w:pPr>
            <w:r>
              <w:rPr>
                <w:rFonts w:hint="eastAsia"/>
              </w:rPr>
              <w:t>建立生活垃圾分类智能监管系统</w:t>
            </w:r>
          </w:p>
        </w:tc>
        <w:tc>
          <w:tcPr>
            <w:tcW w:w="2017" w:type="pct"/>
            <w:tcBorders>
              <w:top w:val="nil"/>
              <w:left w:val="nil"/>
              <w:bottom w:val="single" w:color="auto" w:sz="4" w:space="0"/>
              <w:right w:val="single" w:color="auto" w:sz="4" w:space="0"/>
            </w:tcBorders>
            <w:shd w:val="clear" w:color="auto" w:fill="auto"/>
            <w:vAlign w:val="center"/>
          </w:tcPr>
          <w:p w14:paraId="00A8C81D">
            <w:pPr>
              <w:pStyle w:val="31"/>
              <w:spacing w:line="240" w:lineRule="auto"/>
              <w:jc w:val="left"/>
            </w:pPr>
            <w:r>
              <w:rPr>
                <w:rFonts w:hint="eastAsia"/>
              </w:rPr>
              <w:t>应用智能传感、移动互联、地理信息等信息技术，建设垃圾分类智能监管系统，实现生活垃圾分类、投放、收集、运输、处置等环节智能化监管</w:t>
            </w:r>
          </w:p>
        </w:tc>
        <w:tc>
          <w:tcPr>
            <w:tcW w:w="390" w:type="pct"/>
            <w:tcBorders>
              <w:top w:val="nil"/>
              <w:left w:val="nil"/>
              <w:bottom w:val="single" w:color="auto" w:sz="4" w:space="0"/>
              <w:right w:val="single" w:color="auto" w:sz="4" w:space="0"/>
            </w:tcBorders>
            <w:shd w:val="clear" w:color="auto" w:fill="auto"/>
            <w:vAlign w:val="center"/>
          </w:tcPr>
          <w:p w14:paraId="66119EBB">
            <w:pPr>
              <w:pStyle w:val="31"/>
              <w:spacing w:line="240" w:lineRule="auto"/>
            </w:pPr>
            <w:r>
              <w:rPr>
                <w:rFonts w:hint="eastAsia"/>
              </w:rPr>
              <w:t>2023年</w:t>
            </w:r>
          </w:p>
        </w:tc>
        <w:tc>
          <w:tcPr>
            <w:tcW w:w="1313" w:type="pct"/>
            <w:tcBorders>
              <w:top w:val="nil"/>
              <w:left w:val="nil"/>
              <w:bottom w:val="single" w:color="auto" w:sz="4" w:space="0"/>
              <w:right w:val="single" w:color="auto" w:sz="4" w:space="0"/>
            </w:tcBorders>
            <w:shd w:val="clear" w:color="auto" w:fill="auto"/>
            <w:vAlign w:val="center"/>
          </w:tcPr>
          <w:p w14:paraId="4D034D7E">
            <w:pPr>
              <w:pStyle w:val="31"/>
              <w:spacing w:line="240" w:lineRule="auto"/>
            </w:pPr>
            <w:r>
              <w:rPr>
                <w:rFonts w:hint="eastAsia"/>
              </w:rPr>
              <w:t>区城市管理局</w:t>
            </w:r>
          </w:p>
        </w:tc>
      </w:tr>
      <w:tr w14:paraId="08D9D491">
        <w:tblPrEx>
          <w:tblCellMar>
            <w:top w:w="0" w:type="dxa"/>
            <w:left w:w="108" w:type="dxa"/>
            <w:bottom w:w="0" w:type="dxa"/>
            <w:right w:w="108" w:type="dxa"/>
          </w:tblCellMar>
        </w:tblPrEx>
        <w:trPr>
          <w:trHeight w:val="1134" w:hRule="atLeast"/>
          <w:jc w:val="center"/>
        </w:trPr>
        <w:tc>
          <w:tcPr>
            <w:tcW w:w="281" w:type="pct"/>
            <w:vMerge w:val="continue"/>
            <w:tcBorders>
              <w:top w:val="nil"/>
              <w:left w:val="single" w:color="auto" w:sz="4" w:space="0"/>
              <w:bottom w:val="single" w:color="auto" w:sz="4" w:space="0"/>
              <w:right w:val="single" w:color="auto" w:sz="4" w:space="0"/>
            </w:tcBorders>
            <w:vAlign w:val="center"/>
          </w:tcPr>
          <w:p w14:paraId="04AFEA4A">
            <w:pPr>
              <w:pStyle w:val="31"/>
              <w:spacing w:line="240" w:lineRule="auto"/>
            </w:pPr>
          </w:p>
        </w:tc>
        <w:tc>
          <w:tcPr>
            <w:tcW w:w="179" w:type="pct"/>
            <w:tcBorders>
              <w:top w:val="nil"/>
              <w:left w:val="nil"/>
              <w:bottom w:val="single" w:color="auto" w:sz="4" w:space="0"/>
              <w:right w:val="single" w:color="auto" w:sz="4" w:space="0"/>
            </w:tcBorders>
            <w:shd w:val="clear" w:color="auto" w:fill="auto"/>
            <w:vAlign w:val="center"/>
          </w:tcPr>
          <w:p w14:paraId="6BBBD69F">
            <w:pPr>
              <w:pStyle w:val="31"/>
              <w:spacing w:line="240" w:lineRule="auto"/>
            </w:pPr>
            <w:r>
              <w:t>5</w:t>
            </w:r>
          </w:p>
        </w:tc>
        <w:tc>
          <w:tcPr>
            <w:tcW w:w="820" w:type="pct"/>
            <w:tcBorders>
              <w:top w:val="nil"/>
              <w:left w:val="nil"/>
              <w:bottom w:val="single" w:color="auto" w:sz="4" w:space="0"/>
              <w:right w:val="single" w:color="auto" w:sz="4" w:space="0"/>
            </w:tcBorders>
            <w:shd w:val="clear" w:color="auto" w:fill="auto"/>
            <w:vAlign w:val="center"/>
          </w:tcPr>
          <w:p w14:paraId="20258561">
            <w:pPr>
              <w:pStyle w:val="31"/>
              <w:spacing w:line="240" w:lineRule="auto"/>
              <w:jc w:val="left"/>
            </w:pPr>
            <w:r>
              <w:rPr>
                <w:rFonts w:hint="eastAsia"/>
              </w:rPr>
              <w:t>配合市级建立再生资源大数据管理平台</w:t>
            </w:r>
          </w:p>
        </w:tc>
        <w:tc>
          <w:tcPr>
            <w:tcW w:w="2017" w:type="pct"/>
            <w:tcBorders>
              <w:top w:val="nil"/>
              <w:left w:val="nil"/>
              <w:bottom w:val="single" w:color="auto" w:sz="4" w:space="0"/>
              <w:right w:val="single" w:color="auto" w:sz="4" w:space="0"/>
            </w:tcBorders>
            <w:shd w:val="clear" w:color="auto" w:fill="auto"/>
            <w:vAlign w:val="center"/>
          </w:tcPr>
          <w:p w14:paraId="5A7A9834">
            <w:pPr>
              <w:pStyle w:val="31"/>
              <w:spacing w:line="240" w:lineRule="auto"/>
              <w:jc w:val="left"/>
            </w:pPr>
            <w:r>
              <w:rPr>
                <w:rFonts w:hint="eastAsia"/>
              </w:rPr>
              <w:t>配合市级建立再生资源回收体系业务应用平台、公共服务平台、数字监控平台，全面统计回收种类、交易价格、回收方式等信息</w:t>
            </w:r>
          </w:p>
        </w:tc>
        <w:tc>
          <w:tcPr>
            <w:tcW w:w="390" w:type="pct"/>
            <w:tcBorders>
              <w:top w:val="nil"/>
              <w:left w:val="nil"/>
              <w:bottom w:val="single" w:color="auto" w:sz="4" w:space="0"/>
              <w:right w:val="single" w:color="auto" w:sz="4" w:space="0"/>
            </w:tcBorders>
            <w:shd w:val="clear" w:color="auto" w:fill="auto"/>
            <w:vAlign w:val="center"/>
          </w:tcPr>
          <w:p w14:paraId="2C2DE50C">
            <w:pPr>
              <w:pStyle w:val="31"/>
              <w:spacing w:line="240" w:lineRule="auto"/>
            </w:pPr>
            <w:r>
              <w:rPr>
                <w:rFonts w:hint="eastAsia"/>
              </w:rPr>
              <w:t>2025年</w:t>
            </w:r>
          </w:p>
        </w:tc>
        <w:tc>
          <w:tcPr>
            <w:tcW w:w="1313" w:type="pct"/>
            <w:tcBorders>
              <w:top w:val="nil"/>
              <w:left w:val="nil"/>
              <w:bottom w:val="single" w:color="auto" w:sz="4" w:space="0"/>
              <w:right w:val="single" w:color="auto" w:sz="4" w:space="0"/>
            </w:tcBorders>
            <w:shd w:val="clear" w:color="auto" w:fill="auto"/>
            <w:vAlign w:val="center"/>
          </w:tcPr>
          <w:p w14:paraId="77B8D53F">
            <w:pPr>
              <w:pStyle w:val="31"/>
              <w:spacing w:line="240" w:lineRule="auto"/>
            </w:pPr>
            <w:r>
              <w:rPr>
                <w:rFonts w:hint="eastAsia"/>
              </w:rPr>
              <w:t>区商务局</w:t>
            </w:r>
          </w:p>
        </w:tc>
      </w:tr>
      <w:tr w14:paraId="7199C943">
        <w:tblPrEx>
          <w:tblCellMar>
            <w:top w:w="0" w:type="dxa"/>
            <w:left w:w="108" w:type="dxa"/>
            <w:bottom w:w="0" w:type="dxa"/>
            <w:right w:w="108" w:type="dxa"/>
          </w:tblCellMar>
        </w:tblPrEx>
        <w:trPr>
          <w:trHeight w:val="1134" w:hRule="atLeast"/>
          <w:jc w:val="center"/>
        </w:trPr>
        <w:tc>
          <w:tcPr>
            <w:tcW w:w="281" w:type="pct"/>
            <w:vMerge w:val="continue"/>
            <w:tcBorders>
              <w:top w:val="nil"/>
              <w:left w:val="single" w:color="auto" w:sz="4" w:space="0"/>
              <w:bottom w:val="single" w:color="auto" w:sz="4" w:space="0"/>
              <w:right w:val="single" w:color="auto" w:sz="4" w:space="0"/>
            </w:tcBorders>
            <w:vAlign w:val="center"/>
          </w:tcPr>
          <w:p w14:paraId="27BC69C3">
            <w:pPr>
              <w:pStyle w:val="31"/>
              <w:spacing w:line="240" w:lineRule="auto"/>
            </w:pPr>
          </w:p>
        </w:tc>
        <w:tc>
          <w:tcPr>
            <w:tcW w:w="179" w:type="pct"/>
            <w:tcBorders>
              <w:top w:val="nil"/>
              <w:left w:val="nil"/>
              <w:bottom w:val="single" w:color="auto" w:sz="4" w:space="0"/>
              <w:right w:val="single" w:color="auto" w:sz="4" w:space="0"/>
            </w:tcBorders>
            <w:shd w:val="clear" w:color="auto" w:fill="auto"/>
            <w:vAlign w:val="center"/>
          </w:tcPr>
          <w:p w14:paraId="02322254">
            <w:pPr>
              <w:pStyle w:val="31"/>
              <w:spacing w:line="240" w:lineRule="auto"/>
            </w:pPr>
            <w:r>
              <w:t>6</w:t>
            </w:r>
          </w:p>
        </w:tc>
        <w:tc>
          <w:tcPr>
            <w:tcW w:w="820" w:type="pct"/>
            <w:tcBorders>
              <w:top w:val="nil"/>
              <w:left w:val="nil"/>
              <w:bottom w:val="single" w:color="auto" w:sz="4" w:space="0"/>
              <w:right w:val="single" w:color="auto" w:sz="4" w:space="0"/>
            </w:tcBorders>
            <w:shd w:val="clear" w:color="auto" w:fill="auto"/>
            <w:vAlign w:val="center"/>
          </w:tcPr>
          <w:p w14:paraId="585BA4BD">
            <w:pPr>
              <w:pStyle w:val="31"/>
              <w:spacing w:line="240" w:lineRule="auto"/>
              <w:jc w:val="left"/>
            </w:pPr>
            <w:r>
              <w:rPr>
                <w:rFonts w:hint="eastAsia"/>
              </w:rPr>
              <w:t>配合市级共同完善有害垃圾收运处置监管体系</w:t>
            </w:r>
          </w:p>
        </w:tc>
        <w:tc>
          <w:tcPr>
            <w:tcW w:w="2017" w:type="pct"/>
            <w:tcBorders>
              <w:top w:val="nil"/>
              <w:left w:val="nil"/>
              <w:bottom w:val="single" w:color="auto" w:sz="4" w:space="0"/>
              <w:right w:val="single" w:color="auto" w:sz="4" w:space="0"/>
            </w:tcBorders>
            <w:shd w:val="clear" w:color="auto" w:fill="auto"/>
            <w:vAlign w:val="center"/>
          </w:tcPr>
          <w:p w14:paraId="4ECBD7A7">
            <w:pPr>
              <w:pStyle w:val="31"/>
              <w:spacing w:line="240" w:lineRule="auto"/>
              <w:jc w:val="left"/>
            </w:pPr>
            <w:r>
              <w:rPr>
                <w:rFonts w:hint="eastAsia"/>
              </w:rPr>
              <w:t>配合市级打通有害垃圾收集、贮存、无害化处置链条，高效衔接危废处置单位，落实有害垃圾处置途径</w:t>
            </w:r>
          </w:p>
        </w:tc>
        <w:tc>
          <w:tcPr>
            <w:tcW w:w="390" w:type="pct"/>
            <w:tcBorders>
              <w:top w:val="nil"/>
              <w:left w:val="nil"/>
              <w:bottom w:val="single" w:color="auto" w:sz="4" w:space="0"/>
              <w:right w:val="single" w:color="auto" w:sz="4" w:space="0"/>
            </w:tcBorders>
            <w:shd w:val="clear" w:color="auto" w:fill="auto"/>
            <w:vAlign w:val="center"/>
          </w:tcPr>
          <w:p w14:paraId="7D1D0F36">
            <w:pPr>
              <w:pStyle w:val="31"/>
              <w:spacing w:line="240" w:lineRule="auto"/>
            </w:pPr>
            <w:r>
              <w:rPr>
                <w:rFonts w:hint="eastAsia"/>
              </w:rPr>
              <w:t>长期</w:t>
            </w:r>
          </w:p>
        </w:tc>
        <w:tc>
          <w:tcPr>
            <w:tcW w:w="1313" w:type="pct"/>
            <w:tcBorders>
              <w:top w:val="nil"/>
              <w:left w:val="nil"/>
              <w:bottom w:val="single" w:color="auto" w:sz="4" w:space="0"/>
              <w:right w:val="single" w:color="auto" w:sz="4" w:space="0"/>
            </w:tcBorders>
            <w:shd w:val="clear" w:color="auto" w:fill="auto"/>
            <w:vAlign w:val="center"/>
          </w:tcPr>
          <w:p w14:paraId="5EDD79E2">
            <w:pPr>
              <w:pStyle w:val="31"/>
              <w:spacing w:line="240" w:lineRule="auto"/>
            </w:pPr>
            <w:r>
              <w:rPr>
                <w:rFonts w:hint="eastAsia"/>
              </w:rPr>
              <w:t>区生态环境分局、区城市管理局</w:t>
            </w:r>
          </w:p>
        </w:tc>
      </w:tr>
      <w:tr w14:paraId="7E8F111B">
        <w:tblPrEx>
          <w:tblCellMar>
            <w:top w:w="0" w:type="dxa"/>
            <w:left w:w="108" w:type="dxa"/>
            <w:bottom w:w="0" w:type="dxa"/>
            <w:right w:w="108" w:type="dxa"/>
          </w:tblCellMar>
        </w:tblPrEx>
        <w:trPr>
          <w:trHeight w:val="1134" w:hRule="atLeast"/>
          <w:jc w:val="center"/>
        </w:trPr>
        <w:tc>
          <w:tcPr>
            <w:tcW w:w="281" w:type="pct"/>
            <w:tcBorders>
              <w:top w:val="nil"/>
              <w:left w:val="single" w:color="auto" w:sz="4" w:space="0"/>
              <w:bottom w:val="single" w:color="auto" w:sz="4" w:space="0"/>
              <w:right w:val="single" w:color="auto" w:sz="4" w:space="0"/>
            </w:tcBorders>
            <w:shd w:val="clear" w:color="auto" w:fill="auto"/>
            <w:vAlign w:val="center"/>
          </w:tcPr>
          <w:p w14:paraId="33CAFA57">
            <w:pPr>
              <w:pStyle w:val="31"/>
              <w:spacing w:line="240" w:lineRule="auto"/>
            </w:pPr>
            <w:r>
              <w:rPr>
                <w:rFonts w:hint="eastAsia"/>
              </w:rPr>
              <w:t>建筑垃圾</w:t>
            </w:r>
          </w:p>
        </w:tc>
        <w:tc>
          <w:tcPr>
            <w:tcW w:w="179" w:type="pct"/>
            <w:tcBorders>
              <w:top w:val="nil"/>
              <w:left w:val="nil"/>
              <w:bottom w:val="single" w:color="auto" w:sz="4" w:space="0"/>
              <w:right w:val="single" w:color="auto" w:sz="4" w:space="0"/>
            </w:tcBorders>
            <w:shd w:val="clear" w:color="auto" w:fill="auto"/>
            <w:vAlign w:val="center"/>
          </w:tcPr>
          <w:p w14:paraId="0CF29DC5">
            <w:pPr>
              <w:pStyle w:val="31"/>
              <w:spacing w:line="240" w:lineRule="auto"/>
            </w:pPr>
            <w:r>
              <w:t>7</w:t>
            </w:r>
          </w:p>
        </w:tc>
        <w:tc>
          <w:tcPr>
            <w:tcW w:w="820" w:type="pct"/>
            <w:tcBorders>
              <w:top w:val="nil"/>
              <w:left w:val="nil"/>
              <w:bottom w:val="single" w:color="auto" w:sz="4" w:space="0"/>
              <w:right w:val="single" w:color="auto" w:sz="4" w:space="0"/>
            </w:tcBorders>
            <w:shd w:val="clear" w:color="auto" w:fill="auto"/>
            <w:vAlign w:val="center"/>
          </w:tcPr>
          <w:p w14:paraId="529B50F4">
            <w:pPr>
              <w:pStyle w:val="31"/>
              <w:spacing w:line="240" w:lineRule="auto"/>
              <w:jc w:val="left"/>
            </w:pPr>
            <w:r>
              <w:rPr>
                <w:rFonts w:hint="eastAsia"/>
              </w:rPr>
              <w:t>加强渣土运输管理</w:t>
            </w:r>
          </w:p>
        </w:tc>
        <w:tc>
          <w:tcPr>
            <w:tcW w:w="2017" w:type="pct"/>
            <w:tcBorders>
              <w:top w:val="nil"/>
              <w:left w:val="nil"/>
              <w:bottom w:val="single" w:color="auto" w:sz="4" w:space="0"/>
              <w:right w:val="single" w:color="auto" w:sz="4" w:space="0"/>
            </w:tcBorders>
            <w:shd w:val="clear" w:color="auto" w:fill="auto"/>
            <w:vAlign w:val="center"/>
          </w:tcPr>
          <w:p w14:paraId="2B7D77EF">
            <w:pPr>
              <w:pStyle w:val="31"/>
              <w:spacing w:line="240" w:lineRule="auto"/>
              <w:jc w:val="left"/>
            </w:pPr>
            <w:r>
              <w:rPr>
                <w:rFonts w:hint="eastAsia"/>
              </w:rPr>
              <w:t>实现渣土运输车辆智慧监管、在线监管，查处不按规定行驶、私拉乱倒等违规行为</w:t>
            </w:r>
          </w:p>
        </w:tc>
        <w:tc>
          <w:tcPr>
            <w:tcW w:w="390" w:type="pct"/>
            <w:tcBorders>
              <w:top w:val="nil"/>
              <w:left w:val="nil"/>
              <w:bottom w:val="single" w:color="auto" w:sz="4" w:space="0"/>
              <w:right w:val="single" w:color="auto" w:sz="4" w:space="0"/>
            </w:tcBorders>
            <w:shd w:val="clear" w:color="auto" w:fill="auto"/>
            <w:vAlign w:val="center"/>
          </w:tcPr>
          <w:p w14:paraId="076ED6C2">
            <w:pPr>
              <w:pStyle w:val="31"/>
              <w:spacing w:line="240" w:lineRule="auto"/>
            </w:pPr>
            <w:r>
              <w:rPr>
                <w:rFonts w:hint="eastAsia"/>
              </w:rPr>
              <w:t>长期</w:t>
            </w:r>
          </w:p>
        </w:tc>
        <w:tc>
          <w:tcPr>
            <w:tcW w:w="1313" w:type="pct"/>
            <w:tcBorders>
              <w:top w:val="nil"/>
              <w:left w:val="nil"/>
              <w:bottom w:val="single" w:color="auto" w:sz="4" w:space="0"/>
              <w:right w:val="single" w:color="auto" w:sz="4" w:space="0"/>
            </w:tcBorders>
            <w:shd w:val="clear" w:color="auto" w:fill="auto"/>
            <w:vAlign w:val="center"/>
          </w:tcPr>
          <w:p w14:paraId="4231762A">
            <w:pPr>
              <w:pStyle w:val="31"/>
              <w:spacing w:line="240" w:lineRule="auto"/>
            </w:pPr>
            <w:r>
              <w:rPr>
                <w:rFonts w:hint="eastAsia"/>
              </w:rPr>
              <w:t>区城市管理局</w:t>
            </w:r>
          </w:p>
        </w:tc>
      </w:tr>
      <w:tr w14:paraId="07F9B8FD">
        <w:tblPrEx>
          <w:tblCellMar>
            <w:top w:w="0" w:type="dxa"/>
            <w:left w:w="108" w:type="dxa"/>
            <w:bottom w:w="0" w:type="dxa"/>
            <w:right w:w="108" w:type="dxa"/>
          </w:tblCellMar>
        </w:tblPrEx>
        <w:trPr>
          <w:trHeight w:val="1134" w:hRule="atLeast"/>
          <w:jc w:val="center"/>
        </w:trPr>
        <w:tc>
          <w:tcPr>
            <w:tcW w:w="281" w:type="pct"/>
            <w:vMerge w:val="restart"/>
            <w:tcBorders>
              <w:top w:val="nil"/>
              <w:left w:val="single" w:color="auto" w:sz="4" w:space="0"/>
              <w:bottom w:val="single" w:color="auto" w:sz="4" w:space="0"/>
              <w:right w:val="single" w:color="auto" w:sz="4" w:space="0"/>
            </w:tcBorders>
            <w:shd w:val="clear" w:color="auto" w:fill="auto"/>
            <w:vAlign w:val="center"/>
          </w:tcPr>
          <w:p w14:paraId="51902F92">
            <w:pPr>
              <w:pStyle w:val="31"/>
              <w:spacing w:line="240" w:lineRule="auto"/>
            </w:pPr>
            <w:r>
              <w:rPr>
                <w:rFonts w:hint="eastAsia"/>
              </w:rPr>
              <w:t>危险废物</w:t>
            </w:r>
          </w:p>
        </w:tc>
        <w:tc>
          <w:tcPr>
            <w:tcW w:w="179" w:type="pct"/>
            <w:tcBorders>
              <w:top w:val="nil"/>
              <w:left w:val="nil"/>
              <w:bottom w:val="single" w:color="auto" w:sz="4" w:space="0"/>
              <w:right w:val="single" w:color="auto" w:sz="4" w:space="0"/>
            </w:tcBorders>
            <w:shd w:val="clear" w:color="auto" w:fill="auto"/>
            <w:vAlign w:val="center"/>
          </w:tcPr>
          <w:p w14:paraId="237DCA22">
            <w:pPr>
              <w:pStyle w:val="31"/>
              <w:spacing w:line="240" w:lineRule="auto"/>
            </w:pPr>
            <w:r>
              <w:t>8</w:t>
            </w:r>
          </w:p>
        </w:tc>
        <w:tc>
          <w:tcPr>
            <w:tcW w:w="820" w:type="pct"/>
            <w:tcBorders>
              <w:top w:val="nil"/>
              <w:left w:val="nil"/>
              <w:bottom w:val="single" w:color="auto" w:sz="4" w:space="0"/>
              <w:right w:val="single" w:color="auto" w:sz="4" w:space="0"/>
            </w:tcBorders>
            <w:shd w:val="clear" w:color="auto" w:fill="auto"/>
            <w:vAlign w:val="center"/>
          </w:tcPr>
          <w:p w14:paraId="2BC048E1">
            <w:pPr>
              <w:pStyle w:val="31"/>
              <w:spacing w:line="240" w:lineRule="auto"/>
              <w:jc w:val="left"/>
            </w:pPr>
            <w:r>
              <w:rPr>
                <w:rFonts w:hint="eastAsia"/>
              </w:rPr>
              <w:t>组织危险废物规范化环境管理评估第三方核查</w:t>
            </w:r>
          </w:p>
        </w:tc>
        <w:tc>
          <w:tcPr>
            <w:tcW w:w="2017" w:type="pct"/>
            <w:tcBorders>
              <w:top w:val="nil"/>
              <w:left w:val="nil"/>
              <w:bottom w:val="single" w:color="auto" w:sz="4" w:space="0"/>
              <w:right w:val="single" w:color="auto" w:sz="4" w:space="0"/>
            </w:tcBorders>
            <w:shd w:val="clear" w:color="auto" w:fill="auto"/>
            <w:vAlign w:val="center"/>
          </w:tcPr>
          <w:p w14:paraId="0AB8A101">
            <w:pPr>
              <w:pStyle w:val="31"/>
              <w:spacing w:line="240" w:lineRule="auto"/>
              <w:jc w:val="left"/>
            </w:pPr>
            <w:r>
              <w:rPr>
                <w:rFonts w:hint="eastAsia"/>
              </w:rPr>
              <w:t>在危险废物规范化环境管理评估领域引进第三方核查，提升监管效率和专业化水平</w:t>
            </w:r>
          </w:p>
        </w:tc>
        <w:tc>
          <w:tcPr>
            <w:tcW w:w="390" w:type="pct"/>
            <w:tcBorders>
              <w:top w:val="nil"/>
              <w:left w:val="nil"/>
              <w:bottom w:val="single" w:color="auto" w:sz="4" w:space="0"/>
              <w:right w:val="single" w:color="auto" w:sz="4" w:space="0"/>
            </w:tcBorders>
            <w:shd w:val="clear" w:color="auto" w:fill="auto"/>
            <w:vAlign w:val="center"/>
          </w:tcPr>
          <w:p w14:paraId="68055EDB">
            <w:pPr>
              <w:pStyle w:val="31"/>
              <w:spacing w:line="240" w:lineRule="auto"/>
            </w:pPr>
            <w:r>
              <w:rPr>
                <w:rFonts w:hint="eastAsia"/>
              </w:rPr>
              <w:t>长期</w:t>
            </w:r>
          </w:p>
        </w:tc>
        <w:tc>
          <w:tcPr>
            <w:tcW w:w="1313" w:type="pct"/>
            <w:tcBorders>
              <w:top w:val="nil"/>
              <w:left w:val="nil"/>
              <w:bottom w:val="single" w:color="auto" w:sz="4" w:space="0"/>
              <w:right w:val="single" w:color="auto" w:sz="4" w:space="0"/>
            </w:tcBorders>
            <w:shd w:val="clear" w:color="auto" w:fill="auto"/>
            <w:vAlign w:val="center"/>
          </w:tcPr>
          <w:p w14:paraId="3114D9F1">
            <w:pPr>
              <w:pStyle w:val="31"/>
              <w:spacing w:line="240" w:lineRule="auto"/>
            </w:pPr>
            <w:r>
              <w:rPr>
                <w:rFonts w:hint="eastAsia"/>
              </w:rPr>
              <w:t>区生态环境分局</w:t>
            </w:r>
          </w:p>
        </w:tc>
      </w:tr>
      <w:tr w14:paraId="5CA4DA86">
        <w:tblPrEx>
          <w:tblCellMar>
            <w:top w:w="0" w:type="dxa"/>
            <w:left w:w="108" w:type="dxa"/>
            <w:bottom w:w="0" w:type="dxa"/>
            <w:right w:w="108" w:type="dxa"/>
          </w:tblCellMar>
        </w:tblPrEx>
        <w:trPr>
          <w:trHeight w:val="1134" w:hRule="atLeast"/>
          <w:jc w:val="center"/>
        </w:trPr>
        <w:tc>
          <w:tcPr>
            <w:tcW w:w="281" w:type="pct"/>
            <w:vMerge w:val="continue"/>
            <w:tcBorders>
              <w:top w:val="nil"/>
              <w:left w:val="single" w:color="auto" w:sz="4" w:space="0"/>
              <w:bottom w:val="single" w:color="auto" w:sz="4" w:space="0"/>
              <w:right w:val="single" w:color="auto" w:sz="4" w:space="0"/>
            </w:tcBorders>
            <w:vAlign w:val="center"/>
          </w:tcPr>
          <w:p w14:paraId="123A6B80">
            <w:pPr>
              <w:pStyle w:val="31"/>
              <w:spacing w:line="240" w:lineRule="auto"/>
            </w:pPr>
          </w:p>
        </w:tc>
        <w:tc>
          <w:tcPr>
            <w:tcW w:w="179" w:type="pct"/>
            <w:tcBorders>
              <w:top w:val="nil"/>
              <w:left w:val="nil"/>
              <w:bottom w:val="single" w:color="auto" w:sz="4" w:space="0"/>
              <w:right w:val="single" w:color="auto" w:sz="4" w:space="0"/>
            </w:tcBorders>
            <w:shd w:val="clear" w:color="auto" w:fill="auto"/>
            <w:vAlign w:val="center"/>
          </w:tcPr>
          <w:p w14:paraId="663AB9B5">
            <w:pPr>
              <w:pStyle w:val="31"/>
              <w:spacing w:line="240" w:lineRule="auto"/>
            </w:pPr>
            <w:r>
              <w:t>9</w:t>
            </w:r>
          </w:p>
        </w:tc>
        <w:tc>
          <w:tcPr>
            <w:tcW w:w="820" w:type="pct"/>
            <w:tcBorders>
              <w:top w:val="nil"/>
              <w:left w:val="nil"/>
              <w:bottom w:val="single" w:color="auto" w:sz="4" w:space="0"/>
              <w:right w:val="single" w:color="auto" w:sz="4" w:space="0"/>
            </w:tcBorders>
            <w:shd w:val="clear" w:color="auto" w:fill="auto"/>
            <w:vAlign w:val="center"/>
          </w:tcPr>
          <w:p w14:paraId="75F33509">
            <w:pPr>
              <w:pStyle w:val="31"/>
              <w:spacing w:line="240" w:lineRule="auto"/>
              <w:jc w:val="left"/>
            </w:pPr>
            <w:r>
              <w:rPr>
                <w:rFonts w:hint="eastAsia"/>
              </w:rPr>
              <w:t>实施医疗废物电子联单监管</w:t>
            </w:r>
          </w:p>
        </w:tc>
        <w:tc>
          <w:tcPr>
            <w:tcW w:w="2017" w:type="pct"/>
            <w:tcBorders>
              <w:top w:val="nil"/>
              <w:left w:val="nil"/>
              <w:bottom w:val="single" w:color="auto" w:sz="4" w:space="0"/>
              <w:right w:val="single" w:color="auto" w:sz="4" w:space="0"/>
            </w:tcBorders>
            <w:shd w:val="clear" w:color="auto" w:fill="auto"/>
            <w:vAlign w:val="center"/>
          </w:tcPr>
          <w:p w14:paraId="0E4683C6">
            <w:pPr>
              <w:pStyle w:val="31"/>
              <w:spacing w:line="240" w:lineRule="auto"/>
              <w:jc w:val="left"/>
            </w:pPr>
            <w:r>
              <w:rPr>
                <w:rFonts w:hint="eastAsia"/>
              </w:rPr>
              <w:t>全面停止执行医疗废物纸质转移联单，通过小程序和皖事通，创新运行电子转移实时联单，提升医疗废物环境监管效率</w:t>
            </w:r>
          </w:p>
        </w:tc>
        <w:tc>
          <w:tcPr>
            <w:tcW w:w="390" w:type="pct"/>
            <w:tcBorders>
              <w:top w:val="nil"/>
              <w:left w:val="nil"/>
              <w:bottom w:val="single" w:color="auto" w:sz="4" w:space="0"/>
              <w:right w:val="single" w:color="auto" w:sz="4" w:space="0"/>
            </w:tcBorders>
            <w:shd w:val="clear" w:color="auto" w:fill="auto"/>
            <w:vAlign w:val="center"/>
          </w:tcPr>
          <w:p w14:paraId="4239ECD1">
            <w:pPr>
              <w:pStyle w:val="31"/>
              <w:spacing w:line="240" w:lineRule="auto"/>
            </w:pPr>
            <w:r>
              <w:rPr>
                <w:rFonts w:hint="eastAsia"/>
              </w:rPr>
              <w:t>2</w:t>
            </w:r>
            <w:r>
              <w:t>022</w:t>
            </w:r>
            <w:r>
              <w:rPr>
                <w:rFonts w:hint="eastAsia"/>
              </w:rPr>
              <w:t>年</w:t>
            </w:r>
          </w:p>
        </w:tc>
        <w:tc>
          <w:tcPr>
            <w:tcW w:w="1313" w:type="pct"/>
            <w:tcBorders>
              <w:top w:val="nil"/>
              <w:left w:val="nil"/>
              <w:bottom w:val="single" w:color="auto" w:sz="4" w:space="0"/>
              <w:right w:val="single" w:color="auto" w:sz="4" w:space="0"/>
            </w:tcBorders>
            <w:shd w:val="clear" w:color="auto" w:fill="auto"/>
            <w:vAlign w:val="center"/>
          </w:tcPr>
          <w:p w14:paraId="433ED602">
            <w:pPr>
              <w:pStyle w:val="31"/>
              <w:spacing w:line="240" w:lineRule="auto"/>
            </w:pPr>
            <w:r>
              <w:rPr>
                <w:rFonts w:hint="eastAsia"/>
              </w:rPr>
              <w:t>区生态环境分局</w:t>
            </w:r>
          </w:p>
        </w:tc>
      </w:tr>
    </w:tbl>
    <w:p w14:paraId="534050E8">
      <w:pPr>
        <w:ind w:firstLine="640" w:firstLineChars="200"/>
        <w:rPr>
          <w:rFonts w:ascii="黑体" w:hAnsi="黑体" w:eastAsia="黑体"/>
          <w:sz w:val="32"/>
          <w:szCs w:val="32"/>
        </w:rPr>
      </w:pPr>
      <w:r>
        <w:rPr>
          <w:rFonts w:ascii="黑体" w:hAnsi="黑体" w:eastAsia="黑体"/>
          <w:sz w:val="32"/>
          <w:szCs w:val="32"/>
        </w:rPr>
        <w:br w:type="page"/>
      </w:r>
    </w:p>
    <w:p w14:paraId="0CCA4DC2">
      <w:pPr>
        <w:ind w:firstLine="640" w:firstLineChars="200"/>
        <w:rPr>
          <w:rFonts w:ascii="Times New Roman" w:hAnsi="Times New Roman" w:eastAsia="黑体"/>
          <w:b/>
          <w:bCs/>
          <w:sz w:val="36"/>
          <w:szCs w:val="36"/>
        </w:rPr>
      </w:pPr>
      <w:r>
        <w:rPr>
          <w:rFonts w:hint="eastAsia" w:ascii="黑体" w:hAnsi="黑体" w:eastAsia="黑体"/>
          <w:sz w:val="32"/>
          <w:szCs w:val="32"/>
        </w:rPr>
        <w:t>附件</w:t>
      </w:r>
      <w:r>
        <w:rPr>
          <w:rFonts w:ascii="黑体" w:hAnsi="黑体" w:eastAsia="黑体"/>
          <w:sz w:val="32"/>
          <w:szCs w:val="32"/>
        </w:rPr>
        <w:t>5</w:t>
      </w:r>
    </w:p>
    <w:p w14:paraId="3E54A621">
      <w:pPr>
        <w:pStyle w:val="27"/>
      </w:pPr>
      <w:bookmarkStart w:id="57" w:name="_Toc155617328"/>
      <w:r>
        <w:rPr>
          <w:rFonts w:hint="eastAsia"/>
        </w:rPr>
        <w:t>“无废城市”重点工程项目建设任务清单</w:t>
      </w:r>
      <w:bookmarkEnd w:id="57"/>
    </w:p>
    <w:tbl>
      <w:tblPr>
        <w:tblStyle w:val="13"/>
        <w:tblW w:w="14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624"/>
        <w:gridCol w:w="3402"/>
        <w:gridCol w:w="5905"/>
        <w:gridCol w:w="1077"/>
        <w:gridCol w:w="1134"/>
        <w:gridCol w:w="1417"/>
      </w:tblGrid>
      <w:tr w14:paraId="7F04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737" w:type="dxa"/>
            <w:vAlign w:val="center"/>
          </w:tcPr>
          <w:p w14:paraId="191DB245">
            <w:pPr>
              <w:pStyle w:val="29"/>
              <w:spacing w:line="240" w:lineRule="auto"/>
            </w:pPr>
            <w:r>
              <w:rPr>
                <w:rFonts w:hint="eastAsia"/>
              </w:rPr>
              <w:t>任务领域</w:t>
            </w:r>
          </w:p>
        </w:tc>
        <w:tc>
          <w:tcPr>
            <w:tcW w:w="624" w:type="dxa"/>
            <w:vAlign w:val="center"/>
          </w:tcPr>
          <w:p w14:paraId="4F1B6D14">
            <w:pPr>
              <w:pStyle w:val="29"/>
              <w:spacing w:line="240" w:lineRule="auto"/>
            </w:pPr>
            <w:r>
              <w:rPr>
                <w:rFonts w:hint="eastAsia"/>
              </w:rPr>
              <w:t>序号</w:t>
            </w:r>
          </w:p>
        </w:tc>
        <w:tc>
          <w:tcPr>
            <w:tcW w:w="3402" w:type="dxa"/>
            <w:vAlign w:val="center"/>
          </w:tcPr>
          <w:p w14:paraId="234CB717">
            <w:pPr>
              <w:pStyle w:val="29"/>
              <w:spacing w:line="240" w:lineRule="auto"/>
            </w:pPr>
            <w:r>
              <w:rPr>
                <w:rFonts w:hint="eastAsia"/>
              </w:rPr>
              <w:t>任务名称</w:t>
            </w:r>
          </w:p>
        </w:tc>
        <w:tc>
          <w:tcPr>
            <w:tcW w:w="5905" w:type="dxa"/>
            <w:vAlign w:val="center"/>
          </w:tcPr>
          <w:p w14:paraId="5118C5C5">
            <w:pPr>
              <w:pStyle w:val="29"/>
              <w:spacing w:line="240" w:lineRule="auto"/>
            </w:pPr>
            <w:r>
              <w:rPr>
                <w:rFonts w:hint="eastAsia"/>
              </w:rPr>
              <w:t>任务内容</w:t>
            </w:r>
          </w:p>
        </w:tc>
        <w:tc>
          <w:tcPr>
            <w:tcW w:w="1077" w:type="dxa"/>
            <w:vAlign w:val="center"/>
          </w:tcPr>
          <w:p w14:paraId="229ABDC8">
            <w:pPr>
              <w:pStyle w:val="29"/>
              <w:spacing w:line="240" w:lineRule="auto"/>
            </w:pPr>
            <w:r>
              <w:rPr>
                <w:rFonts w:hint="eastAsia"/>
              </w:rPr>
              <w:t>投资规模</w:t>
            </w:r>
          </w:p>
          <w:p w14:paraId="3E67FD4B">
            <w:pPr>
              <w:pStyle w:val="29"/>
              <w:spacing w:line="240" w:lineRule="auto"/>
            </w:pPr>
            <w:r>
              <w:rPr>
                <w:rFonts w:hint="eastAsia"/>
              </w:rPr>
              <w:t>（万元）</w:t>
            </w:r>
          </w:p>
        </w:tc>
        <w:tc>
          <w:tcPr>
            <w:tcW w:w="1134" w:type="dxa"/>
            <w:vAlign w:val="center"/>
          </w:tcPr>
          <w:p w14:paraId="366D0136">
            <w:pPr>
              <w:pStyle w:val="29"/>
              <w:spacing w:line="240" w:lineRule="auto"/>
            </w:pPr>
            <w:r>
              <w:rPr>
                <w:rFonts w:hint="eastAsia"/>
              </w:rPr>
              <w:t>完成时限</w:t>
            </w:r>
          </w:p>
        </w:tc>
        <w:tc>
          <w:tcPr>
            <w:tcW w:w="1417" w:type="dxa"/>
            <w:vAlign w:val="center"/>
          </w:tcPr>
          <w:p w14:paraId="0ED43BBA">
            <w:pPr>
              <w:pStyle w:val="29"/>
              <w:spacing w:line="240" w:lineRule="auto"/>
            </w:pPr>
            <w:r>
              <w:rPr>
                <w:rFonts w:hint="eastAsia"/>
              </w:rPr>
              <w:t>责任单位</w:t>
            </w:r>
          </w:p>
        </w:tc>
      </w:tr>
      <w:tr w14:paraId="6606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7" w:type="dxa"/>
            <w:vAlign w:val="center"/>
          </w:tcPr>
          <w:p w14:paraId="40411FD7">
            <w:pPr>
              <w:pStyle w:val="31"/>
              <w:spacing w:line="240" w:lineRule="auto"/>
            </w:pPr>
            <w:r>
              <w:rPr>
                <w:rFonts w:hint="eastAsia"/>
              </w:rPr>
              <w:t>一般工业固废</w:t>
            </w:r>
          </w:p>
        </w:tc>
        <w:tc>
          <w:tcPr>
            <w:tcW w:w="624" w:type="dxa"/>
            <w:vAlign w:val="center"/>
          </w:tcPr>
          <w:p w14:paraId="1D6F479C">
            <w:pPr>
              <w:pStyle w:val="31"/>
              <w:spacing w:line="240" w:lineRule="auto"/>
            </w:pPr>
            <w:r>
              <w:rPr>
                <w:rFonts w:hint="eastAsia"/>
              </w:rPr>
              <w:t>1</w:t>
            </w:r>
          </w:p>
        </w:tc>
        <w:tc>
          <w:tcPr>
            <w:tcW w:w="3402" w:type="dxa"/>
            <w:vAlign w:val="center"/>
          </w:tcPr>
          <w:p w14:paraId="511AF09B">
            <w:pPr>
              <w:pStyle w:val="31"/>
              <w:spacing w:line="240" w:lineRule="auto"/>
              <w:jc w:val="left"/>
            </w:pPr>
            <w:r>
              <w:rPr>
                <w:rFonts w:hint="eastAsia"/>
              </w:rPr>
              <w:t>一般工业固废收集转运中心</w:t>
            </w:r>
          </w:p>
        </w:tc>
        <w:tc>
          <w:tcPr>
            <w:tcW w:w="5905" w:type="dxa"/>
            <w:vAlign w:val="center"/>
          </w:tcPr>
          <w:p w14:paraId="118D4859">
            <w:pPr>
              <w:pStyle w:val="31"/>
              <w:spacing w:line="240" w:lineRule="auto"/>
              <w:jc w:val="left"/>
            </w:pPr>
            <w:r>
              <w:rPr>
                <w:rFonts w:hint="eastAsia"/>
              </w:rPr>
              <w:t>配合市级建设一般工业固废收集转运中心，强化一般工业固废的分类和二次分拣，最大限度回收可资源化一般工业固废，实现固体废物“可用尽用”</w:t>
            </w:r>
          </w:p>
        </w:tc>
        <w:tc>
          <w:tcPr>
            <w:tcW w:w="1077" w:type="dxa"/>
            <w:vAlign w:val="center"/>
          </w:tcPr>
          <w:p w14:paraId="741D303B">
            <w:pPr>
              <w:pStyle w:val="31"/>
              <w:spacing w:line="240" w:lineRule="auto"/>
            </w:pPr>
            <w:r>
              <w:rPr>
                <w:rFonts w:hint="eastAsia"/>
              </w:rPr>
              <w:t>/</w:t>
            </w:r>
          </w:p>
        </w:tc>
        <w:tc>
          <w:tcPr>
            <w:tcW w:w="1134" w:type="dxa"/>
            <w:vAlign w:val="center"/>
          </w:tcPr>
          <w:p w14:paraId="1ED04697">
            <w:pPr>
              <w:pStyle w:val="31"/>
              <w:spacing w:line="240" w:lineRule="auto"/>
            </w:pPr>
            <w:r>
              <w:rPr>
                <w:rFonts w:hint="eastAsia"/>
              </w:rPr>
              <w:t>2025年</w:t>
            </w:r>
          </w:p>
        </w:tc>
        <w:tc>
          <w:tcPr>
            <w:tcW w:w="1417" w:type="dxa"/>
            <w:vAlign w:val="center"/>
          </w:tcPr>
          <w:p w14:paraId="3730CBC6">
            <w:pPr>
              <w:pStyle w:val="31"/>
              <w:spacing w:line="240" w:lineRule="auto"/>
            </w:pPr>
            <w:r>
              <w:rPr>
                <w:rFonts w:hint="eastAsia"/>
              </w:rPr>
              <w:t>区生态环境分局</w:t>
            </w:r>
          </w:p>
        </w:tc>
      </w:tr>
      <w:tr w14:paraId="0D2C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7" w:type="dxa"/>
            <w:vMerge w:val="restart"/>
            <w:noWrap/>
            <w:vAlign w:val="center"/>
          </w:tcPr>
          <w:p w14:paraId="0CB9FC38">
            <w:pPr>
              <w:pStyle w:val="31"/>
              <w:spacing w:line="240" w:lineRule="auto"/>
            </w:pPr>
            <w:r>
              <w:rPr>
                <w:rFonts w:hint="eastAsia"/>
              </w:rPr>
              <w:t>生活源固废</w:t>
            </w:r>
          </w:p>
        </w:tc>
        <w:tc>
          <w:tcPr>
            <w:tcW w:w="624" w:type="dxa"/>
            <w:vAlign w:val="center"/>
          </w:tcPr>
          <w:p w14:paraId="560D9C40">
            <w:pPr>
              <w:pStyle w:val="29"/>
              <w:spacing w:line="240" w:lineRule="auto"/>
            </w:pPr>
            <w:r>
              <w:rPr>
                <w:rFonts w:hint="eastAsia"/>
              </w:rPr>
              <w:t>2</w:t>
            </w:r>
          </w:p>
        </w:tc>
        <w:tc>
          <w:tcPr>
            <w:tcW w:w="3402" w:type="dxa"/>
            <w:vAlign w:val="center"/>
          </w:tcPr>
          <w:p w14:paraId="63302E05">
            <w:pPr>
              <w:pStyle w:val="31"/>
              <w:spacing w:line="240" w:lineRule="auto"/>
              <w:jc w:val="left"/>
            </w:pPr>
            <w:r>
              <w:rPr>
                <w:rFonts w:hint="eastAsia"/>
              </w:rPr>
              <w:t>生活垃圾分类集中投放点建设项目</w:t>
            </w:r>
          </w:p>
        </w:tc>
        <w:tc>
          <w:tcPr>
            <w:tcW w:w="5905" w:type="dxa"/>
            <w:vAlign w:val="center"/>
          </w:tcPr>
          <w:p w14:paraId="4A626FCD">
            <w:pPr>
              <w:pStyle w:val="31"/>
              <w:spacing w:line="240" w:lineRule="auto"/>
              <w:jc w:val="left"/>
            </w:pPr>
            <w:r>
              <w:rPr>
                <w:rFonts w:hint="eastAsia"/>
              </w:rPr>
              <w:t>建设</w:t>
            </w:r>
            <w:r>
              <w:t>963</w:t>
            </w:r>
            <w:r>
              <w:rPr>
                <w:rFonts w:hint="eastAsia"/>
              </w:rPr>
              <w:t>个生活垃圾分类集中投放点，实现标准化运行</w:t>
            </w:r>
          </w:p>
        </w:tc>
        <w:tc>
          <w:tcPr>
            <w:tcW w:w="1077" w:type="dxa"/>
            <w:vAlign w:val="center"/>
          </w:tcPr>
          <w:p w14:paraId="3D67DA39">
            <w:pPr>
              <w:pStyle w:val="31"/>
              <w:spacing w:line="240" w:lineRule="auto"/>
            </w:pPr>
            <w:r>
              <w:rPr>
                <w:rFonts w:hint="eastAsia"/>
              </w:rPr>
              <w:t>/</w:t>
            </w:r>
          </w:p>
        </w:tc>
        <w:tc>
          <w:tcPr>
            <w:tcW w:w="1134" w:type="dxa"/>
            <w:vAlign w:val="center"/>
          </w:tcPr>
          <w:p w14:paraId="542B92E0">
            <w:pPr>
              <w:pStyle w:val="31"/>
              <w:spacing w:line="240" w:lineRule="auto"/>
            </w:pPr>
            <w:r>
              <w:rPr>
                <w:rFonts w:hint="eastAsia"/>
              </w:rPr>
              <w:t>2</w:t>
            </w:r>
            <w:r>
              <w:t>023</w:t>
            </w:r>
            <w:r>
              <w:rPr>
                <w:rFonts w:hint="eastAsia"/>
              </w:rPr>
              <w:t>年</w:t>
            </w:r>
          </w:p>
        </w:tc>
        <w:tc>
          <w:tcPr>
            <w:tcW w:w="1417" w:type="dxa"/>
            <w:vAlign w:val="center"/>
          </w:tcPr>
          <w:p w14:paraId="26AE70DF">
            <w:pPr>
              <w:pStyle w:val="31"/>
              <w:spacing w:line="240" w:lineRule="auto"/>
            </w:pPr>
            <w:r>
              <w:rPr>
                <w:rFonts w:hint="eastAsia"/>
              </w:rPr>
              <w:t>区城市管理局</w:t>
            </w:r>
          </w:p>
        </w:tc>
      </w:tr>
      <w:tr w14:paraId="59B6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7" w:type="dxa"/>
            <w:vMerge w:val="continue"/>
            <w:noWrap/>
            <w:vAlign w:val="center"/>
          </w:tcPr>
          <w:p w14:paraId="59FA1F12">
            <w:pPr>
              <w:pStyle w:val="31"/>
              <w:spacing w:line="240" w:lineRule="auto"/>
            </w:pPr>
          </w:p>
        </w:tc>
        <w:tc>
          <w:tcPr>
            <w:tcW w:w="624" w:type="dxa"/>
            <w:vAlign w:val="center"/>
          </w:tcPr>
          <w:p w14:paraId="3BB30E3D">
            <w:pPr>
              <w:pStyle w:val="29"/>
              <w:spacing w:line="240" w:lineRule="auto"/>
            </w:pPr>
            <w:r>
              <w:t>3</w:t>
            </w:r>
          </w:p>
        </w:tc>
        <w:tc>
          <w:tcPr>
            <w:tcW w:w="3402" w:type="dxa"/>
            <w:vAlign w:val="center"/>
          </w:tcPr>
          <w:p w14:paraId="6B86D944">
            <w:pPr>
              <w:pStyle w:val="31"/>
              <w:spacing w:line="240" w:lineRule="auto"/>
              <w:jc w:val="left"/>
            </w:pPr>
            <w:r>
              <w:rPr>
                <w:rFonts w:hint="eastAsia"/>
              </w:rPr>
              <w:t>瑶海区绿色循环综合体项目</w:t>
            </w:r>
          </w:p>
        </w:tc>
        <w:tc>
          <w:tcPr>
            <w:tcW w:w="5905" w:type="dxa"/>
            <w:vAlign w:val="center"/>
          </w:tcPr>
          <w:p w14:paraId="2F49FCD7">
            <w:pPr>
              <w:pStyle w:val="31"/>
              <w:spacing w:line="240" w:lineRule="auto"/>
              <w:jc w:val="left"/>
            </w:pPr>
            <w:r>
              <w:rPr>
                <w:rFonts w:hint="eastAsia"/>
              </w:rPr>
              <w:t>建设生活垃圾转运站、渗滤液处理系统等，远期生活垃圾转运规模1800吨/日，大件垃圾处置规模4吨/小时；近期生活垃圾转运规模4</w:t>
            </w:r>
            <w:r>
              <w:t>50</w:t>
            </w:r>
            <w:r>
              <w:rPr>
                <w:rFonts w:hint="eastAsia"/>
              </w:rPr>
              <w:t>吨/日，大件垃圾处置规模4吨/小时</w:t>
            </w:r>
          </w:p>
        </w:tc>
        <w:tc>
          <w:tcPr>
            <w:tcW w:w="1077" w:type="dxa"/>
            <w:vAlign w:val="center"/>
          </w:tcPr>
          <w:p w14:paraId="447596C0">
            <w:pPr>
              <w:pStyle w:val="31"/>
              <w:spacing w:line="240" w:lineRule="auto"/>
            </w:pPr>
            <w:r>
              <w:t>26000</w:t>
            </w:r>
          </w:p>
        </w:tc>
        <w:tc>
          <w:tcPr>
            <w:tcW w:w="1134" w:type="dxa"/>
            <w:vAlign w:val="center"/>
          </w:tcPr>
          <w:p w14:paraId="6E252B00">
            <w:pPr>
              <w:pStyle w:val="31"/>
              <w:spacing w:line="240" w:lineRule="auto"/>
            </w:pPr>
            <w:r>
              <w:rPr>
                <w:rFonts w:hint="eastAsia"/>
              </w:rPr>
              <w:t>2025年</w:t>
            </w:r>
          </w:p>
        </w:tc>
        <w:tc>
          <w:tcPr>
            <w:tcW w:w="1417" w:type="dxa"/>
            <w:vAlign w:val="center"/>
          </w:tcPr>
          <w:p w14:paraId="22EF8461">
            <w:pPr>
              <w:pStyle w:val="31"/>
              <w:spacing w:line="240" w:lineRule="auto"/>
            </w:pPr>
            <w:r>
              <w:rPr>
                <w:rFonts w:hint="eastAsia"/>
              </w:rPr>
              <w:t>区城市管理局</w:t>
            </w:r>
          </w:p>
        </w:tc>
      </w:tr>
      <w:tr w14:paraId="52EC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7" w:type="dxa"/>
            <w:vMerge w:val="continue"/>
            <w:noWrap/>
            <w:vAlign w:val="center"/>
          </w:tcPr>
          <w:p w14:paraId="19D566B0">
            <w:pPr>
              <w:pStyle w:val="31"/>
              <w:spacing w:line="240" w:lineRule="auto"/>
            </w:pPr>
          </w:p>
        </w:tc>
        <w:tc>
          <w:tcPr>
            <w:tcW w:w="624" w:type="dxa"/>
            <w:vAlign w:val="center"/>
          </w:tcPr>
          <w:p w14:paraId="2AD1399E">
            <w:pPr>
              <w:pStyle w:val="29"/>
              <w:spacing w:line="240" w:lineRule="auto"/>
            </w:pPr>
            <w:r>
              <w:t>4</w:t>
            </w:r>
          </w:p>
        </w:tc>
        <w:tc>
          <w:tcPr>
            <w:tcW w:w="3402" w:type="dxa"/>
            <w:vAlign w:val="center"/>
          </w:tcPr>
          <w:p w14:paraId="379C2769">
            <w:pPr>
              <w:pStyle w:val="31"/>
              <w:spacing w:line="240" w:lineRule="auto"/>
              <w:jc w:val="left"/>
            </w:pPr>
            <w:r>
              <w:rPr>
                <w:rFonts w:hint="eastAsia"/>
              </w:rPr>
              <w:t>再生资源回收站点改造工程</w:t>
            </w:r>
          </w:p>
        </w:tc>
        <w:tc>
          <w:tcPr>
            <w:tcW w:w="5905" w:type="dxa"/>
            <w:vAlign w:val="center"/>
          </w:tcPr>
          <w:p w14:paraId="7CA0A5C8">
            <w:pPr>
              <w:pStyle w:val="31"/>
              <w:spacing w:line="240" w:lineRule="auto"/>
              <w:jc w:val="left"/>
            </w:pPr>
            <w:r>
              <w:rPr>
                <w:rFonts w:hint="eastAsia"/>
              </w:rPr>
              <w:t>完成市级下达的</w:t>
            </w:r>
            <w:r>
              <w:t>再生资源回收站点升级改造任务</w:t>
            </w:r>
          </w:p>
        </w:tc>
        <w:tc>
          <w:tcPr>
            <w:tcW w:w="1077" w:type="dxa"/>
            <w:vAlign w:val="center"/>
          </w:tcPr>
          <w:p w14:paraId="3A04E42A">
            <w:pPr>
              <w:pStyle w:val="31"/>
              <w:spacing w:line="240" w:lineRule="auto"/>
            </w:pPr>
            <w:r>
              <w:rPr>
                <w:rFonts w:hint="eastAsia"/>
              </w:rPr>
              <w:t>/</w:t>
            </w:r>
          </w:p>
        </w:tc>
        <w:tc>
          <w:tcPr>
            <w:tcW w:w="1134" w:type="dxa"/>
            <w:vAlign w:val="center"/>
          </w:tcPr>
          <w:p w14:paraId="68B1F87F">
            <w:pPr>
              <w:pStyle w:val="31"/>
              <w:spacing w:line="240" w:lineRule="auto"/>
            </w:pPr>
            <w:r>
              <w:rPr>
                <w:rFonts w:hint="eastAsia"/>
              </w:rPr>
              <w:t>2025年</w:t>
            </w:r>
          </w:p>
        </w:tc>
        <w:tc>
          <w:tcPr>
            <w:tcW w:w="1417" w:type="dxa"/>
            <w:vAlign w:val="center"/>
          </w:tcPr>
          <w:p w14:paraId="0E9706CB">
            <w:pPr>
              <w:pStyle w:val="31"/>
              <w:spacing w:line="240" w:lineRule="auto"/>
            </w:pPr>
            <w:r>
              <w:rPr>
                <w:rFonts w:hint="eastAsia"/>
              </w:rPr>
              <w:t>区商务局</w:t>
            </w:r>
          </w:p>
        </w:tc>
      </w:tr>
      <w:tr w14:paraId="1D69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7" w:type="dxa"/>
            <w:noWrap/>
            <w:vAlign w:val="center"/>
          </w:tcPr>
          <w:p w14:paraId="2C11DECA">
            <w:pPr>
              <w:pStyle w:val="31"/>
              <w:spacing w:line="240" w:lineRule="auto"/>
            </w:pPr>
            <w:r>
              <w:rPr>
                <w:rFonts w:hint="eastAsia"/>
              </w:rPr>
              <w:t>建筑垃圾</w:t>
            </w:r>
          </w:p>
        </w:tc>
        <w:tc>
          <w:tcPr>
            <w:tcW w:w="624" w:type="dxa"/>
            <w:vAlign w:val="center"/>
          </w:tcPr>
          <w:p w14:paraId="449CA7C6">
            <w:pPr>
              <w:pStyle w:val="29"/>
              <w:spacing w:line="240" w:lineRule="auto"/>
            </w:pPr>
            <w:r>
              <w:t>5</w:t>
            </w:r>
          </w:p>
        </w:tc>
        <w:tc>
          <w:tcPr>
            <w:tcW w:w="3402" w:type="dxa"/>
            <w:vAlign w:val="center"/>
          </w:tcPr>
          <w:p w14:paraId="48DD4034">
            <w:pPr>
              <w:pStyle w:val="31"/>
              <w:spacing w:line="240" w:lineRule="auto"/>
              <w:jc w:val="left"/>
            </w:pPr>
            <w:r>
              <w:rPr>
                <w:rFonts w:hint="eastAsia"/>
              </w:rPr>
              <w:t>装饰与建筑垃圾处置技术改造项目</w:t>
            </w:r>
          </w:p>
        </w:tc>
        <w:tc>
          <w:tcPr>
            <w:tcW w:w="5905" w:type="dxa"/>
            <w:vAlign w:val="center"/>
          </w:tcPr>
          <w:p w14:paraId="6AF4EC98">
            <w:pPr>
              <w:pStyle w:val="31"/>
              <w:spacing w:line="240" w:lineRule="auto"/>
              <w:jc w:val="left"/>
            </w:pPr>
            <w:r>
              <w:rPr>
                <w:rFonts w:hint="eastAsia"/>
              </w:rPr>
              <w:t>年处理装修与建筑垃圾规模3</w:t>
            </w:r>
            <w:r>
              <w:t>0</w:t>
            </w:r>
            <w:r>
              <w:rPr>
                <w:rFonts w:hint="eastAsia"/>
              </w:rPr>
              <w:t>万吨，年产再生骨料规模2</w:t>
            </w:r>
            <w:r>
              <w:t>5</w:t>
            </w:r>
            <w:r>
              <w:rPr>
                <w:rFonts w:hint="eastAsia"/>
              </w:rPr>
              <w:t>万吨</w:t>
            </w:r>
          </w:p>
        </w:tc>
        <w:tc>
          <w:tcPr>
            <w:tcW w:w="1077" w:type="dxa"/>
            <w:vAlign w:val="center"/>
          </w:tcPr>
          <w:p w14:paraId="51257E07">
            <w:pPr>
              <w:pStyle w:val="31"/>
              <w:spacing w:line="240" w:lineRule="auto"/>
            </w:pPr>
            <w:r>
              <w:rPr>
                <w:rFonts w:hint="eastAsia"/>
              </w:rPr>
              <w:t>7</w:t>
            </w:r>
            <w:r>
              <w:t>00</w:t>
            </w:r>
          </w:p>
        </w:tc>
        <w:tc>
          <w:tcPr>
            <w:tcW w:w="1134" w:type="dxa"/>
            <w:vAlign w:val="center"/>
          </w:tcPr>
          <w:p w14:paraId="2660A14B">
            <w:pPr>
              <w:pStyle w:val="31"/>
              <w:spacing w:line="240" w:lineRule="auto"/>
            </w:pPr>
            <w:r>
              <w:rPr>
                <w:rFonts w:hint="eastAsia"/>
              </w:rPr>
              <w:t>2</w:t>
            </w:r>
            <w:r>
              <w:t>022</w:t>
            </w:r>
            <w:r>
              <w:rPr>
                <w:rFonts w:hint="eastAsia"/>
              </w:rPr>
              <w:t>年</w:t>
            </w:r>
          </w:p>
        </w:tc>
        <w:tc>
          <w:tcPr>
            <w:tcW w:w="1417" w:type="dxa"/>
            <w:vAlign w:val="center"/>
          </w:tcPr>
          <w:p w14:paraId="64189069">
            <w:pPr>
              <w:pStyle w:val="31"/>
              <w:spacing w:line="240" w:lineRule="auto"/>
            </w:pPr>
            <w:r>
              <w:rPr>
                <w:rFonts w:hint="eastAsia"/>
              </w:rPr>
              <w:t>区城市管理局</w:t>
            </w:r>
          </w:p>
        </w:tc>
      </w:tr>
      <w:tr w14:paraId="64E0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7" w:type="dxa"/>
            <w:noWrap/>
            <w:vAlign w:val="center"/>
          </w:tcPr>
          <w:p w14:paraId="7265C05C">
            <w:pPr>
              <w:pStyle w:val="31"/>
              <w:spacing w:line="240" w:lineRule="auto"/>
            </w:pPr>
            <w:r>
              <w:rPr>
                <w:rFonts w:hint="eastAsia"/>
              </w:rPr>
              <w:t>污染土壤</w:t>
            </w:r>
          </w:p>
        </w:tc>
        <w:tc>
          <w:tcPr>
            <w:tcW w:w="624" w:type="dxa"/>
            <w:vAlign w:val="center"/>
          </w:tcPr>
          <w:p w14:paraId="44916E5A">
            <w:pPr>
              <w:pStyle w:val="29"/>
              <w:spacing w:line="240" w:lineRule="auto"/>
            </w:pPr>
            <w:r>
              <w:t>6</w:t>
            </w:r>
          </w:p>
        </w:tc>
        <w:tc>
          <w:tcPr>
            <w:tcW w:w="3402" w:type="dxa"/>
            <w:vAlign w:val="center"/>
          </w:tcPr>
          <w:p w14:paraId="1A433FF3">
            <w:pPr>
              <w:pStyle w:val="31"/>
              <w:spacing w:line="240" w:lineRule="auto"/>
              <w:jc w:val="left"/>
            </w:pPr>
            <w:r>
              <w:rPr>
                <w:rFonts w:hint="eastAsia"/>
              </w:rPr>
              <w:t>马合钢、氯碱化工、老合钢地块污染治理</w:t>
            </w:r>
          </w:p>
        </w:tc>
        <w:tc>
          <w:tcPr>
            <w:tcW w:w="5905" w:type="dxa"/>
            <w:vAlign w:val="center"/>
          </w:tcPr>
          <w:p w14:paraId="20F90B2C">
            <w:pPr>
              <w:pStyle w:val="31"/>
              <w:spacing w:line="240" w:lineRule="auto"/>
              <w:jc w:val="left"/>
            </w:pPr>
            <w:r>
              <w:rPr>
                <w:rFonts w:hint="eastAsia"/>
              </w:rPr>
              <w:t>总占地面积约</w:t>
            </w:r>
            <w:r>
              <w:t>5202亩，调查结果建议</w:t>
            </w:r>
            <w:r>
              <w:rPr>
                <w:rFonts w:hint="eastAsia"/>
              </w:rPr>
              <w:t>马合钢地块</w:t>
            </w:r>
            <w:r>
              <w:t>修复土方量约为203万</w:t>
            </w:r>
            <w:r>
              <w:rPr>
                <w:rFonts w:hint="eastAsia"/>
              </w:rPr>
              <w:t>立方米，氯碱化工地块</w:t>
            </w:r>
            <w:r>
              <w:t>修复土方量约为43万</w:t>
            </w:r>
            <w:r>
              <w:rPr>
                <w:rFonts w:hint="eastAsia"/>
              </w:rPr>
              <w:t>立方米，部分污染土壤作为固体废物利用水泥窑协同处置，确保污染土壤安全处置</w:t>
            </w:r>
          </w:p>
        </w:tc>
        <w:tc>
          <w:tcPr>
            <w:tcW w:w="1077" w:type="dxa"/>
            <w:vAlign w:val="center"/>
          </w:tcPr>
          <w:p w14:paraId="0D2E4BD0">
            <w:pPr>
              <w:pStyle w:val="31"/>
              <w:spacing w:line="240" w:lineRule="auto"/>
            </w:pPr>
            <w:r>
              <w:rPr>
                <w:rFonts w:hint="eastAsia"/>
              </w:rPr>
              <w:t>3</w:t>
            </w:r>
            <w:r>
              <w:t>31100</w:t>
            </w:r>
          </w:p>
        </w:tc>
        <w:tc>
          <w:tcPr>
            <w:tcW w:w="1134" w:type="dxa"/>
            <w:vAlign w:val="center"/>
          </w:tcPr>
          <w:p w14:paraId="441F2036">
            <w:pPr>
              <w:pStyle w:val="31"/>
              <w:spacing w:line="240" w:lineRule="auto"/>
            </w:pPr>
            <w:r>
              <w:rPr>
                <w:rFonts w:hint="eastAsia"/>
              </w:rPr>
              <w:t>长期</w:t>
            </w:r>
          </w:p>
        </w:tc>
        <w:tc>
          <w:tcPr>
            <w:tcW w:w="1417" w:type="dxa"/>
            <w:vAlign w:val="center"/>
          </w:tcPr>
          <w:p w14:paraId="7923938D">
            <w:pPr>
              <w:pStyle w:val="31"/>
              <w:spacing w:line="240" w:lineRule="auto"/>
            </w:pPr>
            <w:r>
              <w:t>合肥东部新中心建设管理办公室</w:t>
            </w:r>
          </w:p>
        </w:tc>
      </w:tr>
      <w:tr w14:paraId="57F7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7" w:type="dxa"/>
            <w:vMerge w:val="restart"/>
            <w:noWrap/>
            <w:vAlign w:val="center"/>
          </w:tcPr>
          <w:p w14:paraId="2CBBE92D">
            <w:pPr>
              <w:pStyle w:val="31"/>
              <w:spacing w:line="240" w:lineRule="auto"/>
            </w:pPr>
            <w:r>
              <w:rPr>
                <w:rFonts w:hint="eastAsia"/>
              </w:rPr>
              <w:t>保障体系</w:t>
            </w:r>
          </w:p>
        </w:tc>
        <w:tc>
          <w:tcPr>
            <w:tcW w:w="624" w:type="dxa"/>
            <w:vAlign w:val="center"/>
          </w:tcPr>
          <w:p w14:paraId="7A416FD6">
            <w:pPr>
              <w:pStyle w:val="29"/>
              <w:spacing w:line="240" w:lineRule="auto"/>
            </w:pPr>
            <w:r>
              <w:t>7</w:t>
            </w:r>
          </w:p>
        </w:tc>
        <w:tc>
          <w:tcPr>
            <w:tcW w:w="3402" w:type="dxa"/>
            <w:vAlign w:val="center"/>
          </w:tcPr>
          <w:p w14:paraId="3FED3B04">
            <w:pPr>
              <w:pStyle w:val="31"/>
              <w:spacing w:line="240" w:lineRule="auto"/>
              <w:jc w:val="left"/>
            </w:pPr>
            <w:r>
              <w:rPr>
                <w:rFonts w:hint="eastAsia"/>
              </w:rPr>
              <w:t>“无废细胞”创建项目</w:t>
            </w:r>
          </w:p>
        </w:tc>
        <w:tc>
          <w:tcPr>
            <w:tcW w:w="5905" w:type="dxa"/>
            <w:vAlign w:val="center"/>
          </w:tcPr>
          <w:p w14:paraId="0AFDCFDD">
            <w:pPr>
              <w:pStyle w:val="31"/>
              <w:spacing w:line="240" w:lineRule="auto"/>
              <w:jc w:val="left"/>
            </w:pPr>
            <w:r>
              <w:rPr>
                <w:rFonts w:hint="eastAsia"/>
              </w:rPr>
              <w:t>开展各类“无废细胞”创建活动，到</w:t>
            </w:r>
            <w:r>
              <w:t>2025年底，</w:t>
            </w:r>
            <w:r>
              <w:rPr>
                <w:rFonts w:hint="eastAsia"/>
              </w:rPr>
              <w:t>完成1</w:t>
            </w:r>
            <w:r>
              <w:t>3</w:t>
            </w:r>
            <w:r>
              <w:rPr>
                <w:rFonts w:hint="eastAsia"/>
              </w:rPr>
              <w:t>个“</w:t>
            </w:r>
            <w:r>
              <w:t>无废细</w:t>
            </w:r>
            <w:r>
              <w:rPr>
                <w:rFonts w:hint="eastAsia"/>
              </w:rPr>
              <w:t>胞”建设任务</w:t>
            </w:r>
          </w:p>
        </w:tc>
        <w:tc>
          <w:tcPr>
            <w:tcW w:w="1077" w:type="dxa"/>
            <w:vAlign w:val="center"/>
          </w:tcPr>
          <w:p w14:paraId="461C08BB">
            <w:pPr>
              <w:pStyle w:val="31"/>
              <w:spacing w:line="240" w:lineRule="auto"/>
            </w:pPr>
            <w:r>
              <w:rPr>
                <w:rFonts w:hint="eastAsia"/>
              </w:rPr>
              <w:t>/</w:t>
            </w:r>
          </w:p>
        </w:tc>
        <w:tc>
          <w:tcPr>
            <w:tcW w:w="1134" w:type="dxa"/>
            <w:vAlign w:val="center"/>
          </w:tcPr>
          <w:p w14:paraId="3C87D7A8">
            <w:pPr>
              <w:pStyle w:val="31"/>
              <w:spacing w:line="240" w:lineRule="auto"/>
            </w:pPr>
            <w:r>
              <w:rPr>
                <w:rFonts w:hint="eastAsia"/>
              </w:rPr>
              <w:t>2</w:t>
            </w:r>
            <w:r>
              <w:t>025</w:t>
            </w:r>
            <w:r>
              <w:rPr>
                <w:rFonts w:hint="eastAsia"/>
              </w:rPr>
              <w:t>年</w:t>
            </w:r>
          </w:p>
        </w:tc>
        <w:tc>
          <w:tcPr>
            <w:tcW w:w="1417" w:type="dxa"/>
            <w:vAlign w:val="center"/>
          </w:tcPr>
          <w:p w14:paraId="42692D2F">
            <w:pPr>
              <w:pStyle w:val="31"/>
              <w:spacing w:line="240" w:lineRule="auto"/>
            </w:pPr>
            <w:r>
              <w:rPr>
                <w:rFonts w:hint="eastAsia"/>
              </w:rPr>
              <w:t>各相关部门</w:t>
            </w:r>
          </w:p>
        </w:tc>
      </w:tr>
      <w:tr w14:paraId="07E9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37" w:type="dxa"/>
            <w:vMerge w:val="continue"/>
            <w:noWrap/>
            <w:vAlign w:val="center"/>
          </w:tcPr>
          <w:p w14:paraId="77E0C61E">
            <w:pPr>
              <w:pStyle w:val="31"/>
              <w:spacing w:line="240" w:lineRule="auto"/>
            </w:pPr>
          </w:p>
        </w:tc>
        <w:tc>
          <w:tcPr>
            <w:tcW w:w="624" w:type="dxa"/>
            <w:vAlign w:val="center"/>
          </w:tcPr>
          <w:p w14:paraId="69DAF245">
            <w:pPr>
              <w:pStyle w:val="29"/>
              <w:spacing w:line="240" w:lineRule="auto"/>
            </w:pPr>
            <w:r>
              <w:t>8</w:t>
            </w:r>
          </w:p>
        </w:tc>
        <w:tc>
          <w:tcPr>
            <w:tcW w:w="3402" w:type="dxa"/>
            <w:vAlign w:val="center"/>
          </w:tcPr>
          <w:p w14:paraId="051D5CB2">
            <w:pPr>
              <w:pStyle w:val="31"/>
              <w:spacing w:line="240" w:lineRule="auto"/>
              <w:jc w:val="left"/>
            </w:pPr>
            <w:r>
              <w:rPr>
                <w:rFonts w:hint="eastAsia"/>
              </w:rPr>
              <w:t>配合市级完成“数智固废”信息化管理系统建设项目</w:t>
            </w:r>
          </w:p>
        </w:tc>
        <w:tc>
          <w:tcPr>
            <w:tcW w:w="5905" w:type="dxa"/>
            <w:vAlign w:val="center"/>
          </w:tcPr>
          <w:p w14:paraId="5279CC70">
            <w:pPr>
              <w:pStyle w:val="31"/>
              <w:spacing w:line="240" w:lineRule="auto"/>
              <w:jc w:val="left"/>
            </w:pPr>
            <w:r>
              <w:rPr>
                <w:rFonts w:hint="eastAsia"/>
              </w:rPr>
              <w:t>配合市级整合各部门信息化管理基础，配合市级建设“</w:t>
            </w:r>
            <w:r>
              <w:t>数智固废</w:t>
            </w:r>
            <w:r>
              <w:rPr>
                <w:rFonts w:hint="eastAsia"/>
              </w:rPr>
              <w:t>”</w:t>
            </w:r>
            <w:r>
              <w:t>信息化管理系统</w:t>
            </w:r>
            <w:r>
              <w:rPr>
                <w:rFonts w:hint="eastAsia"/>
              </w:rPr>
              <w:t>，</w:t>
            </w:r>
            <w:r>
              <w:t>推动工业源、农业源、生活源等各类固体废物纳入系统</w:t>
            </w:r>
          </w:p>
        </w:tc>
        <w:tc>
          <w:tcPr>
            <w:tcW w:w="1077" w:type="dxa"/>
            <w:vAlign w:val="center"/>
          </w:tcPr>
          <w:p w14:paraId="25A4D23C">
            <w:pPr>
              <w:pStyle w:val="31"/>
              <w:spacing w:line="240" w:lineRule="auto"/>
            </w:pPr>
            <w:r>
              <w:t>/</w:t>
            </w:r>
          </w:p>
        </w:tc>
        <w:tc>
          <w:tcPr>
            <w:tcW w:w="1134" w:type="dxa"/>
            <w:vAlign w:val="center"/>
          </w:tcPr>
          <w:p w14:paraId="3F2210B4">
            <w:pPr>
              <w:pStyle w:val="31"/>
              <w:spacing w:line="240" w:lineRule="auto"/>
            </w:pPr>
            <w:r>
              <w:t>2025</w:t>
            </w:r>
            <w:r>
              <w:rPr>
                <w:rFonts w:hint="eastAsia"/>
              </w:rPr>
              <w:t>年</w:t>
            </w:r>
          </w:p>
        </w:tc>
        <w:tc>
          <w:tcPr>
            <w:tcW w:w="1417" w:type="dxa"/>
            <w:vAlign w:val="center"/>
          </w:tcPr>
          <w:p w14:paraId="18E7991E">
            <w:pPr>
              <w:pStyle w:val="31"/>
              <w:spacing w:line="240" w:lineRule="auto"/>
            </w:pPr>
            <w:r>
              <w:rPr>
                <w:rFonts w:hint="eastAsia"/>
              </w:rPr>
              <w:t>区生态环境分局、区数据资源局等</w:t>
            </w:r>
          </w:p>
        </w:tc>
      </w:tr>
    </w:tbl>
    <w:p w14:paraId="07E39FA4">
      <w:pPr>
        <w:rPr>
          <w:rFonts w:ascii="Times New Roman" w:hAnsi="Times New Roman" w:eastAsia="黑体"/>
          <w:b/>
          <w:bCs/>
          <w:sz w:val="36"/>
          <w:szCs w:val="36"/>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DF833">
    <w:pPr>
      <w:pStyle w:val="7"/>
      <w:jc w:val="center"/>
    </w:pPr>
  </w:p>
  <w:p w14:paraId="392D75F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2215595"/>
      <w:docPartObj>
        <w:docPartGallery w:val="autotext"/>
      </w:docPartObj>
    </w:sdtPr>
    <w:sdtEndPr>
      <w:rPr>
        <w:rFonts w:ascii="Times New Roman" w:hAnsi="Times New Roman"/>
      </w:rPr>
    </w:sdtEndPr>
    <w:sdtContent>
      <w:p w14:paraId="19F00355">
        <w:pPr>
          <w:pStyle w:val="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14:paraId="41B69612">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45E5D">
    <w:pPr>
      <w:pStyle w:val="7"/>
      <w:jc w:val="center"/>
    </w:pPr>
  </w:p>
  <w:p w14:paraId="3604E955">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8113955"/>
      <w:docPartObj>
        <w:docPartGallery w:val="autotext"/>
      </w:docPartObj>
    </w:sdtPr>
    <w:sdtEndPr>
      <w:rPr>
        <w:rFonts w:ascii="Times New Roman" w:hAnsi="Times New Roman"/>
      </w:rPr>
    </w:sdtEndPr>
    <w:sdtContent>
      <w:p w14:paraId="3BF8E61B">
        <w:pPr>
          <w:pStyle w:val="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14:paraId="56A05BE5">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94A7E"/>
    <w:multiLevelType w:val="multilevel"/>
    <w:tmpl w:val="06994A7E"/>
    <w:lvl w:ilvl="0" w:tentative="0">
      <w:start w:val="1"/>
      <w:numFmt w:val="decimal"/>
      <w:lvlText w:val="（%1）"/>
      <w:lvlJc w:val="left"/>
      <w:pPr>
        <w:ind w:left="1080" w:hanging="440"/>
      </w:pPr>
      <w:rPr>
        <w:rFonts w:hint="default" w:ascii="Times New Roman" w:hAnsi="Times New Roman" w:eastAsia="仿宋"/>
      </w:rPr>
    </w:lvl>
    <w:lvl w:ilvl="1" w:tentative="0">
      <w:start w:val="1"/>
      <w:numFmt w:val="decimal"/>
      <w:suff w:val="nothing"/>
      <w:lvlText w:val="（%2）"/>
      <w:lvlJc w:val="left"/>
      <w:pPr>
        <w:ind w:left="2000" w:hanging="440"/>
      </w:pPr>
      <w:rPr>
        <w:rFonts w:hint="default" w:ascii="Times New Roman" w:hAnsi="Times New Roman" w:eastAsia="仿宋"/>
        <w:color w:val="auto"/>
        <w:lang w:val="en-US"/>
      </w:rPr>
    </w:lvl>
    <w:lvl w:ilvl="2" w:tentative="0">
      <w:start w:val="2"/>
      <w:numFmt w:val="decimal"/>
      <w:lvlText w:val="%3."/>
      <w:lvlJc w:val="left"/>
      <w:pPr>
        <w:ind w:left="1240" w:hanging="360"/>
      </w:pPr>
      <w:rPr>
        <w:rFonts w:hint="default"/>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11D47FD"/>
    <w:multiLevelType w:val="multilevel"/>
    <w:tmpl w:val="411D47FD"/>
    <w:lvl w:ilvl="0" w:tentative="0">
      <w:start w:val="1"/>
      <w:numFmt w:val="decimal"/>
      <w:suff w:val="space"/>
      <w:lvlText w:val="%1."/>
      <w:lvlJc w:val="left"/>
      <w:pPr>
        <w:ind w:left="1038" w:hanging="398"/>
      </w:pPr>
      <w:rPr>
        <w:rFonts w:hint="default"/>
        <w:color w:val="auto"/>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2">
    <w:nsid w:val="67073F9E"/>
    <w:multiLevelType w:val="multilevel"/>
    <w:tmpl w:val="67073F9E"/>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D1917C0"/>
    <w:multiLevelType w:val="multilevel"/>
    <w:tmpl w:val="6D1917C0"/>
    <w:lvl w:ilvl="0" w:tentative="0">
      <w:start w:val="1"/>
      <w:numFmt w:val="decimal"/>
      <w:suff w:val="space"/>
      <w:lvlText w:val="%1."/>
      <w:lvlJc w:val="left"/>
      <w:pPr>
        <w:ind w:left="1041" w:hanging="398"/>
      </w:pPr>
      <w:rPr>
        <w:rFonts w:hint="default"/>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0MTc4NjBjNTA4ZTMxOGNlNzhmMzY2MjNlNmIwZWUifQ=="/>
  </w:docVars>
  <w:rsids>
    <w:rsidRoot w:val="007306B4"/>
    <w:rsid w:val="00002018"/>
    <w:rsid w:val="0000268C"/>
    <w:rsid w:val="0000310C"/>
    <w:rsid w:val="00003A00"/>
    <w:rsid w:val="000050C5"/>
    <w:rsid w:val="00007E13"/>
    <w:rsid w:val="00010E4F"/>
    <w:rsid w:val="00011014"/>
    <w:rsid w:val="00011422"/>
    <w:rsid w:val="00011D36"/>
    <w:rsid w:val="000128D3"/>
    <w:rsid w:val="00012B6B"/>
    <w:rsid w:val="00013121"/>
    <w:rsid w:val="000138E4"/>
    <w:rsid w:val="00014174"/>
    <w:rsid w:val="000147E3"/>
    <w:rsid w:val="00014925"/>
    <w:rsid w:val="00014BCA"/>
    <w:rsid w:val="000153F4"/>
    <w:rsid w:val="000158A7"/>
    <w:rsid w:val="00015CB1"/>
    <w:rsid w:val="00015EEC"/>
    <w:rsid w:val="000207D8"/>
    <w:rsid w:val="0002152B"/>
    <w:rsid w:val="00021E40"/>
    <w:rsid w:val="000224E3"/>
    <w:rsid w:val="00024484"/>
    <w:rsid w:val="000246BA"/>
    <w:rsid w:val="00025EBE"/>
    <w:rsid w:val="0002674C"/>
    <w:rsid w:val="00031051"/>
    <w:rsid w:val="0003115C"/>
    <w:rsid w:val="00031C1C"/>
    <w:rsid w:val="00032B21"/>
    <w:rsid w:val="0003304F"/>
    <w:rsid w:val="00034972"/>
    <w:rsid w:val="00034B66"/>
    <w:rsid w:val="00034EE9"/>
    <w:rsid w:val="00040D8E"/>
    <w:rsid w:val="0004191F"/>
    <w:rsid w:val="00042A95"/>
    <w:rsid w:val="00042D84"/>
    <w:rsid w:val="000439C1"/>
    <w:rsid w:val="00044292"/>
    <w:rsid w:val="000449D6"/>
    <w:rsid w:val="000454F4"/>
    <w:rsid w:val="000455DF"/>
    <w:rsid w:val="00045E7B"/>
    <w:rsid w:val="0004643B"/>
    <w:rsid w:val="00046EA2"/>
    <w:rsid w:val="00050922"/>
    <w:rsid w:val="000527BE"/>
    <w:rsid w:val="00052A96"/>
    <w:rsid w:val="00054BD7"/>
    <w:rsid w:val="00055170"/>
    <w:rsid w:val="000553AE"/>
    <w:rsid w:val="00056C63"/>
    <w:rsid w:val="00057219"/>
    <w:rsid w:val="000572DA"/>
    <w:rsid w:val="00057742"/>
    <w:rsid w:val="00057795"/>
    <w:rsid w:val="000604D2"/>
    <w:rsid w:val="00061B08"/>
    <w:rsid w:val="00061C5A"/>
    <w:rsid w:val="00062773"/>
    <w:rsid w:val="0006306F"/>
    <w:rsid w:val="00063622"/>
    <w:rsid w:val="00063830"/>
    <w:rsid w:val="00064D38"/>
    <w:rsid w:val="0006514B"/>
    <w:rsid w:val="0006527F"/>
    <w:rsid w:val="00065EF7"/>
    <w:rsid w:val="000664FA"/>
    <w:rsid w:val="0006687A"/>
    <w:rsid w:val="00067422"/>
    <w:rsid w:val="000712A2"/>
    <w:rsid w:val="000716AF"/>
    <w:rsid w:val="000716FB"/>
    <w:rsid w:val="00071703"/>
    <w:rsid w:val="00072EB9"/>
    <w:rsid w:val="0007391A"/>
    <w:rsid w:val="000752FD"/>
    <w:rsid w:val="00076C58"/>
    <w:rsid w:val="00076E5A"/>
    <w:rsid w:val="00077D25"/>
    <w:rsid w:val="00077F4F"/>
    <w:rsid w:val="00080BE0"/>
    <w:rsid w:val="0008186A"/>
    <w:rsid w:val="0008576B"/>
    <w:rsid w:val="00085BE6"/>
    <w:rsid w:val="0008625A"/>
    <w:rsid w:val="00086B2E"/>
    <w:rsid w:val="0009044E"/>
    <w:rsid w:val="000910E1"/>
    <w:rsid w:val="00091895"/>
    <w:rsid w:val="00091FBD"/>
    <w:rsid w:val="00092374"/>
    <w:rsid w:val="00092FA3"/>
    <w:rsid w:val="00094EEA"/>
    <w:rsid w:val="0009616E"/>
    <w:rsid w:val="000966BE"/>
    <w:rsid w:val="00097640"/>
    <w:rsid w:val="000A139C"/>
    <w:rsid w:val="000A140E"/>
    <w:rsid w:val="000A1BFD"/>
    <w:rsid w:val="000A2A10"/>
    <w:rsid w:val="000A3030"/>
    <w:rsid w:val="000A3773"/>
    <w:rsid w:val="000A39C0"/>
    <w:rsid w:val="000A4774"/>
    <w:rsid w:val="000A48E5"/>
    <w:rsid w:val="000A48EB"/>
    <w:rsid w:val="000A5BBF"/>
    <w:rsid w:val="000A5E17"/>
    <w:rsid w:val="000A637E"/>
    <w:rsid w:val="000A7B37"/>
    <w:rsid w:val="000B1AB5"/>
    <w:rsid w:val="000B2748"/>
    <w:rsid w:val="000B2786"/>
    <w:rsid w:val="000B4016"/>
    <w:rsid w:val="000B533D"/>
    <w:rsid w:val="000B61CD"/>
    <w:rsid w:val="000B6547"/>
    <w:rsid w:val="000B6E5F"/>
    <w:rsid w:val="000C0CAA"/>
    <w:rsid w:val="000C123D"/>
    <w:rsid w:val="000C1E77"/>
    <w:rsid w:val="000C28C4"/>
    <w:rsid w:val="000C2966"/>
    <w:rsid w:val="000C2E29"/>
    <w:rsid w:val="000C32B2"/>
    <w:rsid w:val="000C3CA4"/>
    <w:rsid w:val="000C4742"/>
    <w:rsid w:val="000C6D17"/>
    <w:rsid w:val="000C7A18"/>
    <w:rsid w:val="000D0AD3"/>
    <w:rsid w:val="000D1039"/>
    <w:rsid w:val="000D2B34"/>
    <w:rsid w:val="000D2E99"/>
    <w:rsid w:val="000D4E28"/>
    <w:rsid w:val="000D5B19"/>
    <w:rsid w:val="000D62AE"/>
    <w:rsid w:val="000D6550"/>
    <w:rsid w:val="000D77EB"/>
    <w:rsid w:val="000E08A0"/>
    <w:rsid w:val="000E191C"/>
    <w:rsid w:val="000E1B7E"/>
    <w:rsid w:val="000E258A"/>
    <w:rsid w:val="000E2857"/>
    <w:rsid w:val="000E2CF1"/>
    <w:rsid w:val="000E2EE2"/>
    <w:rsid w:val="000E3CDC"/>
    <w:rsid w:val="000E446E"/>
    <w:rsid w:val="000E4C3E"/>
    <w:rsid w:val="000E5680"/>
    <w:rsid w:val="000E5A56"/>
    <w:rsid w:val="000E5A65"/>
    <w:rsid w:val="000E5DA6"/>
    <w:rsid w:val="000E763B"/>
    <w:rsid w:val="000F0D60"/>
    <w:rsid w:val="000F204F"/>
    <w:rsid w:val="000F4AC9"/>
    <w:rsid w:val="000F550C"/>
    <w:rsid w:val="00100124"/>
    <w:rsid w:val="00100229"/>
    <w:rsid w:val="00100625"/>
    <w:rsid w:val="00100793"/>
    <w:rsid w:val="00101C41"/>
    <w:rsid w:val="00103367"/>
    <w:rsid w:val="00104AED"/>
    <w:rsid w:val="00105669"/>
    <w:rsid w:val="00105DCB"/>
    <w:rsid w:val="00106085"/>
    <w:rsid w:val="0010702D"/>
    <w:rsid w:val="00107DD4"/>
    <w:rsid w:val="00110031"/>
    <w:rsid w:val="00110967"/>
    <w:rsid w:val="001123DB"/>
    <w:rsid w:val="00112810"/>
    <w:rsid w:val="00112930"/>
    <w:rsid w:val="001131A5"/>
    <w:rsid w:val="001143F7"/>
    <w:rsid w:val="00114AA4"/>
    <w:rsid w:val="00114CDF"/>
    <w:rsid w:val="00116337"/>
    <w:rsid w:val="00116898"/>
    <w:rsid w:val="00116F42"/>
    <w:rsid w:val="001170C7"/>
    <w:rsid w:val="00120E2A"/>
    <w:rsid w:val="001225B6"/>
    <w:rsid w:val="00122E54"/>
    <w:rsid w:val="00123474"/>
    <w:rsid w:val="00123ADB"/>
    <w:rsid w:val="00123BA9"/>
    <w:rsid w:val="00124A68"/>
    <w:rsid w:val="00124CEA"/>
    <w:rsid w:val="001270F4"/>
    <w:rsid w:val="001278FF"/>
    <w:rsid w:val="00127A39"/>
    <w:rsid w:val="001300D2"/>
    <w:rsid w:val="001317F5"/>
    <w:rsid w:val="00132FEB"/>
    <w:rsid w:val="00133214"/>
    <w:rsid w:val="00133A88"/>
    <w:rsid w:val="001346D1"/>
    <w:rsid w:val="00135C69"/>
    <w:rsid w:val="0013624F"/>
    <w:rsid w:val="001364A3"/>
    <w:rsid w:val="0014145C"/>
    <w:rsid w:val="00142B06"/>
    <w:rsid w:val="00142EEF"/>
    <w:rsid w:val="00143284"/>
    <w:rsid w:val="0014328A"/>
    <w:rsid w:val="0014459A"/>
    <w:rsid w:val="0014497B"/>
    <w:rsid w:val="0014557A"/>
    <w:rsid w:val="00145C44"/>
    <w:rsid w:val="001462BE"/>
    <w:rsid w:val="00150DFF"/>
    <w:rsid w:val="0015135D"/>
    <w:rsid w:val="00151F23"/>
    <w:rsid w:val="0015246B"/>
    <w:rsid w:val="00152CF1"/>
    <w:rsid w:val="00153D62"/>
    <w:rsid w:val="00154B7E"/>
    <w:rsid w:val="00156153"/>
    <w:rsid w:val="00156EF9"/>
    <w:rsid w:val="001572BD"/>
    <w:rsid w:val="001624AC"/>
    <w:rsid w:val="00163809"/>
    <w:rsid w:val="00164489"/>
    <w:rsid w:val="00166419"/>
    <w:rsid w:val="00170338"/>
    <w:rsid w:val="0017063F"/>
    <w:rsid w:val="001722A9"/>
    <w:rsid w:val="001736C3"/>
    <w:rsid w:val="001742CC"/>
    <w:rsid w:val="00174D3E"/>
    <w:rsid w:val="00175AC2"/>
    <w:rsid w:val="00175E34"/>
    <w:rsid w:val="001768BE"/>
    <w:rsid w:val="00177148"/>
    <w:rsid w:val="00177C8E"/>
    <w:rsid w:val="00182255"/>
    <w:rsid w:val="0018234A"/>
    <w:rsid w:val="00183D4C"/>
    <w:rsid w:val="00183E52"/>
    <w:rsid w:val="0018597B"/>
    <w:rsid w:val="00185D2C"/>
    <w:rsid w:val="001873C0"/>
    <w:rsid w:val="00190AF0"/>
    <w:rsid w:val="00191A21"/>
    <w:rsid w:val="0019269E"/>
    <w:rsid w:val="00192847"/>
    <w:rsid w:val="00192C64"/>
    <w:rsid w:val="001969AA"/>
    <w:rsid w:val="001A07D6"/>
    <w:rsid w:val="001A0896"/>
    <w:rsid w:val="001A1349"/>
    <w:rsid w:val="001A1AE1"/>
    <w:rsid w:val="001A358A"/>
    <w:rsid w:val="001A3662"/>
    <w:rsid w:val="001A36FF"/>
    <w:rsid w:val="001A3F90"/>
    <w:rsid w:val="001A476A"/>
    <w:rsid w:val="001A5E76"/>
    <w:rsid w:val="001A67CD"/>
    <w:rsid w:val="001A69F3"/>
    <w:rsid w:val="001A730B"/>
    <w:rsid w:val="001B0015"/>
    <w:rsid w:val="001B02A1"/>
    <w:rsid w:val="001B055B"/>
    <w:rsid w:val="001B061B"/>
    <w:rsid w:val="001B3343"/>
    <w:rsid w:val="001B3390"/>
    <w:rsid w:val="001B41D1"/>
    <w:rsid w:val="001B4F1E"/>
    <w:rsid w:val="001B6936"/>
    <w:rsid w:val="001C1BD2"/>
    <w:rsid w:val="001C29A7"/>
    <w:rsid w:val="001C3AC8"/>
    <w:rsid w:val="001C3EAC"/>
    <w:rsid w:val="001C4ECC"/>
    <w:rsid w:val="001C6A9D"/>
    <w:rsid w:val="001C77C7"/>
    <w:rsid w:val="001C79D0"/>
    <w:rsid w:val="001D02E0"/>
    <w:rsid w:val="001D1392"/>
    <w:rsid w:val="001D4CE9"/>
    <w:rsid w:val="001D5849"/>
    <w:rsid w:val="001D6F19"/>
    <w:rsid w:val="001D705F"/>
    <w:rsid w:val="001D7176"/>
    <w:rsid w:val="001E0C10"/>
    <w:rsid w:val="001E1FFE"/>
    <w:rsid w:val="001E5335"/>
    <w:rsid w:val="001E570D"/>
    <w:rsid w:val="001E6610"/>
    <w:rsid w:val="001E6D3E"/>
    <w:rsid w:val="001E76D7"/>
    <w:rsid w:val="001F11C8"/>
    <w:rsid w:val="001F24E1"/>
    <w:rsid w:val="001F280E"/>
    <w:rsid w:val="001F3C10"/>
    <w:rsid w:val="001F42DD"/>
    <w:rsid w:val="001F60EE"/>
    <w:rsid w:val="001F7013"/>
    <w:rsid w:val="001F7E42"/>
    <w:rsid w:val="001F7EA0"/>
    <w:rsid w:val="00200BAB"/>
    <w:rsid w:val="00200C8A"/>
    <w:rsid w:val="002030ED"/>
    <w:rsid w:val="002031DF"/>
    <w:rsid w:val="002045DB"/>
    <w:rsid w:val="002048FD"/>
    <w:rsid w:val="00206641"/>
    <w:rsid w:val="002070FD"/>
    <w:rsid w:val="00207721"/>
    <w:rsid w:val="00207EDD"/>
    <w:rsid w:val="00210088"/>
    <w:rsid w:val="002120D4"/>
    <w:rsid w:val="0021368D"/>
    <w:rsid w:val="00213DAD"/>
    <w:rsid w:val="00220903"/>
    <w:rsid w:val="0022097E"/>
    <w:rsid w:val="00220E34"/>
    <w:rsid w:val="00221768"/>
    <w:rsid w:val="00224787"/>
    <w:rsid w:val="00225263"/>
    <w:rsid w:val="002256BC"/>
    <w:rsid w:val="00227E46"/>
    <w:rsid w:val="00230269"/>
    <w:rsid w:val="00230754"/>
    <w:rsid w:val="0023179C"/>
    <w:rsid w:val="00231EB9"/>
    <w:rsid w:val="00233E2C"/>
    <w:rsid w:val="00233F78"/>
    <w:rsid w:val="00234003"/>
    <w:rsid w:val="00234FF8"/>
    <w:rsid w:val="00235446"/>
    <w:rsid w:val="00235D19"/>
    <w:rsid w:val="00236545"/>
    <w:rsid w:val="00236AB8"/>
    <w:rsid w:val="00237DEA"/>
    <w:rsid w:val="00240A79"/>
    <w:rsid w:val="00240B3C"/>
    <w:rsid w:val="00241247"/>
    <w:rsid w:val="00241675"/>
    <w:rsid w:val="0024191E"/>
    <w:rsid w:val="0024237F"/>
    <w:rsid w:val="00242902"/>
    <w:rsid w:val="002451F8"/>
    <w:rsid w:val="00246A04"/>
    <w:rsid w:val="00246D1D"/>
    <w:rsid w:val="00246ED3"/>
    <w:rsid w:val="00246FBA"/>
    <w:rsid w:val="0024720B"/>
    <w:rsid w:val="002478EC"/>
    <w:rsid w:val="00250215"/>
    <w:rsid w:val="00250936"/>
    <w:rsid w:val="002515A9"/>
    <w:rsid w:val="00251677"/>
    <w:rsid w:val="002530F3"/>
    <w:rsid w:val="0025356F"/>
    <w:rsid w:val="00253A9D"/>
    <w:rsid w:val="00253AF3"/>
    <w:rsid w:val="002545BD"/>
    <w:rsid w:val="0025547F"/>
    <w:rsid w:val="002564EA"/>
    <w:rsid w:val="00260B49"/>
    <w:rsid w:val="0026110D"/>
    <w:rsid w:val="0026176C"/>
    <w:rsid w:val="0026248D"/>
    <w:rsid w:val="00262B71"/>
    <w:rsid w:val="00262E1F"/>
    <w:rsid w:val="002631FD"/>
    <w:rsid w:val="002635FB"/>
    <w:rsid w:val="002640B8"/>
    <w:rsid w:val="00264BD0"/>
    <w:rsid w:val="002655F8"/>
    <w:rsid w:val="002657AF"/>
    <w:rsid w:val="00266E75"/>
    <w:rsid w:val="00267D3C"/>
    <w:rsid w:val="0027025E"/>
    <w:rsid w:val="00270C87"/>
    <w:rsid w:val="00272198"/>
    <w:rsid w:val="00272229"/>
    <w:rsid w:val="00272C9E"/>
    <w:rsid w:val="00272DA6"/>
    <w:rsid w:val="002738D0"/>
    <w:rsid w:val="00275218"/>
    <w:rsid w:val="0027587D"/>
    <w:rsid w:val="002758DA"/>
    <w:rsid w:val="00275C53"/>
    <w:rsid w:val="00275EE0"/>
    <w:rsid w:val="00276021"/>
    <w:rsid w:val="00276089"/>
    <w:rsid w:val="002767CA"/>
    <w:rsid w:val="002767FA"/>
    <w:rsid w:val="002772E6"/>
    <w:rsid w:val="0027767B"/>
    <w:rsid w:val="00277F89"/>
    <w:rsid w:val="00280109"/>
    <w:rsid w:val="0028021A"/>
    <w:rsid w:val="00280560"/>
    <w:rsid w:val="00281842"/>
    <w:rsid w:val="00283EBF"/>
    <w:rsid w:val="002902FA"/>
    <w:rsid w:val="00290E6F"/>
    <w:rsid w:val="002913E9"/>
    <w:rsid w:val="002934FE"/>
    <w:rsid w:val="00294CD1"/>
    <w:rsid w:val="00295CC9"/>
    <w:rsid w:val="0029605E"/>
    <w:rsid w:val="00296465"/>
    <w:rsid w:val="00297543"/>
    <w:rsid w:val="00297E18"/>
    <w:rsid w:val="002A05F4"/>
    <w:rsid w:val="002A0776"/>
    <w:rsid w:val="002A0A50"/>
    <w:rsid w:val="002A1A48"/>
    <w:rsid w:val="002A1B07"/>
    <w:rsid w:val="002A231C"/>
    <w:rsid w:val="002A27AA"/>
    <w:rsid w:val="002A478D"/>
    <w:rsid w:val="002A4C7E"/>
    <w:rsid w:val="002A5047"/>
    <w:rsid w:val="002A5F83"/>
    <w:rsid w:val="002A6988"/>
    <w:rsid w:val="002B01B4"/>
    <w:rsid w:val="002B059B"/>
    <w:rsid w:val="002B072C"/>
    <w:rsid w:val="002B0807"/>
    <w:rsid w:val="002B0A6E"/>
    <w:rsid w:val="002B1034"/>
    <w:rsid w:val="002B1EA6"/>
    <w:rsid w:val="002B2F5C"/>
    <w:rsid w:val="002B41A3"/>
    <w:rsid w:val="002B4C97"/>
    <w:rsid w:val="002B5550"/>
    <w:rsid w:val="002B6470"/>
    <w:rsid w:val="002B6906"/>
    <w:rsid w:val="002B78DF"/>
    <w:rsid w:val="002B7A7F"/>
    <w:rsid w:val="002C079B"/>
    <w:rsid w:val="002C117E"/>
    <w:rsid w:val="002C3B7E"/>
    <w:rsid w:val="002C4106"/>
    <w:rsid w:val="002C455C"/>
    <w:rsid w:val="002C4CCE"/>
    <w:rsid w:val="002C5158"/>
    <w:rsid w:val="002C53D7"/>
    <w:rsid w:val="002C5A8B"/>
    <w:rsid w:val="002C6F17"/>
    <w:rsid w:val="002C7FB2"/>
    <w:rsid w:val="002D0521"/>
    <w:rsid w:val="002D1734"/>
    <w:rsid w:val="002D312A"/>
    <w:rsid w:val="002D33F9"/>
    <w:rsid w:val="002D378C"/>
    <w:rsid w:val="002D47BD"/>
    <w:rsid w:val="002D5598"/>
    <w:rsid w:val="002D55AE"/>
    <w:rsid w:val="002D57A8"/>
    <w:rsid w:val="002D5F37"/>
    <w:rsid w:val="002D695E"/>
    <w:rsid w:val="002E0B4C"/>
    <w:rsid w:val="002E1368"/>
    <w:rsid w:val="002E38E1"/>
    <w:rsid w:val="002E6639"/>
    <w:rsid w:val="002E79FF"/>
    <w:rsid w:val="002F1313"/>
    <w:rsid w:val="002F1637"/>
    <w:rsid w:val="002F24DD"/>
    <w:rsid w:val="002F2524"/>
    <w:rsid w:val="002F2F32"/>
    <w:rsid w:val="002F3AEC"/>
    <w:rsid w:val="002F4631"/>
    <w:rsid w:val="002F6B30"/>
    <w:rsid w:val="002F759E"/>
    <w:rsid w:val="002F7D5B"/>
    <w:rsid w:val="002F7DBF"/>
    <w:rsid w:val="003011CD"/>
    <w:rsid w:val="003026BF"/>
    <w:rsid w:val="00303870"/>
    <w:rsid w:val="0030508F"/>
    <w:rsid w:val="003053C1"/>
    <w:rsid w:val="00306644"/>
    <w:rsid w:val="0030732E"/>
    <w:rsid w:val="003078A4"/>
    <w:rsid w:val="00310879"/>
    <w:rsid w:val="00311080"/>
    <w:rsid w:val="00311197"/>
    <w:rsid w:val="00311A41"/>
    <w:rsid w:val="00312DC4"/>
    <w:rsid w:val="003134A7"/>
    <w:rsid w:val="00314AC8"/>
    <w:rsid w:val="003153CF"/>
    <w:rsid w:val="003156C1"/>
    <w:rsid w:val="00316635"/>
    <w:rsid w:val="00316783"/>
    <w:rsid w:val="00320BF6"/>
    <w:rsid w:val="003214CB"/>
    <w:rsid w:val="003229FF"/>
    <w:rsid w:val="00323558"/>
    <w:rsid w:val="00324BFF"/>
    <w:rsid w:val="0032620B"/>
    <w:rsid w:val="00330AF7"/>
    <w:rsid w:val="003314D8"/>
    <w:rsid w:val="00332E8B"/>
    <w:rsid w:val="003330EF"/>
    <w:rsid w:val="00333113"/>
    <w:rsid w:val="003340BA"/>
    <w:rsid w:val="003342B7"/>
    <w:rsid w:val="00336425"/>
    <w:rsid w:val="00336A26"/>
    <w:rsid w:val="00336AD6"/>
    <w:rsid w:val="003373CE"/>
    <w:rsid w:val="003377D1"/>
    <w:rsid w:val="0033788F"/>
    <w:rsid w:val="00337C64"/>
    <w:rsid w:val="00337F5B"/>
    <w:rsid w:val="0034024A"/>
    <w:rsid w:val="0034245E"/>
    <w:rsid w:val="00342ED2"/>
    <w:rsid w:val="00344011"/>
    <w:rsid w:val="0034485B"/>
    <w:rsid w:val="003454B5"/>
    <w:rsid w:val="003455B0"/>
    <w:rsid w:val="00346FC5"/>
    <w:rsid w:val="00347F2B"/>
    <w:rsid w:val="00350BEF"/>
    <w:rsid w:val="00350D42"/>
    <w:rsid w:val="00351A1C"/>
    <w:rsid w:val="00353F64"/>
    <w:rsid w:val="00354CAA"/>
    <w:rsid w:val="00354ECD"/>
    <w:rsid w:val="00355A63"/>
    <w:rsid w:val="00356521"/>
    <w:rsid w:val="00356B9D"/>
    <w:rsid w:val="00357971"/>
    <w:rsid w:val="00360EF3"/>
    <w:rsid w:val="003617FC"/>
    <w:rsid w:val="00364F53"/>
    <w:rsid w:val="0036682F"/>
    <w:rsid w:val="00371162"/>
    <w:rsid w:val="0037203A"/>
    <w:rsid w:val="00372711"/>
    <w:rsid w:val="003733C3"/>
    <w:rsid w:val="00373B2A"/>
    <w:rsid w:val="003747B5"/>
    <w:rsid w:val="00374BBA"/>
    <w:rsid w:val="003755F2"/>
    <w:rsid w:val="003758D0"/>
    <w:rsid w:val="00375D9C"/>
    <w:rsid w:val="00376451"/>
    <w:rsid w:val="00376B5A"/>
    <w:rsid w:val="00377266"/>
    <w:rsid w:val="003800E5"/>
    <w:rsid w:val="0038294F"/>
    <w:rsid w:val="003837A8"/>
    <w:rsid w:val="003838C5"/>
    <w:rsid w:val="00383B89"/>
    <w:rsid w:val="00383BA2"/>
    <w:rsid w:val="003849BD"/>
    <w:rsid w:val="0038615D"/>
    <w:rsid w:val="00386F76"/>
    <w:rsid w:val="0038768A"/>
    <w:rsid w:val="0039040A"/>
    <w:rsid w:val="003908F1"/>
    <w:rsid w:val="00390B34"/>
    <w:rsid w:val="00390E5D"/>
    <w:rsid w:val="00390EC0"/>
    <w:rsid w:val="003925B4"/>
    <w:rsid w:val="00392627"/>
    <w:rsid w:val="00393377"/>
    <w:rsid w:val="003949AE"/>
    <w:rsid w:val="00394A41"/>
    <w:rsid w:val="00394C40"/>
    <w:rsid w:val="003953E3"/>
    <w:rsid w:val="00395EAA"/>
    <w:rsid w:val="0039604E"/>
    <w:rsid w:val="00396084"/>
    <w:rsid w:val="003966F1"/>
    <w:rsid w:val="00396D13"/>
    <w:rsid w:val="003A1D19"/>
    <w:rsid w:val="003A674A"/>
    <w:rsid w:val="003A7491"/>
    <w:rsid w:val="003B0172"/>
    <w:rsid w:val="003B11F4"/>
    <w:rsid w:val="003B18B3"/>
    <w:rsid w:val="003B1AB1"/>
    <w:rsid w:val="003B1EEF"/>
    <w:rsid w:val="003B2EEE"/>
    <w:rsid w:val="003B3668"/>
    <w:rsid w:val="003B4466"/>
    <w:rsid w:val="003B4522"/>
    <w:rsid w:val="003B4AC4"/>
    <w:rsid w:val="003B580F"/>
    <w:rsid w:val="003B6175"/>
    <w:rsid w:val="003B6792"/>
    <w:rsid w:val="003B6ED9"/>
    <w:rsid w:val="003B76B0"/>
    <w:rsid w:val="003B7DD7"/>
    <w:rsid w:val="003C0AC4"/>
    <w:rsid w:val="003C1146"/>
    <w:rsid w:val="003C22C3"/>
    <w:rsid w:val="003C2D00"/>
    <w:rsid w:val="003C3B40"/>
    <w:rsid w:val="003C47BE"/>
    <w:rsid w:val="003C486F"/>
    <w:rsid w:val="003C516A"/>
    <w:rsid w:val="003C57A0"/>
    <w:rsid w:val="003C604E"/>
    <w:rsid w:val="003C61DA"/>
    <w:rsid w:val="003C6475"/>
    <w:rsid w:val="003C7464"/>
    <w:rsid w:val="003C78BB"/>
    <w:rsid w:val="003C7E3E"/>
    <w:rsid w:val="003D01B7"/>
    <w:rsid w:val="003D03B9"/>
    <w:rsid w:val="003D2947"/>
    <w:rsid w:val="003D3C5B"/>
    <w:rsid w:val="003D70AC"/>
    <w:rsid w:val="003D72C4"/>
    <w:rsid w:val="003D73CC"/>
    <w:rsid w:val="003D74C1"/>
    <w:rsid w:val="003E0875"/>
    <w:rsid w:val="003E0B7B"/>
    <w:rsid w:val="003E2135"/>
    <w:rsid w:val="003E32DC"/>
    <w:rsid w:val="003E34E7"/>
    <w:rsid w:val="003E3787"/>
    <w:rsid w:val="003E3A08"/>
    <w:rsid w:val="003E5DCB"/>
    <w:rsid w:val="003E6F44"/>
    <w:rsid w:val="003E78DF"/>
    <w:rsid w:val="003F05F9"/>
    <w:rsid w:val="003F09F9"/>
    <w:rsid w:val="003F162D"/>
    <w:rsid w:val="003F2159"/>
    <w:rsid w:val="003F25A3"/>
    <w:rsid w:val="003F2605"/>
    <w:rsid w:val="003F4D02"/>
    <w:rsid w:val="003F58A7"/>
    <w:rsid w:val="003F5A02"/>
    <w:rsid w:val="003F5AD7"/>
    <w:rsid w:val="003F6F1A"/>
    <w:rsid w:val="003F7C6D"/>
    <w:rsid w:val="003F7EB3"/>
    <w:rsid w:val="00401945"/>
    <w:rsid w:val="0040229B"/>
    <w:rsid w:val="004036F4"/>
    <w:rsid w:val="0040485B"/>
    <w:rsid w:val="00405272"/>
    <w:rsid w:val="004052A0"/>
    <w:rsid w:val="00406851"/>
    <w:rsid w:val="00406B5A"/>
    <w:rsid w:val="00407578"/>
    <w:rsid w:val="00410DA0"/>
    <w:rsid w:val="00411324"/>
    <w:rsid w:val="0041291C"/>
    <w:rsid w:val="0041332D"/>
    <w:rsid w:val="00413616"/>
    <w:rsid w:val="00414E05"/>
    <w:rsid w:val="0041529C"/>
    <w:rsid w:val="0041539F"/>
    <w:rsid w:val="00415405"/>
    <w:rsid w:val="0041629E"/>
    <w:rsid w:val="004179E1"/>
    <w:rsid w:val="004206DE"/>
    <w:rsid w:val="00420A73"/>
    <w:rsid w:val="00420E4E"/>
    <w:rsid w:val="004210B9"/>
    <w:rsid w:val="004212B9"/>
    <w:rsid w:val="00421AD6"/>
    <w:rsid w:val="00422229"/>
    <w:rsid w:val="004229E0"/>
    <w:rsid w:val="00422ACF"/>
    <w:rsid w:val="004239C0"/>
    <w:rsid w:val="00424445"/>
    <w:rsid w:val="00424EA4"/>
    <w:rsid w:val="00425467"/>
    <w:rsid w:val="00426049"/>
    <w:rsid w:val="00426B4A"/>
    <w:rsid w:val="00427833"/>
    <w:rsid w:val="00427A29"/>
    <w:rsid w:val="00427DAA"/>
    <w:rsid w:val="00430504"/>
    <w:rsid w:val="0043052D"/>
    <w:rsid w:val="00430B00"/>
    <w:rsid w:val="0043452A"/>
    <w:rsid w:val="004350EE"/>
    <w:rsid w:val="00435825"/>
    <w:rsid w:val="00435C68"/>
    <w:rsid w:val="00435C6A"/>
    <w:rsid w:val="00436660"/>
    <w:rsid w:val="004374EA"/>
    <w:rsid w:val="00440256"/>
    <w:rsid w:val="00440847"/>
    <w:rsid w:val="00440B7C"/>
    <w:rsid w:val="00440C25"/>
    <w:rsid w:val="00441622"/>
    <w:rsid w:val="0044177C"/>
    <w:rsid w:val="00443A24"/>
    <w:rsid w:val="00445CE4"/>
    <w:rsid w:val="00445E70"/>
    <w:rsid w:val="00446A73"/>
    <w:rsid w:val="00446C26"/>
    <w:rsid w:val="00447C9C"/>
    <w:rsid w:val="00450708"/>
    <w:rsid w:val="00450C9B"/>
    <w:rsid w:val="00451CBF"/>
    <w:rsid w:val="004529F2"/>
    <w:rsid w:val="00453CFA"/>
    <w:rsid w:val="00454076"/>
    <w:rsid w:val="0045427F"/>
    <w:rsid w:val="00454EED"/>
    <w:rsid w:val="0045694B"/>
    <w:rsid w:val="00457A4F"/>
    <w:rsid w:val="0046061C"/>
    <w:rsid w:val="004609E9"/>
    <w:rsid w:val="00461AAE"/>
    <w:rsid w:val="0046220C"/>
    <w:rsid w:val="00462ABB"/>
    <w:rsid w:val="00462DC4"/>
    <w:rsid w:val="00462F29"/>
    <w:rsid w:val="00463921"/>
    <w:rsid w:val="00463ABF"/>
    <w:rsid w:val="00463DAF"/>
    <w:rsid w:val="00463E12"/>
    <w:rsid w:val="00465DCB"/>
    <w:rsid w:val="00465E0A"/>
    <w:rsid w:val="00470122"/>
    <w:rsid w:val="004735B5"/>
    <w:rsid w:val="00473B5A"/>
    <w:rsid w:val="00473CCB"/>
    <w:rsid w:val="00473E3F"/>
    <w:rsid w:val="00481D24"/>
    <w:rsid w:val="00481EF9"/>
    <w:rsid w:val="00481F22"/>
    <w:rsid w:val="00483AB3"/>
    <w:rsid w:val="0048450D"/>
    <w:rsid w:val="00484BDC"/>
    <w:rsid w:val="004853DA"/>
    <w:rsid w:val="00485BC2"/>
    <w:rsid w:val="00487E97"/>
    <w:rsid w:val="00490CD0"/>
    <w:rsid w:val="00491720"/>
    <w:rsid w:val="00491E90"/>
    <w:rsid w:val="00492CD8"/>
    <w:rsid w:val="00493D99"/>
    <w:rsid w:val="00494C0D"/>
    <w:rsid w:val="0049645C"/>
    <w:rsid w:val="0049665C"/>
    <w:rsid w:val="004972D4"/>
    <w:rsid w:val="0049782A"/>
    <w:rsid w:val="00497C9E"/>
    <w:rsid w:val="004A02D9"/>
    <w:rsid w:val="004A099E"/>
    <w:rsid w:val="004A0B7C"/>
    <w:rsid w:val="004A166B"/>
    <w:rsid w:val="004A1C70"/>
    <w:rsid w:val="004A2580"/>
    <w:rsid w:val="004A52A4"/>
    <w:rsid w:val="004A5E2A"/>
    <w:rsid w:val="004A5FB2"/>
    <w:rsid w:val="004A6942"/>
    <w:rsid w:val="004A6B97"/>
    <w:rsid w:val="004A7380"/>
    <w:rsid w:val="004A7BC0"/>
    <w:rsid w:val="004A7DE1"/>
    <w:rsid w:val="004B2108"/>
    <w:rsid w:val="004B259E"/>
    <w:rsid w:val="004B383C"/>
    <w:rsid w:val="004B3D71"/>
    <w:rsid w:val="004B6A8E"/>
    <w:rsid w:val="004B7390"/>
    <w:rsid w:val="004B7617"/>
    <w:rsid w:val="004B7CB3"/>
    <w:rsid w:val="004C0AB1"/>
    <w:rsid w:val="004C0E08"/>
    <w:rsid w:val="004C24FC"/>
    <w:rsid w:val="004C2BF9"/>
    <w:rsid w:val="004C30F9"/>
    <w:rsid w:val="004C3743"/>
    <w:rsid w:val="004C3953"/>
    <w:rsid w:val="004C3CC1"/>
    <w:rsid w:val="004C676D"/>
    <w:rsid w:val="004C7433"/>
    <w:rsid w:val="004D18AD"/>
    <w:rsid w:val="004D3D97"/>
    <w:rsid w:val="004D3E6E"/>
    <w:rsid w:val="004D434D"/>
    <w:rsid w:val="004D6054"/>
    <w:rsid w:val="004D6C5F"/>
    <w:rsid w:val="004E03DD"/>
    <w:rsid w:val="004E09B2"/>
    <w:rsid w:val="004E0EF9"/>
    <w:rsid w:val="004E1FE8"/>
    <w:rsid w:val="004E23B8"/>
    <w:rsid w:val="004E2B8F"/>
    <w:rsid w:val="004E2CDF"/>
    <w:rsid w:val="004E2CF1"/>
    <w:rsid w:val="004E2D9E"/>
    <w:rsid w:val="004E3435"/>
    <w:rsid w:val="004E3BAC"/>
    <w:rsid w:val="004E3F36"/>
    <w:rsid w:val="004E429D"/>
    <w:rsid w:val="004E49F9"/>
    <w:rsid w:val="004E4FBE"/>
    <w:rsid w:val="004E68C0"/>
    <w:rsid w:val="004E6B94"/>
    <w:rsid w:val="004F0F86"/>
    <w:rsid w:val="004F1181"/>
    <w:rsid w:val="004F1463"/>
    <w:rsid w:val="004F2D83"/>
    <w:rsid w:val="004F31B0"/>
    <w:rsid w:val="004F615D"/>
    <w:rsid w:val="004F7048"/>
    <w:rsid w:val="004F7408"/>
    <w:rsid w:val="00500813"/>
    <w:rsid w:val="00500C9B"/>
    <w:rsid w:val="00500CF6"/>
    <w:rsid w:val="00501DA7"/>
    <w:rsid w:val="00502508"/>
    <w:rsid w:val="0050279B"/>
    <w:rsid w:val="00502F22"/>
    <w:rsid w:val="0050371A"/>
    <w:rsid w:val="00503C23"/>
    <w:rsid w:val="005046C8"/>
    <w:rsid w:val="00504E10"/>
    <w:rsid w:val="00506111"/>
    <w:rsid w:val="00506F05"/>
    <w:rsid w:val="00507181"/>
    <w:rsid w:val="005073FB"/>
    <w:rsid w:val="00507915"/>
    <w:rsid w:val="00507C0D"/>
    <w:rsid w:val="0051255B"/>
    <w:rsid w:val="005128F5"/>
    <w:rsid w:val="00513D18"/>
    <w:rsid w:val="00514CED"/>
    <w:rsid w:val="00514DA3"/>
    <w:rsid w:val="00515399"/>
    <w:rsid w:val="00515E4C"/>
    <w:rsid w:val="00516393"/>
    <w:rsid w:val="00516D3E"/>
    <w:rsid w:val="005170DD"/>
    <w:rsid w:val="00517BD8"/>
    <w:rsid w:val="00517C29"/>
    <w:rsid w:val="00520F99"/>
    <w:rsid w:val="0052112C"/>
    <w:rsid w:val="005216EC"/>
    <w:rsid w:val="005222A4"/>
    <w:rsid w:val="00522525"/>
    <w:rsid w:val="00522586"/>
    <w:rsid w:val="00522596"/>
    <w:rsid w:val="00522929"/>
    <w:rsid w:val="00523EF4"/>
    <w:rsid w:val="00524167"/>
    <w:rsid w:val="0052641C"/>
    <w:rsid w:val="00526FB9"/>
    <w:rsid w:val="00527166"/>
    <w:rsid w:val="005309A3"/>
    <w:rsid w:val="00530A52"/>
    <w:rsid w:val="00533B0F"/>
    <w:rsid w:val="0053408E"/>
    <w:rsid w:val="005400C7"/>
    <w:rsid w:val="005404FA"/>
    <w:rsid w:val="00541092"/>
    <w:rsid w:val="0054155E"/>
    <w:rsid w:val="00541984"/>
    <w:rsid w:val="00542E5E"/>
    <w:rsid w:val="00544494"/>
    <w:rsid w:val="005454D7"/>
    <w:rsid w:val="00550300"/>
    <w:rsid w:val="00552103"/>
    <w:rsid w:val="00552348"/>
    <w:rsid w:val="00552BB7"/>
    <w:rsid w:val="00552C00"/>
    <w:rsid w:val="005531A8"/>
    <w:rsid w:val="00553607"/>
    <w:rsid w:val="005538C1"/>
    <w:rsid w:val="00554C77"/>
    <w:rsid w:val="00556DFF"/>
    <w:rsid w:val="005574F9"/>
    <w:rsid w:val="00560B6B"/>
    <w:rsid w:val="00561D93"/>
    <w:rsid w:val="005625AB"/>
    <w:rsid w:val="00562C83"/>
    <w:rsid w:val="005653DE"/>
    <w:rsid w:val="00565467"/>
    <w:rsid w:val="00565AA0"/>
    <w:rsid w:val="0056669B"/>
    <w:rsid w:val="005666A2"/>
    <w:rsid w:val="00566E79"/>
    <w:rsid w:val="005677EC"/>
    <w:rsid w:val="00572C49"/>
    <w:rsid w:val="005734DE"/>
    <w:rsid w:val="00573873"/>
    <w:rsid w:val="00573F80"/>
    <w:rsid w:val="005749A6"/>
    <w:rsid w:val="00574A42"/>
    <w:rsid w:val="00575159"/>
    <w:rsid w:val="005755D8"/>
    <w:rsid w:val="00575709"/>
    <w:rsid w:val="00575BF4"/>
    <w:rsid w:val="00577513"/>
    <w:rsid w:val="005779F5"/>
    <w:rsid w:val="00584447"/>
    <w:rsid w:val="005848CB"/>
    <w:rsid w:val="00585508"/>
    <w:rsid w:val="00587DA8"/>
    <w:rsid w:val="005905A6"/>
    <w:rsid w:val="00592228"/>
    <w:rsid w:val="005929B0"/>
    <w:rsid w:val="005931BA"/>
    <w:rsid w:val="005935A5"/>
    <w:rsid w:val="00594C24"/>
    <w:rsid w:val="0059505C"/>
    <w:rsid w:val="005952F6"/>
    <w:rsid w:val="00595871"/>
    <w:rsid w:val="00596447"/>
    <w:rsid w:val="005966E9"/>
    <w:rsid w:val="0059696D"/>
    <w:rsid w:val="005A02B0"/>
    <w:rsid w:val="005A1D5B"/>
    <w:rsid w:val="005A4138"/>
    <w:rsid w:val="005A4B92"/>
    <w:rsid w:val="005A5354"/>
    <w:rsid w:val="005A5B22"/>
    <w:rsid w:val="005A6049"/>
    <w:rsid w:val="005A68E0"/>
    <w:rsid w:val="005A74E6"/>
    <w:rsid w:val="005B0386"/>
    <w:rsid w:val="005B0B3B"/>
    <w:rsid w:val="005B0FEB"/>
    <w:rsid w:val="005B2F23"/>
    <w:rsid w:val="005B32F1"/>
    <w:rsid w:val="005B3F74"/>
    <w:rsid w:val="005B56CA"/>
    <w:rsid w:val="005B6081"/>
    <w:rsid w:val="005B7D8C"/>
    <w:rsid w:val="005C1294"/>
    <w:rsid w:val="005C2382"/>
    <w:rsid w:val="005C3976"/>
    <w:rsid w:val="005C548A"/>
    <w:rsid w:val="005C5A2A"/>
    <w:rsid w:val="005C7042"/>
    <w:rsid w:val="005C7BB1"/>
    <w:rsid w:val="005C7CEA"/>
    <w:rsid w:val="005C7D1E"/>
    <w:rsid w:val="005D09DF"/>
    <w:rsid w:val="005D1165"/>
    <w:rsid w:val="005D4BC7"/>
    <w:rsid w:val="005D5C2C"/>
    <w:rsid w:val="005D5E83"/>
    <w:rsid w:val="005D619D"/>
    <w:rsid w:val="005D62E6"/>
    <w:rsid w:val="005D63E0"/>
    <w:rsid w:val="005D65C0"/>
    <w:rsid w:val="005D6C2C"/>
    <w:rsid w:val="005E2448"/>
    <w:rsid w:val="005E25E1"/>
    <w:rsid w:val="005E2C49"/>
    <w:rsid w:val="005E3661"/>
    <w:rsid w:val="005E4EC1"/>
    <w:rsid w:val="005E67A5"/>
    <w:rsid w:val="005E6B18"/>
    <w:rsid w:val="005F00F5"/>
    <w:rsid w:val="005F0C79"/>
    <w:rsid w:val="005F166B"/>
    <w:rsid w:val="005F1A48"/>
    <w:rsid w:val="005F2740"/>
    <w:rsid w:val="005F4125"/>
    <w:rsid w:val="005F4518"/>
    <w:rsid w:val="005F4C32"/>
    <w:rsid w:val="005F58BD"/>
    <w:rsid w:val="005F5B05"/>
    <w:rsid w:val="005F66E5"/>
    <w:rsid w:val="005F6FCC"/>
    <w:rsid w:val="005F78DD"/>
    <w:rsid w:val="006011E9"/>
    <w:rsid w:val="0060267C"/>
    <w:rsid w:val="00603252"/>
    <w:rsid w:val="00604AC0"/>
    <w:rsid w:val="00606F1A"/>
    <w:rsid w:val="00607890"/>
    <w:rsid w:val="0061036C"/>
    <w:rsid w:val="006104F9"/>
    <w:rsid w:val="006108A0"/>
    <w:rsid w:val="006113D6"/>
    <w:rsid w:val="00611986"/>
    <w:rsid w:val="00612627"/>
    <w:rsid w:val="00612E78"/>
    <w:rsid w:val="00614A4D"/>
    <w:rsid w:val="00615263"/>
    <w:rsid w:val="00617A3B"/>
    <w:rsid w:val="00617BF3"/>
    <w:rsid w:val="006200FA"/>
    <w:rsid w:val="0062052B"/>
    <w:rsid w:val="00620C41"/>
    <w:rsid w:val="00622A0A"/>
    <w:rsid w:val="00622E89"/>
    <w:rsid w:val="0062340E"/>
    <w:rsid w:val="00624A6E"/>
    <w:rsid w:val="00624FC6"/>
    <w:rsid w:val="006250F4"/>
    <w:rsid w:val="006272FB"/>
    <w:rsid w:val="00627895"/>
    <w:rsid w:val="006279BD"/>
    <w:rsid w:val="00627D3E"/>
    <w:rsid w:val="00630347"/>
    <w:rsid w:val="0063048B"/>
    <w:rsid w:val="006315C8"/>
    <w:rsid w:val="00632414"/>
    <w:rsid w:val="00632EA4"/>
    <w:rsid w:val="00635E15"/>
    <w:rsid w:val="00636D91"/>
    <w:rsid w:val="0064307A"/>
    <w:rsid w:val="0064490E"/>
    <w:rsid w:val="00644E4F"/>
    <w:rsid w:val="006450F4"/>
    <w:rsid w:val="006458D2"/>
    <w:rsid w:val="00645FD7"/>
    <w:rsid w:val="00650495"/>
    <w:rsid w:val="006504F7"/>
    <w:rsid w:val="00650C75"/>
    <w:rsid w:val="006518B7"/>
    <w:rsid w:val="00653BAD"/>
    <w:rsid w:val="0065484F"/>
    <w:rsid w:val="00654857"/>
    <w:rsid w:val="00657E1A"/>
    <w:rsid w:val="00660289"/>
    <w:rsid w:val="00662E90"/>
    <w:rsid w:val="006644C9"/>
    <w:rsid w:val="00664EF8"/>
    <w:rsid w:val="006653EA"/>
    <w:rsid w:val="00667294"/>
    <w:rsid w:val="00667403"/>
    <w:rsid w:val="00667ACD"/>
    <w:rsid w:val="00672DE6"/>
    <w:rsid w:val="00673F89"/>
    <w:rsid w:val="00674371"/>
    <w:rsid w:val="00674785"/>
    <w:rsid w:val="00674A14"/>
    <w:rsid w:val="006752EF"/>
    <w:rsid w:val="006757C0"/>
    <w:rsid w:val="00676CB4"/>
    <w:rsid w:val="0068061C"/>
    <w:rsid w:val="00680E5B"/>
    <w:rsid w:val="00682A96"/>
    <w:rsid w:val="00683559"/>
    <w:rsid w:val="00683A80"/>
    <w:rsid w:val="006862DB"/>
    <w:rsid w:val="0068667C"/>
    <w:rsid w:val="00686EE5"/>
    <w:rsid w:val="00690150"/>
    <w:rsid w:val="006908CA"/>
    <w:rsid w:val="00690B6C"/>
    <w:rsid w:val="00690C1A"/>
    <w:rsid w:val="00691120"/>
    <w:rsid w:val="0069227B"/>
    <w:rsid w:val="0069295F"/>
    <w:rsid w:val="006931E5"/>
    <w:rsid w:val="006943BD"/>
    <w:rsid w:val="006953DD"/>
    <w:rsid w:val="00696499"/>
    <w:rsid w:val="00696FCA"/>
    <w:rsid w:val="006976A5"/>
    <w:rsid w:val="00697C86"/>
    <w:rsid w:val="00697E94"/>
    <w:rsid w:val="006A0FE2"/>
    <w:rsid w:val="006A1823"/>
    <w:rsid w:val="006A2DCE"/>
    <w:rsid w:val="006A5E7F"/>
    <w:rsid w:val="006A6230"/>
    <w:rsid w:val="006B0125"/>
    <w:rsid w:val="006B015A"/>
    <w:rsid w:val="006B0E80"/>
    <w:rsid w:val="006B149C"/>
    <w:rsid w:val="006B3F0C"/>
    <w:rsid w:val="006B4741"/>
    <w:rsid w:val="006B50E7"/>
    <w:rsid w:val="006B62EF"/>
    <w:rsid w:val="006B7019"/>
    <w:rsid w:val="006B74B8"/>
    <w:rsid w:val="006C0232"/>
    <w:rsid w:val="006C0985"/>
    <w:rsid w:val="006C1319"/>
    <w:rsid w:val="006C303D"/>
    <w:rsid w:val="006C3DB5"/>
    <w:rsid w:val="006C47DE"/>
    <w:rsid w:val="006C4E95"/>
    <w:rsid w:val="006C54D3"/>
    <w:rsid w:val="006C579D"/>
    <w:rsid w:val="006C5A60"/>
    <w:rsid w:val="006C5A98"/>
    <w:rsid w:val="006C65EE"/>
    <w:rsid w:val="006C6BAC"/>
    <w:rsid w:val="006C7FE3"/>
    <w:rsid w:val="006D0B8F"/>
    <w:rsid w:val="006D0E18"/>
    <w:rsid w:val="006D17A0"/>
    <w:rsid w:val="006D1F97"/>
    <w:rsid w:val="006D2D60"/>
    <w:rsid w:val="006D336A"/>
    <w:rsid w:val="006D5B27"/>
    <w:rsid w:val="006D7B5F"/>
    <w:rsid w:val="006E0A9A"/>
    <w:rsid w:val="006E0B8A"/>
    <w:rsid w:val="006E0E94"/>
    <w:rsid w:val="006E1EC5"/>
    <w:rsid w:val="006E2CC6"/>
    <w:rsid w:val="006E35E4"/>
    <w:rsid w:val="006E3843"/>
    <w:rsid w:val="006E3BCF"/>
    <w:rsid w:val="006E48F6"/>
    <w:rsid w:val="006E4B24"/>
    <w:rsid w:val="006E58B9"/>
    <w:rsid w:val="006E5943"/>
    <w:rsid w:val="006E65F5"/>
    <w:rsid w:val="006E7148"/>
    <w:rsid w:val="006E7CBF"/>
    <w:rsid w:val="006F275C"/>
    <w:rsid w:val="006F3283"/>
    <w:rsid w:val="006F42D3"/>
    <w:rsid w:val="006F4964"/>
    <w:rsid w:val="006F53AC"/>
    <w:rsid w:val="006F57B4"/>
    <w:rsid w:val="006F5E48"/>
    <w:rsid w:val="006F72E3"/>
    <w:rsid w:val="0070050E"/>
    <w:rsid w:val="007013BD"/>
    <w:rsid w:val="00701EAD"/>
    <w:rsid w:val="00701F76"/>
    <w:rsid w:val="007023F6"/>
    <w:rsid w:val="007024C3"/>
    <w:rsid w:val="00702AF4"/>
    <w:rsid w:val="00702DE4"/>
    <w:rsid w:val="0070423E"/>
    <w:rsid w:val="00705B27"/>
    <w:rsid w:val="00706398"/>
    <w:rsid w:val="007077FC"/>
    <w:rsid w:val="0071128D"/>
    <w:rsid w:val="00711B94"/>
    <w:rsid w:val="0071280A"/>
    <w:rsid w:val="00713A98"/>
    <w:rsid w:val="00713F8A"/>
    <w:rsid w:val="00715D26"/>
    <w:rsid w:val="007176BE"/>
    <w:rsid w:val="007210F9"/>
    <w:rsid w:val="00721190"/>
    <w:rsid w:val="00721577"/>
    <w:rsid w:val="007224F1"/>
    <w:rsid w:val="00722F22"/>
    <w:rsid w:val="00723DF2"/>
    <w:rsid w:val="00723F33"/>
    <w:rsid w:val="00723F9D"/>
    <w:rsid w:val="00724DAE"/>
    <w:rsid w:val="00724DDF"/>
    <w:rsid w:val="00724F9E"/>
    <w:rsid w:val="00725667"/>
    <w:rsid w:val="00726B32"/>
    <w:rsid w:val="007270C4"/>
    <w:rsid w:val="007273B8"/>
    <w:rsid w:val="00727BA4"/>
    <w:rsid w:val="007306B4"/>
    <w:rsid w:val="00733743"/>
    <w:rsid w:val="00733931"/>
    <w:rsid w:val="007347AA"/>
    <w:rsid w:val="00734F4D"/>
    <w:rsid w:val="00735180"/>
    <w:rsid w:val="00735440"/>
    <w:rsid w:val="0073735A"/>
    <w:rsid w:val="00737535"/>
    <w:rsid w:val="007379AF"/>
    <w:rsid w:val="00737D4D"/>
    <w:rsid w:val="0074138B"/>
    <w:rsid w:val="007423AB"/>
    <w:rsid w:val="0074427F"/>
    <w:rsid w:val="007456DE"/>
    <w:rsid w:val="007456FB"/>
    <w:rsid w:val="00746EBB"/>
    <w:rsid w:val="007505B1"/>
    <w:rsid w:val="00752A96"/>
    <w:rsid w:val="00752C33"/>
    <w:rsid w:val="00754AD6"/>
    <w:rsid w:val="00754BED"/>
    <w:rsid w:val="00754CD3"/>
    <w:rsid w:val="00754D6D"/>
    <w:rsid w:val="007556D5"/>
    <w:rsid w:val="00757472"/>
    <w:rsid w:val="007574E4"/>
    <w:rsid w:val="007578F5"/>
    <w:rsid w:val="00757DB9"/>
    <w:rsid w:val="007604EB"/>
    <w:rsid w:val="007647AE"/>
    <w:rsid w:val="00765441"/>
    <w:rsid w:val="0076612A"/>
    <w:rsid w:val="00766EBC"/>
    <w:rsid w:val="007679D1"/>
    <w:rsid w:val="00771D4F"/>
    <w:rsid w:val="0077200C"/>
    <w:rsid w:val="00773DF9"/>
    <w:rsid w:val="007742A8"/>
    <w:rsid w:val="00774610"/>
    <w:rsid w:val="0077500A"/>
    <w:rsid w:val="00775890"/>
    <w:rsid w:val="00776022"/>
    <w:rsid w:val="007766F5"/>
    <w:rsid w:val="0077770F"/>
    <w:rsid w:val="00777F65"/>
    <w:rsid w:val="00781C46"/>
    <w:rsid w:val="00782265"/>
    <w:rsid w:val="00783370"/>
    <w:rsid w:val="0078435C"/>
    <w:rsid w:val="007849AE"/>
    <w:rsid w:val="00785F1B"/>
    <w:rsid w:val="00786792"/>
    <w:rsid w:val="00787BF1"/>
    <w:rsid w:val="00787C5B"/>
    <w:rsid w:val="007906CE"/>
    <w:rsid w:val="007907B7"/>
    <w:rsid w:val="00790833"/>
    <w:rsid w:val="007923C2"/>
    <w:rsid w:val="00794141"/>
    <w:rsid w:val="007953D7"/>
    <w:rsid w:val="007954A2"/>
    <w:rsid w:val="007959F7"/>
    <w:rsid w:val="00795A9F"/>
    <w:rsid w:val="00796B80"/>
    <w:rsid w:val="00796C6F"/>
    <w:rsid w:val="007A0230"/>
    <w:rsid w:val="007A135A"/>
    <w:rsid w:val="007A18E5"/>
    <w:rsid w:val="007A1970"/>
    <w:rsid w:val="007A1F1D"/>
    <w:rsid w:val="007A2941"/>
    <w:rsid w:val="007A2A6C"/>
    <w:rsid w:val="007A3325"/>
    <w:rsid w:val="007A3E1F"/>
    <w:rsid w:val="007A60A2"/>
    <w:rsid w:val="007A6579"/>
    <w:rsid w:val="007A737F"/>
    <w:rsid w:val="007A7457"/>
    <w:rsid w:val="007A79DB"/>
    <w:rsid w:val="007A7D28"/>
    <w:rsid w:val="007B063F"/>
    <w:rsid w:val="007B112C"/>
    <w:rsid w:val="007B1608"/>
    <w:rsid w:val="007B16ED"/>
    <w:rsid w:val="007B2254"/>
    <w:rsid w:val="007B2352"/>
    <w:rsid w:val="007B389C"/>
    <w:rsid w:val="007B4AE7"/>
    <w:rsid w:val="007B4E39"/>
    <w:rsid w:val="007B69F8"/>
    <w:rsid w:val="007B6A74"/>
    <w:rsid w:val="007B7AB9"/>
    <w:rsid w:val="007B7E12"/>
    <w:rsid w:val="007C0EBB"/>
    <w:rsid w:val="007C122C"/>
    <w:rsid w:val="007C3019"/>
    <w:rsid w:val="007C317D"/>
    <w:rsid w:val="007C5047"/>
    <w:rsid w:val="007C5741"/>
    <w:rsid w:val="007C63B9"/>
    <w:rsid w:val="007C6785"/>
    <w:rsid w:val="007C6886"/>
    <w:rsid w:val="007C77B3"/>
    <w:rsid w:val="007D093A"/>
    <w:rsid w:val="007D133A"/>
    <w:rsid w:val="007D3233"/>
    <w:rsid w:val="007D4185"/>
    <w:rsid w:val="007D4A4E"/>
    <w:rsid w:val="007D4AF3"/>
    <w:rsid w:val="007D5483"/>
    <w:rsid w:val="007D5AF2"/>
    <w:rsid w:val="007D69BB"/>
    <w:rsid w:val="007D77A2"/>
    <w:rsid w:val="007D7C92"/>
    <w:rsid w:val="007E04A5"/>
    <w:rsid w:val="007E0940"/>
    <w:rsid w:val="007E2301"/>
    <w:rsid w:val="007E39E9"/>
    <w:rsid w:val="007E4B1B"/>
    <w:rsid w:val="007E53ED"/>
    <w:rsid w:val="007E5D8A"/>
    <w:rsid w:val="007E6645"/>
    <w:rsid w:val="007E66E2"/>
    <w:rsid w:val="007E6B9A"/>
    <w:rsid w:val="007E7004"/>
    <w:rsid w:val="007E7364"/>
    <w:rsid w:val="007F0393"/>
    <w:rsid w:val="007F123E"/>
    <w:rsid w:val="007F1ADF"/>
    <w:rsid w:val="007F277F"/>
    <w:rsid w:val="007F29B4"/>
    <w:rsid w:val="007F3849"/>
    <w:rsid w:val="007F45B1"/>
    <w:rsid w:val="007F4F68"/>
    <w:rsid w:val="007F66C3"/>
    <w:rsid w:val="007F718A"/>
    <w:rsid w:val="007F72DA"/>
    <w:rsid w:val="008005B8"/>
    <w:rsid w:val="00801810"/>
    <w:rsid w:val="00801DC1"/>
    <w:rsid w:val="00802125"/>
    <w:rsid w:val="0080305E"/>
    <w:rsid w:val="00803356"/>
    <w:rsid w:val="00803F86"/>
    <w:rsid w:val="00804190"/>
    <w:rsid w:val="008043D2"/>
    <w:rsid w:val="008051A9"/>
    <w:rsid w:val="00805389"/>
    <w:rsid w:val="0080548C"/>
    <w:rsid w:val="008054CF"/>
    <w:rsid w:val="00805937"/>
    <w:rsid w:val="00806425"/>
    <w:rsid w:val="008066B1"/>
    <w:rsid w:val="00807D58"/>
    <w:rsid w:val="008100FB"/>
    <w:rsid w:val="00810180"/>
    <w:rsid w:val="00810F84"/>
    <w:rsid w:val="0081293F"/>
    <w:rsid w:val="00813063"/>
    <w:rsid w:val="0081338D"/>
    <w:rsid w:val="008134D2"/>
    <w:rsid w:val="00814A4C"/>
    <w:rsid w:val="00814BB7"/>
    <w:rsid w:val="00815267"/>
    <w:rsid w:val="0081590F"/>
    <w:rsid w:val="00816261"/>
    <w:rsid w:val="00820299"/>
    <w:rsid w:val="00820C74"/>
    <w:rsid w:val="008217AC"/>
    <w:rsid w:val="00822BEA"/>
    <w:rsid w:val="00822E12"/>
    <w:rsid w:val="00823BE0"/>
    <w:rsid w:val="008241D6"/>
    <w:rsid w:val="00824352"/>
    <w:rsid w:val="00824902"/>
    <w:rsid w:val="0082508C"/>
    <w:rsid w:val="00825511"/>
    <w:rsid w:val="008260E2"/>
    <w:rsid w:val="008269EB"/>
    <w:rsid w:val="00827830"/>
    <w:rsid w:val="0083041E"/>
    <w:rsid w:val="00830818"/>
    <w:rsid w:val="00830E12"/>
    <w:rsid w:val="00831301"/>
    <w:rsid w:val="00831B4B"/>
    <w:rsid w:val="0083279A"/>
    <w:rsid w:val="00833C7D"/>
    <w:rsid w:val="00834420"/>
    <w:rsid w:val="00834DCF"/>
    <w:rsid w:val="008360C8"/>
    <w:rsid w:val="008362D5"/>
    <w:rsid w:val="0083650E"/>
    <w:rsid w:val="0084063B"/>
    <w:rsid w:val="00840A16"/>
    <w:rsid w:val="00840A9D"/>
    <w:rsid w:val="00840D95"/>
    <w:rsid w:val="00841ABF"/>
    <w:rsid w:val="008439A2"/>
    <w:rsid w:val="00844C7A"/>
    <w:rsid w:val="00845F72"/>
    <w:rsid w:val="00847757"/>
    <w:rsid w:val="00847F4E"/>
    <w:rsid w:val="00850E07"/>
    <w:rsid w:val="0085212C"/>
    <w:rsid w:val="00852782"/>
    <w:rsid w:val="00852E5B"/>
    <w:rsid w:val="008545CC"/>
    <w:rsid w:val="00854F48"/>
    <w:rsid w:val="0085522B"/>
    <w:rsid w:val="0085593B"/>
    <w:rsid w:val="008575C7"/>
    <w:rsid w:val="0086024E"/>
    <w:rsid w:val="008603D9"/>
    <w:rsid w:val="0086057F"/>
    <w:rsid w:val="00861DAD"/>
    <w:rsid w:val="00870126"/>
    <w:rsid w:val="00870781"/>
    <w:rsid w:val="008713EA"/>
    <w:rsid w:val="00871A2A"/>
    <w:rsid w:val="00871BC5"/>
    <w:rsid w:val="0087230E"/>
    <w:rsid w:val="008730D8"/>
    <w:rsid w:val="0087324A"/>
    <w:rsid w:val="00874116"/>
    <w:rsid w:val="008743AF"/>
    <w:rsid w:val="00874B1E"/>
    <w:rsid w:val="00875934"/>
    <w:rsid w:val="00876844"/>
    <w:rsid w:val="00880E04"/>
    <w:rsid w:val="00881FBF"/>
    <w:rsid w:val="0088291B"/>
    <w:rsid w:val="00883A43"/>
    <w:rsid w:val="00884B5C"/>
    <w:rsid w:val="00885124"/>
    <w:rsid w:val="00887244"/>
    <w:rsid w:val="00890B46"/>
    <w:rsid w:val="00890C37"/>
    <w:rsid w:val="00890ED8"/>
    <w:rsid w:val="00890F2A"/>
    <w:rsid w:val="00893790"/>
    <w:rsid w:val="008937EB"/>
    <w:rsid w:val="008938D5"/>
    <w:rsid w:val="00893E96"/>
    <w:rsid w:val="0089583C"/>
    <w:rsid w:val="008958C6"/>
    <w:rsid w:val="00896B01"/>
    <w:rsid w:val="0089701C"/>
    <w:rsid w:val="00897DD2"/>
    <w:rsid w:val="008A093F"/>
    <w:rsid w:val="008A157B"/>
    <w:rsid w:val="008A3B3E"/>
    <w:rsid w:val="008A525E"/>
    <w:rsid w:val="008A52D9"/>
    <w:rsid w:val="008A5DA1"/>
    <w:rsid w:val="008A639F"/>
    <w:rsid w:val="008A7808"/>
    <w:rsid w:val="008B0C17"/>
    <w:rsid w:val="008B1461"/>
    <w:rsid w:val="008B24AE"/>
    <w:rsid w:val="008B41ED"/>
    <w:rsid w:val="008B51B9"/>
    <w:rsid w:val="008B567F"/>
    <w:rsid w:val="008B58DA"/>
    <w:rsid w:val="008B59EA"/>
    <w:rsid w:val="008B7A3E"/>
    <w:rsid w:val="008B7F17"/>
    <w:rsid w:val="008C1BDB"/>
    <w:rsid w:val="008C2054"/>
    <w:rsid w:val="008C24C9"/>
    <w:rsid w:val="008C2625"/>
    <w:rsid w:val="008C278D"/>
    <w:rsid w:val="008C2B27"/>
    <w:rsid w:val="008C2BBE"/>
    <w:rsid w:val="008C2F29"/>
    <w:rsid w:val="008C3DA5"/>
    <w:rsid w:val="008C3F48"/>
    <w:rsid w:val="008C5AE7"/>
    <w:rsid w:val="008C680C"/>
    <w:rsid w:val="008C791D"/>
    <w:rsid w:val="008D0A82"/>
    <w:rsid w:val="008D11A8"/>
    <w:rsid w:val="008D1238"/>
    <w:rsid w:val="008D1295"/>
    <w:rsid w:val="008D1B13"/>
    <w:rsid w:val="008D30CA"/>
    <w:rsid w:val="008D355C"/>
    <w:rsid w:val="008D40C4"/>
    <w:rsid w:val="008D5621"/>
    <w:rsid w:val="008D69CD"/>
    <w:rsid w:val="008D7513"/>
    <w:rsid w:val="008E05B3"/>
    <w:rsid w:val="008E17F5"/>
    <w:rsid w:val="008E21A5"/>
    <w:rsid w:val="008E255D"/>
    <w:rsid w:val="008E32E3"/>
    <w:rsid w:val="008E3ABE"/>
    <w:rsid w:val="008E3E67"/>
    <w:rsid w:val="008E6FA6"/>
    <w:rsid w:val="008F07F7"/>
    <w:rsid w:val="008F3974"/>
    <w:rsid w:val="008F3D14"/>
    <w:rsid w:val="008F4BB0"/>
    <w:rsid w:val="008F515B"/>
    <w:rsid w:val="008F51D5"/>
    <w:rsid w:val="008F6F21"/>
    <w:rsid w:val="008F7609"/>
    <w:rsid w:val="00900262"/>
    <w:rsid w:val="00901C6C"/>
    <w:rsid w:val="00901D16"/>
    <w:rsid w:val="009038A3"/>
    <w:rsid w:val="00903E61"/>
    <w:rsid w:val="0090508C"/>
    <w:rsid w:val="009062CB"/>
    <w:rsid w:val="009126A3"/>
    <w:rsid w:val="00912988"/>
    <w:rsid w:val="009143E9"/>
    <w:rsid w:val="00914995"/>
    <w:rsid w:val="00914EF1"/>
    <w:rsid w:val="00915B4A"/>
    <w:rsid w:val="00915EEB"/>
    <w:rsid w:val="00917ACA"/>
    <w:rsid w:val="00917C00"/>
    <w:rsid w:val="009218E9"/>
    <w:rsid w:val="00921FEA"/>
    <w:rsid w:val="00925198"/>
    <w:rsid w:val="00925EA4"/>
    <w:rsid w:val="00926DE5"/>
    <w:rsid w:val="00930219"/>
    <w:rsid w:val="00930F8B"/>
    <w:rsid w:val="0093185A"/>
    <w:rsid w:val="009321EB"/>
    <w:rsid w:val="00932271"/>
    <w:rsid w:val="00932272"/>
    <w:rsid w:val="00933F26"/>
    <w:rsid w:val="00934BEA"/>
    <w:rsid w:val="00935F51"/>
    <w:rsid w:val="00937813"/>
    <w:rsid w:val="00937FCA"/>
    <w:rsid w:val="00944A70"/>
    <w:rsid w:val="009456CB"/>
    <w:rsid w:val="009464F6"/>
    <w:rsid w:val="0094667B"/>
    <w:rsid w:val="0095164C"/>
    <w:rsid w:val="009520AD"/>
    <w:rsid w:val="0095223B"/>
    <w:rsid w:val="00952526"/>
    <w:rsid w:val="00952868"/>
    <w:rsid w:val="00953E79"/>
    <w:rsid w:val="0095689E"/>
    <w:rsid w:val="00956FA2"/>
    <w:rsid w:val="00957DAA"/>
    <w:rsid w:val="009615CB"/>
    <w:rsid w:val="00962B19"/>
    <w:rsid w:val="00962CCD"/>
    <w:rsid w:val="00963272"/>
    <w:rsid w:val="00963A4D"/>
    <w:rsid w:val="0096521E"/>
    <w:rsid w:val="009660C1"/>
    <w:rsid w:val="00966231"/>
    <w:rsid w:val="009664B3"/>
    <w:rsid w:val="009669AE"/>
    <w:rsid w:val="00970084"/>
    <w:rsid w:val="009701A0"/>
    <w:rsid w:val="00970FF5"/>
    <w:rsid w:val="00972E2B"/>
    <w:rsid w:val="009741B3"/>
    <w:rsid w:val="009755CA"/>
    <w:rsid w:val="00976067"/>
    <w:rsid w:val="00976E7F"/>
    <w:rsid w:val="0097719F"/>
    <w:rsid w:val="00977A52"/>
    <w:rsid w:val="00980AAF"/>
    <w:rsid w:val="00980DD4"/>
    <w:rsid w:val="009817E4"/>
    <w:rsid w:val="00983805"/>
    <w:rsid w:val="00983885"/>
    <w:rsid w:val="00983A92"/>
    <w:rsid w:val="00984125"/>
    <w:rsid w:val="00984378"/>
    <w:rsid w:val="00984D67"/>
    <w:rsid w:val="009862F9"/>
    <w:rsid w:val="009864EB"/>
    <w:rsid w:val="00986BF9"/>
    <w:rsid w:val="009871D8"/>
    <w:rsid w:val="009872A9"/>
    <w:rsid w:val="009877EE"/>
    <w:rsid w:val="009877FB"/>
    <w:rsid w:val="00987AEC"/>
    <w:rsid w:val="009944A9"/>
    <w:rsid w:val="00996BCC"/>
    <w:rsid w:val="0099713C"/>
    <w:rsid w:val="00997AE7"/>
    <w:rsid w:val="009A2F74"/>
    <w:rsid w:val="009A55DA"/>
    <w:rsid w:val="009A5DC4"/>
    <w:rsid w:val="009A5F62"/>
    <w:rsid w:val="009A78BD"/>
    <w:rsid w:val="009A7BB6"/>
    <w:rsid w:val="009B068E"/>
    <w:rsid w:val="009B08D9"/>
    <w:rsid w:val="009B197C"/>
    <w:rsid w:val="009B1F42"/>
    <w:rsid w:val="009B3699"/>
    <w:rsid w:val="009B47B4"/>
    <w:rsid w:val="009B5047"/>
    <w:rsid w:val="009B5056"/>
    <w:rsid w:val="009B5A9D"/>
    <w:rsid w:val="009B619E"/>
    <w:rsid w:val="009B6339"/>
    <w:rsid w:val="009B7257"/>
    <w:rsid w:val="009B775D"/>
    <w:rsid w:val="009B7D52"/>
    <w:rsid w:val="009C0884"/>
    <w:rsid w:val="009C098A"/>
    <w:rsid w:val="009C24EB"/>
    <w:rsid w:val="009C2C76"/>
    <w:rsid w:val="009C4543"/>
    <w:rsid w:val="009C583D"/>
    <w:rsid w:val="009C6372"/>
    <w:rsid w:val="009C67C9"/>
    <w:rsid w:val="009D1209"/>
    <w:rsid w:val="009D2009"/>
    <w:rsid w:val="009D2948"/>
    <w:rsid w:val="009D3014"/>
    <w:rsid w:val="009D35A1"/>
    <w:rsid w:val="009D454D"/>
    <w:rsid w:val="009D4597"/>
    <w:rsid w:val="009D465B"/>
    <w:rsid w:val="009D4A08"/>
    <w:rsid w:val="009D57FB"/>
    <w:rsid w:val="009D738C"/>
    <w:rsid w:val="009E1420"/>
    <w:rsid w:val="009E458F"/>
    <w:rsid w:val="009E73A1"/>
    <w:rsid w:val="009F1955"/>
    <w:rsid w:val="009F1A5B"/>
    <w:rsid w:val="009F1BF3"/>
    <w:rsid w:val="009F211C"/>
    <w:rsid w:val="009F2AF6"/>
    <w:rsid w:val="009F316A"/>
    <w:rsid w:val="009F3EFA"/>
    <w:rsid w:val="009F4164"/>
    <w:rsid w:val="009F4CC3"/>
    <w:rsid w:val="009F515F"/>
    <w:rsid w:val="009F5974"/>
    <w:rsid w:val="009F6221"/>
    <w:rsid w:val="00A011C0"/>
    <w:rsid w:val="00A0223F"/>
    <w:rsid w:val="00A02447"/>
    <w:rsid w:val="00A030C3"/>
    <w:rsid w:val="00A03739"/>
    <w:rsid w:val="00A0574D"/>
    <w:rsid w:val="00A066C3"/>
    <w:rsid w:val="00A073E5"/>
    <w:rsid w:val="00A07B0D"/>
    <w:rsid w:val="00A105DD"/>
    <w:rsid w:val="00A123C8"/>
    <w:rsid w:val="00A12B4C"/>
    <w:rsid w:val="00A14144"/>
    <w:rsid w:val="00A1418E"/>
    <w:rsid w:val="00A14AD5"/>
    <w:rsid w:val="00A15E71"/>
    <w:rsid w:val="00A163AD"/>
    <w:rsid w:val="00A178C1"/>
    <w:rsid w:val="00A178DE"/>
    <w:rsid w:val="00A2071B"/>
    <w:rsid w:val="00A210CD"/>
    <w:rsid w:val="00A24044"/>
    <w:rsid w:val="00A2406B"/>
    <w:rsid w:val="00A24342"/>
    <w:rsid w:val="00A2462B"/>
    <w:rsid w:val="00A2716C"/>
    <w:rsid w:val="00A3113F"/>
    <w:rsid w:val="00A3144E"/>
    <w:rsid w:val="00A3531A"/>
    <w:rsid w:val="00A35E6B"/>
    <w:rsid w:val="00A363B5"/>
    <w:rsid w:val="00A36D79"/>
    <w:rsid w:val="00A37784"/>
    <w:rsid w:val="00A4015E"/>
    <w:rsid w:val="00A41997"/>
    <w:rsid w:val="00A4208F"/>
    <w:rsid w:val="00A434C3"/>
    <w:rsid w:val="00A438D2"/>
    <w:rsid w:val="00A44189"/>
    <w:rsid w:val="00A44DDD"/>
    <w:rsid w:val="00A44EDD"/>
    <w:rsid w:val="00A45642"/>
    <w:rsid w:val="00A45E39"/>
    <w:rsid w:val="00A45FFB"/>
    <w:rsid w:val="00A461E7"/>
    <w:rsid w:val="00A47224"/>
    <w:rsid w:val="00A4766E"/>
    <w:rsid w:val="00A47AB2"/>
    <w:rsid w:val="00A510B2"/>
    <w:rsid w:val="00A510EA"/>
    <w:rsid w:val="00A512F8"/>
    <w:rsid w:val="00A51970"/>
    <w:rsid w:val="00A51E95"/>
    <w:rsid w:val="00A5207F"/>
    <w:rsid w:val="00A5262E"/>
    <w:rsid w:val="00A5291E"/>
    <w:rsid w:val="00A53967"/>
    <w:rsid w:val="00A53A59"/>
    <w:rsid w:val="00A54528"/>
    <w:rsid w:val="00A54EF0"/>
    <w:rsid w:val="00A55056"/>
    <w:rsid w:val="00A560F0"/>
    <w:rsid w:val="00A56591"/>
    <w:rsid w:val="00A56D6E"/>
    <w:rsid w:val="00A579D1"/>
    <w:rsid w:val="00A602AF"/>
    <w:rsid w:val="00A608CD"/>
    <w:rsid w:val="00A60F98"/>
    <w:rsid w:val="00A62311"/>
    <w:rsid w:val="00A62566"/>
    <w:rsid w:val="00A6426E"/>
    <w:rsid w:val="00A64E86"/>
    <w:rsid w:val="00A66E86"/>
    <w:rsid w:val="00A70B73"/>
    <w:rsid w:val="00A73AA1"/>
    <w:rsid w:val="00A73C26"/>
    <w:rsid w:val="00A742D8"/>
    <w:rsid w:val="00A745B7"/>
    <w:rsid w:val="00A74D57"/>
    <w:rsid w:val="00A75489"/>
    <w:rsid w:val="00A77125"/>
    <w:rsid w:val="00A77D26"/>
    <w:rsid w:val="00A80D16"/>
    <w:rsid w:val="00A80D62"/>
    <w:rsid w:val="00A81CA5"/>
    <w:rsid w:val="00A81CEA"/>
    <w:rsid w:val="00A82005"/>
    <w:rsid w:val="00A82925"/>
    <w:rsid w:val="00A83855"/>
    <w:rsid w:val="00A848DC"/>
    <w:rsid w:val="00A84C81"/>
    <w:rsid w:val="00A86767"/>
    <w:rsid w:val="00A86989"/>
    <w:rsid w:val="00A869C6"/>
    <w:rsid w:val="00A876F2"/>
    <w:rsid w:val="00A87CF6"/>
    <w:rsid w:val="00A920B7"/>
    <w:rsid w:val="00A92157"/>
    <w:rsid w:val="00A935FF"/>
    <w:rsid w:val="00A9424C"/>
    <w:rsid w:val="00A95993"/>
    <w:rsid w:val="00A95EF6"/>
    <w:rsid w:val="00A96D80"/>
    <w:rsid w:val="00A97184"/>
    <w:rsid w:val="00A97B5D"/>
    <w:rsid w:val="00AA0035"/>
    <w:rsid w:val="00AA087E"/>
    <w:rsid w:val="00AA2255"/>
    <w:rsid w:val="00AA2BB7"/>
    <w:rsid w:val="00AA3CBC"/>
    <w:rsid w:val="00AA7B85"/>
    <w:rsid w:val="00AB0133"/>
    <w:rsid w:val="00AB0273"/>
    <w:rsid w:val="00AB191B"/>
    <w:rsid w:val="00AB3F77"/>
    <w:rsid w:val="00AB4B1F"/>
    <w:rsid w:val="00AB5282"/>
    <w:rsid w:val="00AB7D01"/>
    <w:rsid w:val="00AC0E03"/>
    <w:rsid w:val="00AC1316"/>
    <w:rsid w:val="00AC2BCB"/>
    <w:rsid w:val="00AC3361"/>
    <w:rsid w:val="00AC36CA"/>
    <w:rsid w:val="00AC5469"/>
    <w:rsid w:val="00AC5E14"/>
    <w:rsid w:val="00AC6245"/>
    <w:rsid w:val="00AC6418"/>
    <w:rsid w:val="00AC7043"/>
    <w:rsid w:val="00AC7276"/>
    <w:rsid w:val="00AD02F0"/>
    <w:rsid w:val="00AD22BA"/>
    <w:rsid w:val="00AD3D63"/>
    <w:rsid w:val="00AD5824"/>
    <w:rsid w:val="00AD5A81"/>
    <w:rsid w:val="00AD6127"/>
    <w:rsid w:val="00AE2831"/>
    <w:rsid w:val="00AE2A63"/>
    <w:rsid w:val="00AE2FC4"/>
    <w:rsid w:val="00AE3273"/>
    <w:rsid w:val="00AE36E5"/>
    <w:rsid w:val="00AE3CBF"/>
    <w:rsid w:val="00AE6DFF"/>
    <w:rsid w:val="00AF0A9B"/>
    <w:rsid w:val="00AF15A3"/>
    <w:rsid w:val="00AF223F"/>
    <w:rsid w:val="00AF3113"/>
    <w:rsid w:val="00AF34D1"/>
    <w:rsid w:val="00AF3CBF"/>
    <w:rsid w:val="00AF7A9D"/>
    <w:rsid w:val="00B007FD"/>
    <w:rsid w:val="00B01491"/>
    <w:rsid w:val="00B01A98"/>
    <w:rsid w:val="00B01D34"/>
    <w:rsid w:val="00B01D49"/>
    <w:rsid w:val="00B040AF"/>
    <w:rsid w:val="00B0477E"/>
    <w:rsid w:val="00B04E12"/>
    <w:rsid w:val="00B052F7"/>
    <w:rsid w:val="00B05F7E"/>
    <w:rsid w:val="00B108BE"/>
    <w:rsid w:val="00B11073"/>
    <w:rsid w:val="00B1335C"/>
    <w:rsid w:val="00B14641"/>
    <w:rsid w:val="00B14D71"/>
    <w:rsid w:val="00B15861"/>
    <w:rsid w:val="00B1678E"/>
    <w:rsid w:val="00B16A39"/>
    <w:rsid w:val="00B17CFE"/>
    <w:rsid w:val="00B224FF"/>
    <w:rsid w:val="00B22BA8"/>
    <w:rsid w:val="00B242AE"/>
    <w:rsid w:val="00B2579D"/>
    <w:rsid w:val="00B25AE3"/>
    <w:rsid w:val="00B27565"/>
    <w:rsid w:val="00B27758"/>
    <w:rsid w:val="00B3153B"/>
    <w:rsid w:val="00B32909"/>
    <w:rsid w:val="00B36937"/>
    <w:rsid w:val="00B36FC6"/>
    <w:rsid w:val="00B4203B"/>
    <w:rsid w:val="00B42C6F"/>
    <w:rsid w:val="00B42ECA"/>
    <w:rsid w:val="00B4363B"/>
    <w:rsid w:val="00B43D11"/>
    <w:rsid w:val="00B44D9F"/>
    <w:rsid w:val="00B44F52"/>
    <w:rsid w:val="00B45C22"/>
    <w:rsid w:val="00B46711"/>
    <w:rsid w:val="00B474E4"/>
    <w:rsid w:val="00B479EB"/>
    <w:rsid w:val="00B51FE8"/>
    <w:rsid w:val="00B526FD"/>
    <w:rsid w:val="00B52C9D"/>
    <w:rsid w:val="00B52E9B"/>
    <w:rsid w:val="00B53F30"/>
    <w:rsid w:val="00B543E8"/>
    <w:rsid w:val="00B5499F"/>
    <w:rsid w:val="00B55043"/>
    <w:rsid w:val="00B5667D"/>
    <w:rsid w:val="00B56BAB"/>
    <w:rsid w:val="00B571DC"/>
    <w:rsid w:val="00B57817"/>
    <w:rsid w:val="00B57E15"/>
    <w:rsid w:val="00B604F3"/>
    <w:rsid w:val="00B60956"/>
    <w:rsid w:val="00B61F3E"/>
    <w:rsid w:val="00B6226B"/>
    <w:rsid w:val="00B629B9"/>
    <w:rsid w:val="00B64192"/>
    <w:rsid w:val="00B64D6F"/>
    <w:rsid w:val="00B65347"/>
    <w:rsid w:val="00B65515"/>
    <w:rsid w:val="00B66CA0"/>
    <w:rsid w:val="00B66CAA"/>
    <w:rsid w:val="00B6703F"/>
    <w:rsid w:val="00B67344"/>
    <w:rsid w:val="00B707F3"/>
    <w:rsid w:val="00B70C71"/>
    <w:rsid w:val="00B71BE1"/>
    <w:rsid w:val="00B73115"/>
    <w:rsid w:val="00B73968"/>
    <w:rsid w:val="00B74551"/>
    <w:rsid w:val="00B75350"/>
    <w:rsid w:val="00B75878"/>
    <w:rsid w:val="00B76805"/>
    <w:rsid w:val="00B76ACE"/>
    <w:rsid w:val="00B80E43"/>
    <w:rsid w:val="00B81158"/>
    <w:rsid w:val="00B81714"/>
    <w:rsid w:val="00B820C9"/>
    <w:rsid w:val="00B825AF"/>
    <w:rsid w:val="00B82CAD"/>
    <w:rsid w:val="00B8430F"/>
    <w:rsid w:val="00B8552C"/>
    <w:rsid w:val="00B86729"/>
    <w:rsid w:val="00B86F95"/>
    <w:rsid w:val="00B90FE3"/>
    <w:rsid w:val="00B9224D"/>
    <w:rsid w:val="00B9268C"/>
    <w:rsid w:val="00B92BBE"/>
    <w:rsid w:val="00B96054"/>
    <w:rsid w:val="00B96D75"/>
    <w:rsid w:val="00B97266"/>
    <w:rsid w:val="00BA3BC2"/>
    <w:rsid w:val="00BA4CDF"/>
    <w:rsid w:val="00BA6036"/>
    <w:rsid w:val="00BA753F"/>
    <w:rsid w:val="00BB179F"/>
    <w:rsid w:val="00BB1AC3"/>
    <w:rsid w:val="00BB3010"/>
    <w:rsid w:val="00BB68CC"/>
    <w:rsid w:val="00BB6B6C"/>
    <w:rsid w:val="00BB6D13"/>
    <w:rsid w:val="00BB6F14"/>
    <w:rsid w:val="00BB70C7"/>
    <w:rsid w:val="00BC0290"/>
    <w:rsid w:val="00BC0650"/>
    <w:rsid w:val="00BC0BDA"/>
    <w:rsid w:val="00BC1B35"/>
    <w:rsid w:val="00BC2618"/>
    <w:rsid w:val="00BC3208"/>
    <w:rsid w:val="00BC366A"/>
    <w:rsid w:val="00BC36F1"/>
    <w:rsid w:val="00BC537F"/>
    <w:rsid w:val="00BC59F1"/>
    <w:rsid w:val="00BC5BDF"/>
    <w:rsid w:val="00BC5D0B"/>
    <w:rsid w:val="00BC5EFB"/>
    <w:rsid w:val="00BC6AB6"/>
    <w:rsid w:val="00BC7470"/>
    <w:rsid w:val="00BD17C0"/>
    <w:rsid w:val="00BD1B95"/>
    <w:rsid w:val="00BD2E1C"/>
    <w:rsid w:val="00BD369F"/>
    <w:rsid w:val="00BD42FE"/>
    <w:rsid w:val="00BD48CC"/>
    <w:rsid w:val="00BD4D2C"/>
    <w:rsid w:val="00BD5B45"/>
    <w:rsid w:val="00BD5BBB"/>
    <w:rsid w:val="00BD7B5A"/>
    <w:rsid w:val="00BD7EDB"/>
    <w:rsid w:val="00BE1918"/>
    <w:rsid w:val="00BE1C5F"/>
    <w:rsid w:val="00BE2C54"/>
    <w:rsid w:val="00BE3345"/>
    <w:rsid w:val="00BE5D77"/>
    <w:rsid w:val="00BE72DB"/>
    <w:rsid w:val="00BE79A7"/>
    <w:rsid w:val="00BF05A4"/>
    <w:rsid w:val="00BF27FF"/>
    <w:rsid w:val="00BF3091"/>
    <w:rsid w:val="00BF31ED"/>
    <w:rsid w:val="00BF3F47"/>
    <w:rsid w:val="00BF4EFF"/>
    <w:rsid w:val="00BF652B"/>
    <w:rsid w:val="00BF6806"/>
    <w:rsid w:val="00C004A7"/>
    <w:rsid w:val="00C01E72"/>
    <w:rsid w:val="00C02180"/>
    <w:rsid w:val="00C05B84"/>
    <w:rsid w:val="00C06A2A"/>
    <w:rsid w:val="00C07DF8"/>
    <w:rsid w:val="00C107B8"/>
    <w:rsid w:val="00C10949"/>
    <w:rsid w:val="00C10A2A"/>
    <w:rsid w:val="00C11A03"/>
    <w:rsid w:val="00C122C2"/>
    <w:rsid w:val="00C12316"/>
    <w:rsid w:val="00C13F96"/>
    <w:rsid w:val="00C144CF"/>
    <w:rsid w:val="00C146A4"/>
    <w:rsid w:val="00C14D82"/>
    <w:rsid w:val="00C14F98"/>
    <w:rsid w:val="00C16524"/>
    <w:rsid w:val="00C17172"/>
    <w:rsid w:val="00C17F1D"/>
    <w:rsid w:val="00C20F5C"/>
    <w:rsid w:val="00C218E4"/>
    <w:rsid w:val="00C2249B"/>
    <w:rsid w:val="00C225A2"/>
    <w:rsid w:val="00C23060"/>
    <w:rsid w:val="00C240F8"/>
    <w:rsid w:val="00C24AAF"/>
    <w:rsid w:val="00C25E1D"/>
    <w:rsid w:val="00C263B0"/>
    <w:rsid w:val="00C30084"/>
    <w:rsid w:val="00C30368"/>
    <w:rsid w:val="00C3083D"/>
    <w:rsid w:val="00C30BFA"/>
    <w:rsid w:val="00C30E71"/>
    <w:rsid w:val="00C3121E"/>
    <w:rsid w:val="00C3199C"/>
    <w:rsid w:val="00C322B7"/>
    <w:rsid w:val="00C3269F"/>
    <w:rsid w:val="00C32F91"/>
    <w:rsid w:val="00C33ABD"/>
    <w:rsid w:val="00C33C10"/>
    <w:rsid w:val="00C34410"/>
    <w:rsid w:val="00C3534C"/>
    <w:rsid w:val="00C35853"/>
    <w:rsid w:val="00C35B3F"/>
    <w:rsid w:val="00C36724"/>
    <w:rsid w:val="00C36975"/>
    <w:rsid w:val="00C36C17"/>
    <w:rsid w:val="00C3728F"/>
    <w:rsid w:val="00C37AA2"/>
    <w:rsid w:val="00C37AA8"/>
    <w:rsid w:val="00C4143C"/>
    <w:rsid w:val="00C42824"/>
    <w:rsid w:val="00C430B6"/>
    <w:rsid w:val="00C432DD"/>
    <w:rsid w:val="00C438BB"/>
    <w:rsid w:val="00C44DB3"/>
    <w:rsid w:val="00C454CC"/>
    <w:rsid w:val="00C46093"/>
    <w:rsid w:val="00C467AF"/>
    <w:rsid w:val="00C46B96"/>
    <w:rsid w:val="00C4784C"/>
    <w:rsid w:val="00C525AD"/>
    <w:rsid w:val="00C52DE3"/>
    <w:rsid w:val="00C53CA6"/>
    <w:rsid w:val="00C545A4"/>
    <w:rsid w:val="00C566C3"/>
    <w:rsid w:val="00C56CEB"/>
    <w:rsid w:val="00C57FA3"/>
    <w:rsid w:val="00C60271"/>
    <w:rsid w:val="00C61F6C"/>
    <w:rsid w:val="00C629C5"/>
    <w:rsid w:val="00C62B8E"/>
    <w:rsid w:val="00C64C1B"/>
    <w:rsid w:val="00C64CAF"/>
    <w:rsid w:val="00C65F21"/>
    <w:rsid w:val="00C6622B"/>
    <w:rsid w:val="00C6743B"/>
    <w:rsid w:val="00C719CC"/>
    <w:rsid w:val="00C72852"/>
    <w:rsid w:val="00C742FD"/>
    <w:rsid w:val="00C749ED"/>
    <w:rsid w:val="00C74D5A"/>
    <w:rsid w:val="00C74F0B"/>
    <w:rsid w:val="00C7706B"/>
    <w:rsid w:val="00C80608"/>
    <w:rsid w:val="00C82148"/>
    <w:rsid w:val="00C829F0"/>
    <w:rsid w:val="00C84B02"/>
    <w:rsid w:val="00C854F9"/>
    <w:rsid w:val="00C857FA"/>
    <w:rsid w:val="00C85943"/>
    <w:rsid w:val="00C87735"/>
    <w:rsid w:val="00C90437"/>
    <w:rsid w:val="00C909E5"/>
    <w:rsid w:val="00C9114F"/>
    <w:rsid w:val="00C91BB9"/>
    <w:rsid w:val="00C929F6"/>
    <w:rsid w:val="00C93CD2"/>
    <w:rsid w:val="00C94C06"/>
    <w:rsid w:val="00C9546F"/>
    <w:rsid w:val="00C95843"/>
    <w:rsid w:val="00C95C08"/>
    <w:rsid w:val="00CA106C"/>
    <w:rsid w:val="00CA39E8"/>
    <w:rsid w:val="00CA40E3"/>
    <w:rsid w:val="00CA4546"/>
    <w:rsid w:val="00CA4DE1"/>
    <w:rsid w:val="00CA5133"/>
    <w:rsid w:val="00CA6BA9"/>
    <w:rsid w:val="00CA718E"/>
    <w:rsid w:val="00CA71E2"/>
    <w:rsid w:val="00CA7931"/>
    <w:rsid w:val="00CB00BC"/>
    <w:rsid w:val="00CB02F8"/>
    <w:rsid w:val="00CB182C"/>
    <w:rsid w:val="00CB6ADB"/>
    <w:rsid w:val="00CB7665"/>
    <w:rsid w:val="00CC021A"/>
    <w:rsid w:val="00CC040E"/>
    <w:rsid w:val="00CC090B"/>
    <w:rsid w:val="00CC1F5E"/>
    <w:rsid w:val="00CC2997"/>
    <w:rsid w:val="00CC2A82"/>
    <w:rsid w:val="00CC3BED"/>
    <w:rsid w:val="00CC4B19"/>
    <w:rsid w:val="00CC4B3D"/>
    <w:rsid w:val="00CC5C3E"/>
    <w:rsid w:val="00CD0979"/>
    <w:rsid w:val="00CD1D04"/>
    <w:rsid w:val="00CD2017"/>
    <w:rsid w:val="00CD3BDB"/>
    <w:rsid w:val="00CD3C20"/>
    <w:rsid w:val="00CD41E0"/>
    <w:rsid w:val="00CD5258"/>
    <w:rsid w:val="00CD5BBC"/>
    <w:rsid w:val="00CE024F"/>
    <w:rsid w:val="00CE1422"/>
    <w:rsid w:val="00CE199B"/>
    <w:rsid w:val="00CE2516"/>
    <w:rsid w:val="00CE2BCD"/>
    <w:rsid w:val="00CE3779"/>
    <w:rsid w:val="00CE384A"/>
    <w:rsid w:val="00CE45A0"/>
    <w:rsid w:val="00CE49AC"/>
    <w:rsid w:val="00CE53E1"/>
    <w:rsid w:val="00CE55B1"/>
    <w:rsid w:val="00CE64B7"/>
    <w:rsid w:val="00CE6629"/>
    <w:rsid w:val="00CE67F3"/>
    <w:rsid w:val="00CE6F0F"/>
    <w:rsid w:val="00CE7D61"/>
    <w:rsid w:val="00CF0C0F"/>
    <w:rsid w:val="00CF2073"/>
    <w:rsid w:val="00CF2AB1"/>
    <w:rsid w:val="00CF343D"/>
    <w:rsid w:val="00CF3705"/>
    <w:rsid w:val="00CF5484"/>
    <w:rsid w:val="00CF5A7A"/>
    <w:rsid w:val="00CF6E13"/>
    <w:rsid w:val="00CF712C"/>
    <w:rsid w:val="00CF7DD2"/>
    <w:rsid w:val="00D00FD9"/>
    <w:rsid w:val="00D020C7"/>
    <w:rsid w:val="00D023F1"/>
    <w:rsid w:val="00D03903"/>
    <w:rsid w:val="00D0462B"/>
    <w:rsid w:val="00D05332"/>
    <w:rsid w:val="00D053A2"/>
    <w:rsid w:val="00D05946"/>
    <w:rsid w:val="00D06020"/>
    <w:rsid w:val="00D062F5"/>
    <w:rsid w:val="00D0634E"/>
    <w:rsid w:val="00D12185"/>
    <w:rsid w:val="00D133E4"/>
    <w:rsid w:val="00D167E7"/>
    <w:rsid w:val="00D17693"/>
    <w:rsid w:val="00D20787"/>
    <w:rsid w:val="00D216F7"/>
    <w:rsid w:val="00D217CC"/>
    <w:rsid w:val="00D217F5"/>
    <w:rsid w:val="00D21DBA"/>
    <w:rsid w:val="00D2451D"/>
    <w:rsid w:val="00D25A3D"/>
    <w:rsid w:val="00D269FF"/>
    <w:rsid w:val="00D27519"/>
    <w:rsid w:val="00D27754"/>
    <w:rsid w:val="00D3059F"/>
    <w:rsid w:val="00D3210D"/>
    <w:rsid w:val="00D326F6"/>
    <w:rsid w:val="00D32E0A"/>
    <w:rsid w:val="00D348BE"/>
    <w:rsid w:val="00D350FA"/>
    <w:rsid w:val="00D36284"/>
    <w:rsid w:val="00D37718"/>
    <w:rsid w:val="00D37808"/>
    <w:rsid w:val="00D41865"/>
    <w:rsid w:val="00D41B12"/>
    <w:rsid w:val="00D41B37"/>
    <w:rsid w:val="00D41DF5"/>
    <w:rsid w:val="00D430A7"/>
    <w:rsid w:val="00D4402F"/>
    <w:rsid w:val="00D44BE5"/>
    <w:rsid w:val="00D46105"/>
    <w:rsid w:val="00D46545"/>
    <w:rsid w:val="00D50111"/>
    <w:rsid w:val="00D51760"/>
    <w:rsid w:val="00D5219D"/>
    <w:rsid w:val="00D522F6"/>
    <w:rsid w:val="00D53933"/>
    <w:rsid w:val="00D53C3B"/>
    <w:rsid w:val="00D53CFF"/>
    <w:rsid w:val="00D53FCF"/>
    <w:rsid w:val="00D55353"/>
    <w:rsid w:val="00D55BB8"/>
    <w:rsid w:val="00D55CC3"/>
    <w:rsid w:val="00D57008"/>
    <w:rsid w:val="00D57CB2"/>
    <w:rsid w:val="00D57CF2"/>
    <w:rsid w:val="00D60592"/>
    <w:rsid w:val="00D62A32"/>
    <w:rsid w:val="00D6305E"/>
    <w:rsid w:val="00D637E4"/>
    <w:rsid w:val="00D639B2"/>
    <w:rsid w:val="00D63FE8"/>
    <w:rsid w:val="00D645BC"/>
    <w:rsid w:val="00D649A1"/>
    <w:rsid w:val="00D64C64"/>
    <w:rsid w:val="00D654E5"/>
    <w:rsid w:val="00D664C4"/>
    <w:rsid w:val="00D66F67"/>
    <w:rsid w:val="00D67A0A"/>
    <w:rsid w:val="00D71CFC"/>
    <w:rsid w:val="00D726E3"/>
    <w:rsid w:val="00D729DD"/>
    <w:rsid w:val="00D73273"/>
    <w:rsid w:val="00D747F8"/>
    <w:rsid w:val="00D74B2E"/>
    <w:rsid w:val="00D74F47"/>
    <w:rsid w:val="00D74FDC"/>
    <w:rsid w:val="00D75413"/>
    <w:rsid w:val="00D76133"/>
    <w:rsid w:val="00D80C28"/>
    <w:rsid w:val="00D810EE"/>
    <w:rsid w:val="00D81146"/>
    <w:rsid w:val="00D81A34"/>
    <w:rsid w:val="00D81F07"/>
    <w:rsid w:val="00D8291B"/>
    <w:rsid w:val="00D84055"/>
    <w:rsid w:val="00D8428A"/>
    <w:rsid w:val="00D849A2"/>
    <w:rsid w:val="00D8663B"/>
    <w:rsid w:val="00D903E0"/>
    <w:rsid w:val="00D90B7A"/>
    <w:rsid w:val="00D9196C"/>
    <w:rsid w:val="00D92034"/>
    <w:rsid w:val="00D92C0E"/>
    <w:rsid w:val="00D938CB"/>
    <w:rsid w:val="00D944CD"/>
    <w:rsid w:val="00D94B3B"/>
    <w:rsid w:val="00D955A3"/>
    <w:rsid w:val="00D95820"/>
    <w:rsid w:val="00D9649B"/>
    <w:rsid w:val="00D9669B"/>
    <w:rsid w:val="00D96707"/>
    <w:rsid w:val="00D97388"/>
    <w:rsid w:val="00DA135A"/>
    <w:rsid w:val="00DA23BC"/>
    <w:rsid w:val="00DA2DF0"/>
    <w:rsid w:val="00DA2F67"/>
    <w:rsid w:val="00DA4406"/>
    <w:rsid w:val="00DA455F"/>
    <w:rsid w:val="00DA50FB"/>
    <w:rsid w:val="00DA6163"/>
    <w:rsid w:val="00DB016F"/>
    <w:rsid w:val="00DB0425"/>
    <w:rsid w:val="00DB0615"/>
    <w:rsid w:val="00DB0B07"/>
    <w:rsid w:val="00DB28A9"/>
    <w:rsid w:val="00DB3000"/>
    <w:rsid w:val="00DB3020"/>
    <w:rsid w:val="00DB3C2E"/>
    <w:rsid w:val="00DB7643"/>
    <w:rsid w:val="00DC124B"/>
    <w:rsid w:val="00DC1618"/>
    <w:rsid w:val="00DC2B01"/>
    <w:rsid w:val="00DC2D4B"/>
    <w:rsid w:val="00DC3024"/>
    <w:rsid w:val="00DC435C"/>
    <w:rsid w:val="00DC4B11"/>
    <w:rsid w:val="00DC5553"/>
    <w:rsid w:val="00DC7CBC"/>
    <w:rsid w:val="00DC7F25"/>
    <w:rsid w:val="00DC7FC6"/>
    <w:rsid w:val="00DD12CC"/>
    <w:rsid w:val="00DD17D4"/>
    <w:rsid w:val="00DD186C"/>
    <w:rsid w:val="00DD24C9"/>
    <w:rsid w:val="00DD2692"/>
    <w:rsid w:val="00DD282A"/>
    <w:rsid w:val="00DD2CD9"/>
    <w:rsid w:val="00DD3B3C"/>
    <w:rsid w:val="00DD424A"/>
    <w:rsid w:val="00DD493B"/>
    <w:rsid w:val="00DD4B79"/>
    <w:rsid w:val="00DD6146"/>
    <w:rsid w:val="00DD63BB"/>
    <w:rsid w:val="00DD655D"/>
    <w:rsid w:val="00DD6A7F"/>
    <w:rsid w:val="00DD6DFD"/>
    <w:rsid w:val="00DD7133"/>
    <w:rsid w:val="00DE0481"/>
    <w:rsid w:val="00DE0AD8"/>
    <w:rsid w:val="00DE0CFA"/>
    <w:rsid w:val="00DE0ED7"/>
    <w:rsid w:val="00DE11B2"/>
    <w:rsid w:val="00DE1A87"/>
    <w:rsid w:val="00DE45A8"/>
    <w:rsid w:val="00DE5EB1"/>
    <w:rsid w:val="00DE6C6B"/>
    <w:rsid w:val="00DE6C6D"/>
    <w:rsid w:val="00DE72B2"/>
    <w:rsid w:val="00DF03ED"/>
    <w:rsid w:val="00DF1674"/>
    <w:rsid w:val="00DF2274"/>
    <w:rsid w:val="00DF2E20"/>
    <w:rsid w:val="00DF34FF"/>
    <w:rsid w:val="00DF451E"/>
    <w:rsid w:val="00DF4A70"/>
    <w:rsid w:val="00DF4B33"/>
    <w:rsid w:val="00DF4FA9"/>
    <w:rsid w:val="00DF60F2"/>
    <w:rsid w:val="00DF6665"/>
    <w:rsid w:val="00DF740E"/>
    <w:rsid w:val="00DF7E06"/>
    <w:rsid w:val="00E00319"/>
    <w:rsid w:val="00E0046D"/>
    <w:rsid w:val="00E007FE"/>
    <w:rsid w:val="00E010AE"/>
    <w:rsid w:val="00E01106"/>
    <w:rsid w:val="00E01C4F"/>
    <w:rsid w:val="00E02364"/>
    <w:rsid w:val="00E02C0A"/>
    <w:rsid w:val="00E04D21"/>
    <w:rsid w:val="00E04D65"/>
    <w:rsid w:val="00E0554C"/>
    <w:rsid w:val="00E058B6"/>
    <w:rsid w:val="00E06791"/>
    <w:rsid w:val="00E0725B"/>
    <w:rsid w:val="00E07312"/>
    <w:rsid w:val="00E10476"/>
    <w:rsid w:val="00E1069A"/>
    <w:rsid w:val="00E10CC0"/>
    <w:rsid w:val="00E110FC"/>
    <w:rsid w:val="00E11241"/>
    <w:rsid w:val="00E11A2B"/>
    <w:rsid w:val="00E131CB"/>
    <w:rsid w:val="00E13326"/>
    <w:rsid w:val="00E134CC"/>
    <w:rsid w:val="00E13B67"/>
    <w:rsid w:val="00E15309"/>
    <w:rsid w:val="00E15946"/>
    <w:rsid w:val="00E1692A"/>
    <w:rsid w:val="00E17644"/>
    <w:rsid w:val="00E17B21"/>
    <w:rsid w:val="00E20D80"/>
    <w:rsid w:val="00E21253"/>
    <w:rsid w:val="00E215DB"/>
    <w:rsid w:val="00E221C2"/>
    <w:rsid w:val="00E22F6D"/>
    <w:rsid w:val="00E23249"/>
    <w:rsid w:val="00E2430F"/>
    <w:rsid w:val="00E2605D"/>
    <w:rsid w:val="00E3001C"/>
    <w:rsid w:val="00E300F6"/>
    <w:rsid w:val="00E30813"/>
    <w:rsid w:val="00E30F51"/>
    <w:rsid w:val="00E318CC"/>
    <w:rsid w:val="00E31928"/>
    <w:rsid w:val="00E33661"/>
    <w:rsid w:val="00E33892"/>
    <w:rsid w:val="00E34D10"/>
    <w:rsid w:val="00E35A47"/>
    <w:rsid w:val="00E36021"/>
    <w:rsid w:val="00E36A2E"/>
    <w:rsid w:val="00E3709F"/>
    <w:rsid w:val="00E376BF"/>
    <w:rsid w:val="00E377DC"/>
    <w:rsid w:val="00E37F14"/>
    <w:rsid w:val="00E401DC"/>
    <w:rsid w:val="00E415BF"/>
    <w:rsid w:val="00E420AB"/>
    <w:rsid w:val="00E436E7"/>
    <w:rsid w:val="00E4401E"/>
    <w:rsid w:val="00E440F5"/>
    <w:rsid w:val="00E44159"/>
    <w:rsid w:val="00E44CA2"/>
    <w:rsid w:val="00E44D18"/>
    <w:rsid w:val="00E45490"/>
    <w:rsid w:val="00E466F9"/>
    <w:rsid w:val="00E47D46"/>
    <w:rsid w:val="00E47F0F"/>
    <w:rsid w:val="00E5066A"/>
    <w:rsid w:val="00E5179C"/>
    <w:rsid w:val="00E55165"/>
    <w:rsid w:val="00E55531"/>
    <w:rsid w:val="00E56294"/>
    <w:rsid w:val="00E5682F"/>
    <w:rsid w:val="00E57F58"/>
    <w:rsid w:val="00E615E2"/>
    <w:rsid w:val="00E630CE"/>
    <w:rsid w:val="00E6395B"/>
    <w:rsid w:val="00E64186"/>
    <w:rsid w:val="00E6455A"/>
    <w:rsid w:val="00E64799"/>
    <w:rsid w:val="00E656FB"/>
    <w:rsid w:val="00E6652E"/>
    <w:rsid w:val="00E67201"/>
    <w:rsid w:val="00E70795"/>
    <w:rsid w:val="00E70927"/>
    <w:rsid w:val="00E71395"/>
    <w:rsid w:val="00E71451"/>
    <w:rsid w:val="00E7211A"/>
    <w:rsid w:val="00E72462"/>
    <w:rsid w:val="00E756A5"/>
    <w:rsid w:val="00E7571D"/>
    <w:rsid w:val="00E75E4C"/>
    <w:rsid w:val="00E76732"/>
    <w:rsid w:val="00E76764"/>
    <w:rsid w:val="00E76CC1"/>
    <w:rsid w:val="00E771FD"/>
    <w:rsid w:val="00E81E50"/>
    <w:rsid w:val="00E83107"/>
    <w:rsid w:val="00E83184"/>
    <w:rsid w:val="00E83427"/>
    <w:rsid w:val="00E83607"/>
    <w:rsid w:val="00E8434D"/>
    <w:rsid w:val="00E84437"/>
    <w:rsid w:val="00E87B70"/>
    <w:rsid w:val="00E902E3"/>
    <w:rsid w:val="00E90557"/>
    <w:rsid w:val="00E90D37"/>
    <w:rsid w:val="00E91F84"/>
    <w:rsid w:val="00E9212D"/>
    <w:rsid w:val="00E936C5"/>
    <w:rsid w:val="00E93D29"/>
    <w:rsid w:val="00E941EC"/>
    <w:rsid w:val="00E946F9"/>
    <w:rsid w:val="00E96977"/>
    <w:rsid w:val="00E96A97"/>
    <w:rsid w:val="00E96D06"/>
    <w:rsid w:val="00EA119B"/>
    <w:rsid w:val="00EA11C0"/>
    <w:rsid w:val="00EA26F9"/>
    <w:rsid w:val="00EA2C0F"/>
    <w:rsid w:val="00EA4071"/>
    <w:rsid w:val="00EA497A"/>
    <w:rsid w:val="00EA4B5A"/>
    <w:rsid w:val="00EA555F"/>
    <w:rsid w:val="00EA5927"/>
    <w:rsid w:val="00EA6AEC"/>
    <w:rsid w:val="00EA6ED9"/>
    <w:rsid w:val="00EA76BC"/>
    <w:rsid w:val="00EA7977"/>
    <w:rsid w:val="00EB0607"/>
    <w:rsid w:val="00EB0A18"/>
    <w:rsid w:val="00EB0D5E"/>
    <w:rsid w:val="00EB12E0"/>
    <w:rsid w:val="00EB12FB"/>
    <w:rsid w:val="00EB155D"/>
    <w:rsid w:val="00EB2F6A"/>
    <w:rsid w:val="00EB3789"/>
    <w:rsid w:val="00EB4831"/>
    <w:rsid w:val="00EB5674"/>
    <w:rsid w:val="00EB5CCE"/>
    <w:rsid w:val="00EB6E05"/>
    <w:rsid w:val="00EC261F"/>
    <w:rsid w:val="00EC3B78"/>
    <w:rsid w:val="00EC3BC4"/>
    <w:rsid w:val="00EC47EE"/>
    <w:rsid w:val="00EC6201"/>
    <w:rsid w:val="00EC6336"/>
    <w:rsid w:val="00ED02D6"/>
    <w:rsid w:val="00ED0B99"/>
    <w:rsid w:val="00ED2764"/>
    <w:rsid w:val="00ED4C92"/>
    <w:rsid w:val="00ED4CB3"/>
    <w:rsid w:val="00ED5149"/>
    <w:rsid w:val="00ED5ABF"/>
    <w:rsid w:val="00ED671E"/>
    <w:rsid w:val="00ED790F"/>
    <w:rsid w:val="00EE0CE1"/>
    <w:rsid w:val="00EE1610"/>
    <w:rsid w:val="00EE1E68"/>
    <w:rsid w:val="00EE1FB1"/>
    <w:rsid w:val="00EE2F58"/>
    <w:rsid w:val="00EE36A8"/>
    <w:rsid w:val="00EE513A"/>
    <w:rsid w:val="00EE534A"/>
    <w:rsid w:val="00EE55D2"/>
    <w:rsid w:val="00EE56A5"/>
    <w:rsid w:val="00EE5CBF"/>
    <w:rsid w:val="00EE6932"/>
    <w:rsid w:val="00EE6F4C"/>
    <w:rsid w:val="00EE7766"/>
    <w:rsid w:val="00EE790B"/>
    <w:rsid w:val="00EE7D0A"/>
    <w:rsid w:val="00EF1964"/>
    <w:rsid w:val="00EF23B9"/>
    <w:rsid w:val="00EF2BD0"/>
    <w:rsid w:val="00EF377C"/>
    <w:rsid w:val="00EF3C90"/>
    <w:rsid w:val="00EF438F"/>
    <w:rsid w:val="00EF4C15"/>
    <w:rsid w:val="00EF6226"/>
    <w:rsid w:val="00F00081"/>
    <w:rsid w:val="00F014F7"/>
    <w:rsid w:val="00F01FB2"/>
    <w:rsid w:val="00F0320A"/>
    <w:rsid w:val="00F038A7"/>
    <w:rsid w:val="00F050F5"/>
    <w:rsid w:val="00F050FF"/>
    <w:rsid w:val="00F064B7"/>
    <w:rsid w:val="00F06C31"/>
    <w:rsid w:val="00F06D86"/>
    <w:rsid w:val="00F10008"/>
    <w:rsid w:val="00F10A58"/>
    <w:rsid w:val="00F117DE"/>
    <w:rsid w:val="00F13732"/>
    <w:rsid w:val="00F13B34"/>
    <w:rsid w:val="00F1437B"/>
    <w:rsid w:val="00F145E7"/>
    <w:rsid w:val="00F14681"/>
    <w:rsid w:val="00F1538F"/>
    <w:rsid w:val="00F161AF"/>
    <w:rsid w:val="00F17435"/>
    <w:rsid w:val="00F201F9"/>
    <w:rsid w:val="00F21072"/>
    <w:rsid w:val="00F21BCF"/>
    <w:rsid w:val="00F24076"/>
    <w:rsid w:val="00F243AA"/>
    <w:rsid w:val="00F24C28"/>
    <w:rsid w:val="00F24D0F"/>
    <w:rsid w:val="00F2590B"/>
    <w:rsid w:val="00F25DA8"/>
    <w:rsid w:val="00F26515"/>
    <w:rsid w:val="00F26F36"/>
    <w:rsid w:val="00F27DFE"/>
    <w:rsid w:val="00F31BDF"/>
    <w:rsid w:val="00F31C74"/>
    <w:rsid w:val="00F32C8A"/>
    <w:rsid w:val="00F333AC"/>
    <w:rsid w:val="00F34200"/>
    <w:rsid w:val="00F358E0"/>
    <w:rsid w:val="00F35A28"/>
    <w:rsid w:val="00F361F6"/>
    <w:rsid w:val="00F362B6"/>
    <w:rsid w:val="00F3692E"/>
    <w:rsid w:val="00F36A79"/>
    <w:rsid w:val="00F37EDA"/>
    <w:rsid w:val="00F40683"/>
    <w:rsid w:val="00F4117B"/>
    <w:rsid w:val="00F41BDA"/>
    <w:rsid w:val="00F42A22"/>
    <w:rsid w:val="00F43B0C"/>
    <w:rsid w:val="00F449E0"/>
    <w:rsid w:val="00F4576F"/>
    <w:rsid w:val="00F50468"/>
    <w:rsid w:val="00F5070E"/>
    <w:rsid w:val="00F50A3C"/>
    <w:rsid w:val="00F516EE"/>
    <w:rsid w:val="00F51912"/>
    <w:rsid w:val="00F52C23"/>
    <w:rsid w:val="00F52D24"/>
    <w:rsid w:val="00F52F24"/>
    <w:rsid w:val="00F532CA"/>
    <w:rsid w:val="00F5386F"/>
    <w:rsid w:val="00F54872"/>
    <w:rsid w:val="00F55D83"/>
    <w:rsid w:val="00F55EAB"/>
    <w:rsid w:val="00F56E90"/>
    <w:rsid w:val="00F626A2"/>
    <w:rsid w:val="00F6492D"/>
    <w:rsid w:val="00F6561C"/>
    <w:rsid w:val="00F67553"/>
    <w:rsid w:val="00F675A5"/>
    <w:rsid w:val="00F70709"/>
    <w:rsid w:val="00F71111"/>
    <w:rsid w:val="00F72105"/>
    <w:rsid w:val="00F72568"/>
    <w:rsid w:val="00F72E93"/>
    <w:rsid w:val="00F73340"/>
    <w:rsid w:val="00F739A2"/>
    <w:rsid w:val="00F73A4F"/>
    <w:rsid w:val="00F744A3"/>
    <w:rsid w:val="00F756B4"/>
    <w:rsid w:val="00F7574D"/>
    <w:rsid w:val="00F75E88"/>
    <w:rsid w:val="00F768B6"/>
    <w:rsid w:val="00F76D95"/>
    <w:rsid w:val="00F76DBE"/>
    <w:rsid w:val="00F77519"/>
    <w:rsid w:val="00F778EE"/>
    <w:rsid w:val="00F80824"/>
    <w:rsid w:val="00F8322A"/>
    <w:rsid w:val="00F838BA"/>
    <w:rsid w:val="00F840AE"/>
    <w:rsid w:val="00F84A48"/>
    <w:rsid w:val="00F851CE"/>
    <w:rsid w:val="00F8571F"/>
    <w:rsid w:val="00F867D5"/>
    <w:rsid w:val="00F86C6E"/>
    <w:rsid w:val="00F87F68"/>
    <w:rsid w:val="00F90700"/>
    <w:rsid w:val="00F90B1C"/>
    <w:rsid w:val="00F90D23"/>
    <w:rsid w:val="00F91153"/>
    <w:rsid w:val="00F9117A"/>
    <w:rsid w:val="00F912CA"/>
    <w:rsid w:val="00F913DF"/>
    <w:rsid w:val="00F91635"/>
    <w:rsid w:val="00F91852"/>
    <w:rsid w:val="00F9320C"/>
    <w:rsid w:val="00F9410A"/>
    <w:rsid w:val="00F948F4"/>
    <w:rsid w:val="00F96D3F"/>
    <w:rsid w:val="00FA129B"/>
    <w:rsid w:val="00FA1404"/>
    <w:rsid w:val="00FA1E3A"/>
    <w:rsid w:val="00FA1FAD"/>
    <w:rsid w:val="00FA29AE"/>
    <w:rsid w:val="00FA3D25"/>
    <w:rsid w:val="00FA4282"/>
    <w:rsid w:val="00FA49B8"/>
    <w:rsid w:val="00FA6739"/>
    <w:rsid w:val="00FA7F45"/>
    <w:rsid w:val="00FB1506"/>
    <w:rsid w:val="00FB18C2"/>
    <w:rsid w:val="00FB1BDC"/>
    <w:rsid w:val="00FB2A52"/>
    <w:rsid w:val="00FB2AA5"/>
    <w:rsid w:val="00FB2E4D"/>
    <w:rsid w:val="00FB319E"/>
    <w:rsid w:val="00FB325F"/>
    <w:rsid w:val="00FB377C"/>
    <w:rsid w:val="00FB444C"/>
    <w:rsid w:val="00FB4CE9"/>
    <w:rsid w:val="00FB7CCC"/>
    <w:rsid w:val="00FC09FE"/>
    <w:rsid w:val="00FC0E20"/>
    <w:rsid w:val="00FC259B"/>
    <w:rsid w:val="00FC29A4"/>
    <w:rsid w:val="00FC2CCF"/>
    <w:rsid w:val="00FC2E29"/>
    <w:rsid w:val="00FC3E4D"/>
    <w:rsid w:val="00FC4A1B"/>
    <w:rsid w:val="00FC59C7"/>
    <w:rsid w:val="00FC6C2F"/>
    <w:rsid w:val="00FC72D9"/>
    <w:rsid w:val="00FD0BC8"/>
    <w:rsid w:val="00FD0E62"/>
    <w:rsid w:val="00FD1B4D"/>
    <w:rsid w:val="00FD1B97"/>
    <w:rsid w:val="00FD1F90"/>
    <w:rsid w:val="00FD2549"/>
    <w:rsid w:val="00FD2E9C"/>
    <w:rsid w:val="00FD335A"/>
    <w:rsid w:val="00FD52F4"/>
    <w:rsid w:val="00FD53F0"/>
    <w:rsid w:val="00FD579A"/>
    <w:rsid w:val="00FD5DF9"/>
    <w:rsid w:val="00FD6CD4"/>
    <w:rsid w:val="00FD6E1E"/>
    <w:rsid w:val="00FD6E6F"/>
    <w:rsid w:val="00FD78B6"/>
    <w:rsid w:val="00FE1B0D"/>
    <w:rsid w:val="00FE1EC9"/>
    <w:rsid w:val="00FE3106"/>
    <w:rsid w:val="00FE37F7"/>
    <w:rsid w:val="00FE3864"/>
    <w:rsid w:val="00FE47A8"/>
    <w:rsid w:val="00FE5BFF"/>
    <w:rsid w:val="00FE5FB4"/>
    <w:rsid w:val="00FE6B77"/>
    <w:rsid w:val="00FE7D6C"/>
    <w:rsid w:val="00FF08B2"/>
    <w:rsid w:val="00FF131E"/>
    <w:rsid w:val="00FF2D14"/>
    <w:rsid w:val="00FF2E87"/>
    <w:rsid w:val="00FF528A"/>
    <w:rsid w:val="00FF588A"/>
    <w:rsid w:val="00FF5F58"/>
    <w:rsid w:val="00FF601D"/>
    <w:rsid w:val="00FF638C"/>
    <w:rsid w:val="00FF759D"/>
    <w:rsid w:val="663C22DB"/>
    <w:rsid w:val="79EE4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0"/>
    <w:unhideWhenUsed/>
    <w:qFormat/>
    <w:uiPriority w:val="99"/>
    <w:pPr>
      <w:jc w:val="left"/>
    </w:pPr>
  </w:style>
  <w:style w:type="paragraph" w:styleId="6">
    <w:name w:val="toc 3"/>
    <w:basedOn w:val="1"/>
    <w:next w:val="1"/>
    <w:autoRedefine/>
    <w:unhideWhenUsed/>
    <w:qFormat/>
    <w:uiPriority w:val="39"/>
    <w:pPr>
      <w:ind w:left="840" w:leftChars="400"/>
    </w:pPr>
    <w:rPr>
      <w:rFonts w:ascii="Times New Roman" w:hAnsi="Times New Roman" w:eastAsia="仿宋"/>
      <w:sz w:val="32"/>
    </w:rPr>
  </w:style>
  <w:style w:type="paragraph" w:styleId="7">
    <w:name w:val="footer"/>
    <w:basedOn w:val="1"/>
    <w:link w:val="20"/>
    <w:unhideWhenUsed/>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tabs>
        <w:tab w:val="center" w:pos="4153"/>
        <w:tab w:val="right" w:pos="8306"/>
      </w:tabs>
      <w:snapToGrid w:val="0"/>
      <w:jc w:val="center"/>
    </w:pPr>
    <w:rPr>
      <w:sz w:val="18"/>
      <w:szCs w:val="18"/>
    </w:rPr>
  </w:style>
  <w:style w:type="paragraph" w:styleId="9">
    <w:name w:val="toc 1"/>
    <w:basedOn w:val="1"/>
    <w:next w:val="1"/>
    <w:autoRedefine/>
    <w:unhideWhenUsed/>
    <w:qFormat/>
    <w:uiPriority w:val="39"/>
    <w:rPr>
      <w:rFonts w:ascii="Times New Roman" w:hAnsi="Times New Roman" w:eastAsia="黑体"/>
      <w:sz w:val="32"/>
    </w:rPr>
  </w:style>
  <w:style w:type="paragraph" w:styleId="10">
    <w:name w:val="toc 2"/>
    <w:basedOn w:val="1"/>
    <w:next w:val="1"/>
    <w:autoRedefine/>
    <w:unhideWhenUsed/>
    <w:uiPriority w:val="39"/>
    <w:pPr>
      <w:ind w:left="420" w:leftChars="200"/>
    </w:pPr>
    <w:rPr>
      <w:rFonts w:ascii="Times New Roman" w:hAnsi="Times New Roman" w:eastAsia="仿宋"/>
      <w:sz w:val="32"/>
    </w:rPr>
  </w:style>
  <w:style w:type="paragraph" w:styleId="11">
    <w:name w:val="annotation subject"/>
    <w:basedOn w:val="5"/>
    <w:next w:val="5"/>
    <w:link w:val="41"/>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line number"/>
    <w:basedOn w:val="14"/>
    <w:semiHidden/>
    <w:unhideWhenUsed/>
    <w:qFormat/>
    <w:uiPriority w:val="99"/>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paragraph" w:styleId="18">
    <w:name w:val="List Paragraph"/>
    <w:basedOn w:val="1"/>
    <w:qFormat/>
    <w:uiPriority w:val="34"/>
    <w:pPr>
      <w:ind w:firstLine="420" w:firstLineChars="200"/>
    </w:pPr>
  </w:style>
  <w:style w:type="character" w:customStyle="1" w:styleId="19">
    <w:name w:val="页眉 字符"/>
    <w:basedOn w:val="14"/>
    <w:link w:val="8"/>
    <w:qFormat/>
    <w:uiPriority w:val="99"/>
    <w:rPr>
      <w:sz w:val="18"/>
      <w:szCs w:val="18"/>
    </w:rPr>
  </w:style>
  <w:style w:type="character" w:customStyle="1" w:styleId="20">
    <w:name w:val="页脚 字符"/>
    <w:basedOn w:val="14"/>
    <w:link w:val="7"/>
    <w:qFormat/>
    <w:uiPriority w:val="99"/>
    <w:rPr>
      <w:sz w:val="18"/>
      <w:szCs w:val="18"/>
    </w:rPr>
  </w:style>
  <w:style w:type="paragraph" w:customStyle="1" w:styleId="21">
    <w:name w:val="报告正文"/>
    <w:basedOn w:val="1"/>
    <w:link w:val="22"/>
    <w:qFormat/>
    <w:uiPriority w:val="0"/>
    <w:pPr>
      <w:spacing w:line="360" w:lineRule="auto"/>
      <w:ind w:firstLine="643" w:firstLineChars="200"/>
    </w:pPr>
    <w:rPr>
      <w:rFonts w:ascii="Times New Roman" w:hAnsi="Times New Roman" w:eastAsia="仿宋"/>
      <w:bCs/>
      <w:sz w:val="32"/>
      <w:szCs w:val="32"/>
    </w:rPr>
  </w:style>
  <w:style w:type="character" w:customStyle="1" w:styleId="22">
    <w:name w:val="报告正文 字符"/>
    <w:basedOn w:val="14"/>
    <w:link w:val="21"/>
    <w:qFormat/>
    <w:uiPriority w:val="0"/>
    <w:rPr>
      <w:rFonts w:ascii="Times New Roman" w:hAnsi="Times New Roman" w:eastAsia="仿宋"/>
      <w:bCs/>
      <w:sz w:val="32"/>
      <w:szCs w:val="32"/>
    </w:rPr>
  </w:style>
  <w:style w:type="paragraph" w:customStyle="1" w:styleId="23">
    <w:name w:val="（一）"/>
    <w:basedOn w:val="1"/>
    <w:link w:val="24"/>
    <w:qFormat/>
    <w:uiPriority w:val="0"/>
    <w:pPr>
      <w:spacing w:before="50" w:beforeLines="50" w:after="50" w:afterLines="50" w:line="480" w:lineRule="auto"/>
      <w:ind w:firstLine="200" w:firstLineChars="200"/>
      <w:outlineLvl w:val="1"/>
    </w:pPr>
    <w:rPr>
      <w:rFonts w:ascii="Times New Roman" w:hAnsi="Times New Roman" w:eastAsia="楷体"/>
      <w:sz w:val="32"/>
      <w:szCs w:val="32"/>
    </w:rPr>
  </w:style>
  <w:style w:type="character" w:customStyle="1" w:styleId="24">
    <w:name w:val="（一） 字符"/>
    <w:basedOn w:val="14"/>
    <w:link w:val="23"/>
    <w:qFormat/>
    <w:uiPriority w:val="0"/>
    <w:rPr>
      <w:rFonts w:ascii="Times New Roman" w:hAnsi="Times New Roman" w:eastAsia="楷体"/>
      <w:sz w:val="32"/>
      <w:szCs w:val="32"/>
    </w:rPr>
  </w:style>
  <w:style w:type="paragraph" w:customStyle="1" w:styleId="25">
    <w:name w:val="一、"/>
    <w:basedOn w:val="1"/>
    <w:link w:val="26"/>
    <w:qFormat/>
    <w:uiPriority w:val="0"/>
    <w:pPr>
      <w:spacing w:before="156" w:beforeLines="50" w:after="156" w:afterLines="50" w:line="360" w:lineRule="auto"/>
      <w:ind w:firstLine="723" w:firstLineChars="200"/>
      <w:outlineLvl w:val="0"/>
    </w:pPr>
    <w:rPr>
      <w:rFonts w:ascii="Times New Roman" w:hAnsi="Times New Roman" w:eastAsia="黑体"/>
      <w:b/>
      <w:bCs/>
      <w:sz w:val="36"/>
      <w:szCs w:val="36"/>
    </w:rPr>
  </w:style>
  <w:style w:type="character" w:customStyle="1" w:styleId="26">
    <w:name w:val="一、 字符"/>
    <w:basedOn w:val="14"/>
    <w:link w:val="25"/>
    <w:qFormat/>
    <w:uiPriority w:val="0"/>
    <w:rPr>
      <w:rFonts w:ascii="Times New Roman" w:hAnsi="Times New Roman" w:eastAsia="黑体"/>
      <w:b/>
      <w:bCs/>
      <w:sz w:val="36"/>
      <w:szCs w:val="36"/>
    </w:rPr>
  </w:style>
  <w:style w:type="paragraph" w:customStyle="1" w:styleId="27">
    <w:name w:val="表格标题"/>
    <w:basedOn w:val="1"/>
    <w:link w:val="28"/>
    <w:qFormat/>
    <w:uiPriority w:val="0"/>
    <w:pPr>
      <w:spacing w:before="156" w:beforeLines="50" w:after="156" w:afterLines="50" w:line="360" w:lineRule="auto"/>
      <w:jc w:val="center"/>
      <w:outlineLvl w:val="0"/>
    </w:pPr>
    <w:rPr>
      <w:rFonts w:ascii="Times New Roman" w:hAnsi="Times New Roman" w:eastAsia="华文中宋"/>
      <w:bCs/>
      <w:sz w:val="32"/>
      <w:szCs w:val="36"/>
    </w:rPr>
  </w:style>
  <w:style w:type="character" w:customStyle="1" w:styleId="28">
    <w:name w:val="表格标题 字符"/>
    <w:basedOn w:val="14"/>
    <w:link w:val="27"/>
    <w:qFormat/>
    <w:uiPriority w:val="0"/>
    <w:rPr>
      <w:rFonts w:ascii="Times New Roman" w:hAnsi="Times New Roman" w:eastAsia="华文中宋"/>
      <w:bCs/>
      <w:sz w:val="32"/>
      <w:szCs w:val="36"/>
    </w:rPr>
  </w:style>
  <w:style w:type="paragraph" w:customStyle="1" w:styleId="29">
    <w:name w:val="表头"/>
    <w:basedOn w:val="21"/>
    <w:link w:val="30"/>
    <w:qFormat/>
    <w:uiPriority w:val="0"/>
    <w:pPr>
      <w:ind w:firstLine="0" w:firstLineChars="0"/>
      <w:jc w:val="center"/>
    </w:pPr>
    <w:rPr>
      <w:rFonts w:eastAsia="黑体"/>
      <w:sz w:val="21"/>
      <w:szCs w:val="21"/>
    </w:rPr>
  </w:style>
  <w:style w:type="character" w:customStyle="1" w:styleId="30">
    <w:name w:val="表头 字符"/>
    <w:basedOn w:val="22"/>
    <w:link w:val="29"/>
    <w:qFormat/>
    <w:uiPriority w:val="0"/>
    <w:rPr>
      <w:rFonts w:ascii="Times New Roman" w:hAnsi="Times New Roman" w:eastAsia="黑体"/>
      <w:sz w:val="36"/>
      <w:szCs w:val="21"/>
    </w:rPr>
  </w:style>
  <w:style w:type="paragraph" w:customStyle="1" w:styleId="31">
    <w:name w:val="表格正文"/>
    <w:basedOn w:val="21"/>
    <w:link w:val="32"/>
    <w:qFormat/>
    <w:uiPriority w:val="0"/>
    <w:pPr>
      <w:ind w:firstLine="0" w:firstLineChars="0"/>
      <w:jc w:val="center"/>
    </w:pPr>
    <w:rPr>
      <w:rFonts w:eastAsia="宋体"/>
      <w:sz w:val="21"/>
      <w:szCs w:val="21"/>
    </w:rPr>
  </w:style>
  <w:style w:type="character" w:customStyle="1" w:styleId="32">
    <w:name w:val="表格正文 字符"/>
    <w:basedOn w:val="22"/>
    <w:link w:val="31"/>
    <w:qFormat/>
    <w:uiPriority w:val="0"/>
    <w:rPr>
      <w:rFonts w:ascii="Times New Roman" w:hAnsi="Times New Roman" w:eastAsia="宋体"/>
      <w:sz w:val="32"/>
      <w:szCs w:val="21"/>
    </w:rPr>
  </w:style>
  <w:style w:type="paragraph" w:customStyle="1" w:styleId="33">
    <w:name w:val="1."/>
    <w:basedOn w:val="4"/>
    <w:link w:val="35"/>
    <w:qFormat/>
    <w:uiPriority w:val="0"/>
    <w:pPr>
      <w:spacing w:before="50" w:beforeLines="50" w:after="50" w:afterLines="50" w:line="360" w:lineRule="auto"/>
      <w:ind w:firstLine="200" w:firstLineChars="200"/>
    </w:pPr>
    <w:rPr>
      <w:rFonts w:ascii="Times New Roman" w:hAnsi="Times New Roman" w:eastAsia="仿宋"/>
      <w:bCs w:val="0"/>
    </w:rPr>
  </w:style>
  <w:style w:type="character" w:customStyle="1" w:styleId="34">
    <w:name w:val="标题 3 字符"/>
    <w:basedOn w:val="14"/>
    <w:link w:val="4"/>
    <w:semiHidden/>
    <w:qFormat/>
    <w:uiPriority w:val="9"/>
    <w:rPr>
      <w:b/>
      <w:bCs/>
      <w:sz w:val="32"/>
      <w:szCs w:val="32"/>
    </w:rPr>
  </w:style>
  <w:style w:type="character" w:customStyle="1" w:styleId="35">
    <w:name w:val="1. 字符"/>
    <w:basedOn w:val="34"/>
    <w:link w:val="33"/>
    <w:qFormat/>
    <w:uiPriority w:val="0"/>
    <w:rPr>
      <w:rFonts w:ascii="Times New Roman" w:hAnsi="Times New Roman" w:eastAsia="仿宋"/>
      <w:bCs w:val="0"/>
      <w:sz w:val="32"/>
      <w:szCs w:val="32"/>
    </w:rPr>
  </w:style>
  <w:style w:type="character" w:customStyle="1" w:styleId="36">
    <w:name w:val="标题 1 字符"/>
    <w:basedOn w:val="14"/>
    <w:link w:val="2"/>
    <w:qFormat/>
    <w:uiPriority w:val="9"/>
    <w:rPr>
      <w:b/>
      <w:bCs/>
      <w:kern w:val="44"/>
      <w:sz w:val="44"/>
      <w:szCs w:val="44"/>
    </w:rPr>
  </w:style>
  <w:style w:type="paragraph" w:customStyle="1" w:styleId="3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8">
    <w:name w:val="标题 2 字符"/>
    <w:basedOn w:val="14"/>
    <w:link w:val="3"/>
    <w:semiHidden/>
    <w:qFormat/>
    <w:uiPriority w:val="9"/>
    <w:rPr>
      <w:rFonts w:asciiTheme="majorHAnsi" w:hAnsiTheme="majorHAnsi" w:eastAsiaTheme="majorEastAsia" w:cstheme="majorBidi"/>
      <w:b/>
      <w:bCs/>
      <w:sz w:val="32"/>
      <w:szCs w:val="32"/>
    </w:rPr>
  </w:style>
  <w:style w:type="paragraph" w:customStyle="1" w:styleId="3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0">
    <w:name w:val="批注文字 字符"/>
    <w:basedOn w:val="14"/>
    <w:link w:val="5"/>
    <w:qFormat/>
    <w:uiPriority w:val="99"/>
  </w:style>
  <w:style w:type="character" w:customStyle="1" w:styleId="41">
    <w:name w:val="批注主题 字符"/>
    <w:basedOn w:val="40"/>
    <w:link w:val="11"/>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C5463-9D7F-4B4D-AE6C-3513E72BC039}">
  <ds:schemaRefs/>
</ds:datastoreItem>
</file>

<file path=docProps/app.xml><?xml version="1.0" encoding="utf-8"?>
<Properties xmlns="http://schemas.openxmlformats.org/officeDocument/2006/extended-properties" xmlns:vt="http://schemas.openxmlformats.org/officeDocument/2006/docPropsVTypes">
  <Template>Normal.dotm</Template>
  <Pages>71</Pages>
  <Words>8210</Words>
  <Characters>8482</Characters>
  <Lines>253</Lines>
  <Paragraphs>71</Paragraphs>
  <TotalTime>8542</TotalTime>
  <ScaleCrop>false</ScaleCrop>
  <LinksUpToDate>false</LinksUpToDate>
  <CharactersWithSpaces>8661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2023-11-07T01:44:00Z</dcterms:created>
  <dc:creator>文静 孙</dc:creator>
  <cp:lastModifiedBy>Administrator</cp:lastModifiedBy>
  <cp:lastPrinted>2024-02-28T06:42:00Z</cp:lastPrinted>
  <dcterms:modified xsi:type="dcterms:W3CDTF">2025-03-07T09:35:23Z</dcterms:modified>
  <cp:revision>2387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3370E6C5156A4A12A32624F1A0526B21_12</vt:lpwstr>
  </property>
  <property fmtid="{D5CDD505-2E9C-101B-9397-08002B2CF9AE}" pid="4" name="KSOTemplateDocerSaveRecord">
    <vt:lpwstr>eyJoZGlkIjoiYjQ0MTc4NjBjNTA4ZTMxOGNlNzhmMzY2MjNlNmIwZWUifQ==</vt:lpwstr>
  </property>
</Properties>
</file>