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E7614">
      <w:pPr>
        <w:widowControl w:val="0"/>
        <w:adjustRightInd/>
        <w:snapToGrid/>
        <w:spacing w:after="0" w:line="240" w:lineRule="auto"/>
        <w:jc w:val="center"/>
        <w:rPr>
          <w:rFonts w:hint="eastAsia" w:ascii="方正小标宋简体" w:eastAsia="方正小标宋简体" w:hAnsiTheme="minorHAnsi"/>
          <w:color w:val="auto"/>
          <w:kern w:val="2"/>
          <w:sz w:val="52"/>
          <w:szCs w:val="52"/>
          <w:lang w:val="en-US" w:eastAsia="zh-CN"/>
        </w:rPr>
      </w:pPr>
      <w:bookmarkStart w:id="0" w:name="_Toc18297"/>
      <w:bookmarkStart w:id="1" w:name="_Toc11193"/>
    </w:p>
    <w:p w14:paraId="3F6B03B3">
      <w:pPr>
        <w:widowControl w:val="0"/>
        <w:adjustRightInd/>
        <w:snapToGrid/>
        <w:spacing w:after="0" w:line="240" w:lineRule="auto"/>
        <w:jc w:val="center"/>
        <w:rPr>
          <w:rFonts w:hint="eastAsia" w:ascii="方正小标宋简体" w:eastAsia="方正小标宋简体" w:hAnsiTheme="minorHAnsi"/>
          <w:color w:val="auto"/>
          <w:kern w:val="2"/>
          <w:sz w:val="52"/>
          <w:szCs w:val="52"/>
          <w:lang w:val="en-US" w:eastAsia="zh-CN"/>
        </w:rPr>
      </w:pPr>
    </w:p>
    <w:p w14:paraId="44E82326">
      <w:pPr>
        <w:widowControl w:val="0"/>
        <w:adjustRightInd/>
        <w:snapToGrid/>
        <w:spacing w:after="0" w:line="240" w:lineRule="auto"/>
        <w:jc w:val="center"/>
        <w:rPr>
          <w:rFonts w:hint="eastAsia" w:ascii="方正小标宋简体" w:eastAsia="方正小标宋简体" w:hAnsiTheme="minorHAnsi"/>
          <w:color w:val="auto"/>
          <w:kern w:val="2"/>
          <w:sz w:val="52"/>
          <w:szCs w:val="52"/>
          <w:lang w:val="en-US" w:eastAsia="zh-CN"/>
        </w:rPr>
      </w:pPr>
    </w:p>
    <w:p w14:paraId="3B77DA87">
      <w:pPr>
        <w:widowControl w:val="0"/>
        <w:adjustRightInd/>
        <w:snapToGrid/>
        <w:spacing w:after="0" w:line="240" w:lineRule="auto"/>
        <w:jc w:val="center"/>
        <w:rPr>
          <w:rFonts w:hint="eastAsia" w:ascii="方正小标宋简体" w:eastAsia="方正小标宋简体" w:hAnsiTheme="minorHAnsi"/>
          <w:color w:val="auto"/>
          <w:kern w:val="2"/>
          <w:sz w:val="52"/>
          <w:szCs w:val="52"/>
          <w:lang w:val="en-US" w:eastAsia="zh-CN"/>
        </w:rPr>
      </w:pPr>
      <w:r>
        <w:rPr>
          <w:rFonts w:hint="eastAsia" w:ascii="方正小标宋简体" w:eastAsia="方正小标宋简体" w:hAnsiTheme="minorHAnsi"/>
          <w:color w:val="auto"/>
          <w:kern w:val="2"/>
          <w:sz w:val="52"/>
          <w:szCs w:val="52"/>
          <w:lang w:val="en-US" w:eastAsia="zh-CN"/>
        </w:rPr>
        <w:t>合肥市瑶海区危险化学品事故</w:t>
      </w:r>
      <w:bookmarkEnd w:id="0"/>
      <w:bookmarkEnd w:id="1"/>
    </w:p>
    <w:p w14:paraId="6CF48C39">
      <w:pPr>
        <w:widowControl w:val="0"/>
        <w:adjustRightInd/>
        <w:snapToGrid/>
        <w:spacing w:after="0" w:line="240" w:lineRule="auto"/>
        <w:jc w:val="center"/>
        <w:rPr>
          <w:rFonts w:hint="eastAsia" w:ascii="方正小标宋简体" w:eastAsia="方正小标宋简体" w:hAnsiTheme="minorHAnsi"/>
          <w:color w:val="auto"/>
          <w:kern w:val="2"/>
          <w:sz w:val="52"/>
          <w:szCs w:val="52"/>
          <w:lang w:val="en-US" w:eastAsia="zh-CN"/>
        </w:rPr>
      </w:pPr>
      <w:r>
        <w:rPr>
          <w:rFonts w:hint="eastAsia" w:ascii="方正小标宋简体" w:eastAsia="方正小标宋简体" w:hAnsiTheme="minorHAnsi"/>
          <w:color w:val="auto"/>
          <w:kern w:val="2"/>
          <w:sz w:val="52"/>
          <w:szCs w:val="52"/>
          <w:lang w:val="en-US" w:eastAsia="zh-CN"/>
        </w:rPr>
        <w:t>应急预案（征求意见稿）</w:t>
      </w:r>
    </w:p>
    <w:p w14:paraId="2F34716E">
      <w:pPr>
        <w:shd w:val="clear"/>
        <w:spacing w:after="0" w:line="560" w:lineRule="exact"/>
        <w:jc w:val="center"/>
        <w:rPr>
          <w:rFonts w:hint="eastAsia" w:ascii="仿宋" w:hAnsi="仿宋" w:eastAsia="仿宋" w:cs="仿宋"/>
          <w:b/>
          <w:bCs w:val="0"/>
          <w:color w:val="auto"/>
          <w:sz w:val="48"/>
          <w:szCs w:val="48"/>
          <w:highlight w:val="none"/>
        </w:rPr>
      </w:pPr>
    </w:p>
    <w:p w14:paraId="77F85495">
      <w:pPr>
        <w:shd w:val="clear"/>
        <w:spacing w:after="0" w:line="560" w:lineRule="exact"/>
        <w:jc w:val="center"/>
        <w:rPr>
          <w:rFonts w:hint="eastAsia" w:ascii="仿宋" w:hAnsi="仿宋" w:eastAsia="仿宋" w:cs="仿宋"/>
          <w:b/>
          <w:bCs w:val="0"/>
          <w:color w:val="auto"/>
          <w:sz w:val="48"/>
          <w:szCs w:val="48"/>
          <w:highlight w:val="none"/>
        </w:rPr>
      </w:pPr>
    </w:p>
    <w:p w14:paraId="3D482FBD">
      <w:pPr>
        <w:shd w:val="clear"/>
        <w:spacing w:after="0" w:line="560" w:lineRule="exact"/>
        <w:jc w:val="center"/>
        <w:rPr>
          <w:rFonts w:hint="eastAsia" w:ascii="仿宋" w:hAnsi="仿宋" w:eastAsia="仿宋" w:cs="仿宋"/>
          <w:b/>
          <w:bCs w:val="0"/>
          <w:color w:val="auto"/>
          <w:sz w:val="48"/>
          <w:szCs w:val="48"/>
          <w:highlight w:val="none"/>
        </w:rPr>
      </w:pPr>
    </w:p>
    <w:p w14:paraId="359F262A">
      <w:pPr>
        <w:pStyle w:val="14"/>
        <w:rPr>
          <w:rFonts w:hint="eastAsia" w:ascii="仿宋" w:hAnsi="仿宋" w:eastAsia="仿宋" w:cs="仿宋"/>
          <w:b/>
          <w:bCs w:val="0"/>
          <w:color w:val="auto"/>
          <w:sz w:val="48"/>
          <w:szCs w:val="48"/>
          <w:highlight w:val="none"/>
        </w:rPr>
      </w:pPr>
    </w:p>
    <w:p w14:paraId="7FBA2406">
      <w:pPr>
        <w:keepNext w:val="0"/>
        <w:keepLines w:val="0"/>
        <w:pageBreakBefore w:val="0"/>
        <w:widowControl/>
        <w:shd w:val="clear"/>
        <w:kinsoku/>
        <w:wordWrap/>
        <w:overflowPunct/>
        <w:topLinePunct w:val="0"/>
        <w:autoSpaceDE/>
        <w:autoSpaceDN/>
        <w:bidi w:val="0"/>
        <w:adjustRightInd w:val="0"/>
        <w:snapToGrid w:val="0"/>
        <w:spacing w:after="0" w:line="360" w:lineRule="auto"/>
        <w:jc w:val="both"/>
        <w:textAlignment w:val="auto"/>
        <w:rPr>
          <w:rFonts w:hint="eastAsia" w:ascii="仿宋" w:hAnsi="仿宋" w:eastAsia="仿宋" w:cs="仿宋"/>
          <w:b/>
          <w:bCs w:val="0"/>
          <w:color w:val="auto"/>
          <w:sz w:val="44"/>
          <w:szCs w:val="44"/>
          <w:highlight w:val="none"/>
          <w:lang w:val="en-US" w:eastAsia="zh-CN"/>
        </w:rPr>
      </w:pPr>
    </w:p>
    <w:p w14:paraId="2A2F1739">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b/>
          <w:bCs w:val="0"/>
          <w:color w:val="auto"/>
          <w:sz w:val="44"/>
          <w:szCs w:val="44"/>
          <w:highlight w:val="none"/>
          <w:lang w:val="en-US" w:eastAsia="zh-CN"/>
        </w:rPr>
      </w:pPr>
    </w:p>
    <w:p w14:paraId="62D5CFBD">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仿宋" w:hAnsi="仿宋" w:eastAsia="仿宋" w:cs="仿宋"/>
          <w:b/>
          <w:bCs w:val="0"/>
          <w:color w:val="auto"/>
          <w:sz w:val="44"/>
          <w:szCs w:val="44"/>
          <w:highlight w:val="none"/>
          <w:lang w:val="en-US" w:eastAsia="zh-CN"/>
        </w:rPr>
        <w:sectPr>
          <w:headerReference r:id="rId5" w:type="default"/>
          <w:footerReference r:id="rId6" w:type="default"/>
          <w:pgSz w:w="11906" w:h="16838"/>
          <w:pgMar w:top="1440" w:right="1247" w:bottom="1247" w:left="1474" w:header="851" w:footer="992" w:gutter="0"/>
          <w:pgNumType w:start="1"/>
          <w:cols w:space="720" w:num="1"/>
          <w:docGrid w:type="lines" w:linePitch="312" w:charSpace="0"/>
        </w:sectPr>
      </w:pPr>
      <w:r>
        <w:rPr>
          <w:rFonts w:hint="eastAsia" w:ascii="仿宋" w:hAnsi="仿宋" w:eastAsia="仿宋" w:cs="仿宋"/>
          <w:b/>
          <w:bCs w:val="0"/>
          <w:color w:val="auto"/>
          <w:sz w:val="44"/>
          <w:szCs w:val="44"/>
          <w:highlight w:val="none"/>
          <w:lang w:val="en-US" w:eastAsia="zh-CN"/>
        </w:rPr>
        <w:t>2024年12月</w:t>
      </w:r>
    </w:p>
    <w:sdt>
      <w:sdtPr>
        <w:rPr>
          <w:rFonts w:hint="eastAsia" w:ascii="仿宋" w:hAnsi="仿宋" w:eastAsia="仿宋" w:cs="仿宋"/>
          <w:b/>
          <w:bCs/>
          <w:color w:val="auto"/>
          <w:sz w:val="32"/>
          <w:szCs w:val="32"/>
          <w:highlight w:val="none"/>
          <w:lang w:val="en-US" w:eastAsia="zh-CN" w:bidi="ar-SA"/>
        </w:rPr>
        <w:id w:val="147455169"/>
        <w15:color w:val="DBDBDB"/>
        <w:docPartObj>
          <w:docPartGallery w:val="Table of Contents"/>
          <w:docPartUnique/>
        </w:docPartObj>
      </w:sdtPr>
      <w:sdtEndPr>
        <w:rPr>
          <w:rFonts w:hint="eastAsia" w:ascii="仿宋" w:hAnsi="仿宋" w:eastAsia="仿宋" w:cs="仿宋"/>
          <w:b/>
          <w:bCs/>
          <w:color w:val="auto"/>
          <w:sz w:val="22"/>
          <w:szCs w:val="32"/>
          <w:highlight w:val="none"/>
          <w:lang w:val="en-US" w:eastAsia="zh-CN" w:bidi="ar-SA"/>
        </w:rPr>
      </w:sdtEndPr>
      <w:sdtContent>
        <w:p w14:paraId="0E6E5587">
          <w:pPr>
            <w:shd w:val="clear"/>
            <w:spacing w:after="0"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14:paraId="007E4B3F">
          <w:pPr>
            <w:pStyle w:val="8"/>
            <w:tabs>
              <w:tab w:val="right" w:leader="dot" w:pos="9185"/>
            </w:tabs>
          </w:pPr>
          <w:r>
            <w:fldChar w:fldCharType="begin"/>
          </w:r>
          <w:r>
            <w:instrText xml:space="preserve">TOC \o "1-2" \h \u </w:instrText>
          </w:r>
          <w:r>
            <w:fldChar w:fldCharType="separate"/>
          </w:r>
          <w:r>
            <w:fldChar w:fldCharType="begin"/>
          </w:r>
          <w:r>
            <w:instrText xml:space="preserve"> HYPERLINK \l _Toc7213 </w:instrText>
          </w:r>
          <w:r>
            <w:fldChar w:fldCharType="separate"/>
          </w:r>
          <w:r>
            <w:rPr>
              <w:rFonts w:hint="eastAsia" w:ascii="仿宋" w:hAnsi="仿宋" w:eastAsia="仿宋" w:cs="仿宋"/>
              <w:bCs w:val="0"/>
              <w:szCs w:val="36"/>
              <w:highlight w:val="none"/>
            </w:rPr>
            <w:t>1</w:t>
          </w:r>
          <w:r>
            <w:rPr>
              <w:rFonts w:hint="eastAsia" w:ascii="仿宋" w:hAnsi="仿宋" w:eastAsia="仿宋" w:cs="仿宋"/>
              <w:b w:val="0"/>
              <w:bCs w:val="0"/>
              <w:szCs w:val="36"/>
              <w:highlight w:val="none"/>
            </w:rPr>
            <w:t>总</w:t>
          </w:r>
          <w:r>
            <w:rPr>
              <w:rFonts w:hint="eastAsia" w:ascii="仿宋" w:hAnsi="仿宋" w:eastAsia="仿宋" w:cs="仿宋"/>
              <w:bCs w:val="0"/>
              <w:szCs w:val="36"/>
              <w:highlight w:val="none"/>
            </w:rPr>
            <w:t>则</w:t>
          </w:r>
          <w:r>
            <w:tab/>
          </w:r>
          <w:r>
            <w:fldChar w:fldCharType="begin"/>
          </w:r>
          <w:r>
            <w:instrText xml:space="preserve"> PAGEREF _Toc7213 \h </w:instrText>
          </w:r>
          <w:r>
            <w:fldChar w:fldCharType="separate"/>
          </w:r>
          <w:r>
            <w:t>1</w:t>
          </w:r>
          <w:r>
            <w:fldChar w:fldCharType="end"/>
          </w:r>
          <w:r>
            <w:fldChar w:fldCharType="end"/>
          </w:r>
        </w:p>
        <w:p w14:paraId="3EB993D3">
          <w:pPr>
            <w:pStyle w:val="9"/>
            <w:tabs>
              <w:tab w:val="right" w:leader="dot" w:pos="9185"/>
            </w:tabs>
          </w:pPr>
          <w:r>
            <w:fldChar w:fldCharType="begin"/>
          </w:r>
          <w:r>
            <w:instrText xml:space="preserve"> HYPERLINK \l _Toc5810 </w:instrText>
          </w:r>
          <w:r>
            <w:fldChar w:fldCharType="separate"/>
          </w:r>
          <w:r>
            <w:rPr>
              <w:rFonts w:hint="eastAsia" w:ascii="仿宋" w:hAnsi="仿宋" w:eastAsia="仿宋" w:cs="仿宋"/>
              <w:highlight w:val="none"/>
            </w:rPr>
            <w:t>1.1编制目的</w:t>
          </w:r>
          <w:r>
            <w:tab/>
          </w:r>
          <w:r>
            <w:fldChar w:fldCharType="begin"/>
          </w:r>
          <w:r>
            <w:instrText xml:space="preserve"> PAGEREF _Toc5810 \h </w:instrText>
          </w:r>
          <w:r>
            <w:fldChar w:fldCharType="separate"/>
          </w:r>
          <w:r>
            <w:t>1</w:t>
          </w:r>
          <w:r>
            <w:fldChar w:fldCharType="end"/>
          </w:r>
          <w:r>
            <w:fldChar w:fldCharType="end"/>
          </w:r>
        </w:p>
        <w:p w14:paraId="4E8FBD85">
          <w:pPr>
            <w:pStyle w:val="9"/>
            <w:tabs>
              <w:tab w:val="right" w:leader="dot" w:pos="9185"/>
            </w:tabs>
          </w:pPr>
          <w:r>
            <w:fldChar w:fldCharType="begin"/>
          </w:r>
          <w:r>
            <w:instrText xml:space="preserve"> HYPERLINK \l _Toc11589 </w:instrText>
          </w:r>
          <w:r>
            <w:fldChar w:fldCharType="separate"/>
          </w:r>
          <w:r>
            <w:rPr>
              <w:rFonts w:hint="eastAsia" w:ascii="仿宋" w:hAnsi="仿宋" w:eastAsia="仿宋" w:cs="仿宋"/>
              <w:highlight w:val="none"/>
            </w:rPr>
            <w:t>1.2编制依据</w:t>
          </w:r>
          <w:r>
            <w:tab/>
          </w:r>
          <w:r>
            <w:fldChar w:fldCharType="begin"/>
          </w:r>
          <w:r>
            <w:instrText xml:space="preserve"> PAGEREF _Toc11589 \h </w:instrText>
          </w:r>
          <w:r>
            <w:fldChar w:fldCharType="separate"/>
          </w:r>
          <w:r>
            <w:t>1</w:t>
          </w:r>
          <w:r>
            <w:fldChar w:fldCharType="end"/>
          </w:r>
          <w:r>
            <w:fldChar w:fldCharType="end"/>
          </w:r>
        </w:p>
        <w:p w14:paraId="76F47D02">
          <w:pPr>
            <w:pStyle w:val="9"/>
            <w:tabs>
              <w:tab w:val="right" w:leader="dot" w:pos="9185"/>
            </w:tabs>
          </w:pPr>
          <w:r>
            <w:fldChar w:fldCharType="begin"/>
          </w:r>
          <w:r>
            <w:instrText xml:space="preserve"> HYPERLINK \l _Toc29017 </w:instrText>
          </w:r>
          <w:r>
            <w:fldChar w:fldCharType="separate"/>
          </w:r>
          <w:r>
            <w:rPr>
              <w:rFonts w:hint="eastAsia" w:ascii="仿宋" w:hAnsi="仿宋" w:eastAsia="仿宋" w:cs="仿宋"/>
              <w:highlight w:val="none"/>
            </w:rPr>
            <w:t>1.3事故分级</w:t>
          </w:r>
          <w:r>
            <w:tab/>
          </w:r>
          <w:r>
            <w:fldChar w:fldCharType="begin"/>
          </w:r>
          <w:r>
            <w:instrText xml:space="preserve"> PAGEREF _Toc29017 \h </w:instrText>
          </w:r>
          <w:r>
            <w:fldChar w:fldCharType="separate"/>
          </w:r>
          <w:r>
            <w:t>1</w:t>
          </w:r>
          <w:r>
            <w:fldChar w:fldCharType="end"/>
          </w:r>
          <w:r>
            <w:fldChar w:fldCharType="end"/>
          </w:r>
        </w:p>
        <w:p w14:paraId="4EC250F0">
          <w:pPr>
            <w:pStyle w:val="9"/>
            <w:tabs>
              <w:tab w:val="right" w:leader="dot" w:pos="9185"/>
            </w:tabs>
          </w:pPr>
          <w:r>
            <w:fldChar w:fldCharType="begin"/>
          </w:r>
          <w:r>
            <w:instrText xml:space="preserve"> HYPERLINK \l _Toc32547 </w:instrText>
          </w:r>
          <w:r>
            <w:fldChar w:fldCharType="separate"/>
          </w:r>
          <w:r>
            <w:rPr>
              <w:rFonts w:hint="eastAsia" w:ascii="仿宋" w:hAnsi="仿宋" w:eastAsia="仿宋" w:cs="仿宋"/>
              <w:highlight w:val="none"/>
            </w:rPr>
            <w:t>1.4适用范围</w:t>
          </w:r>
          <w:r>
            <w:tab/>
          </w:r>
          <w:r>
            <w:fldChar w:fldCharType="begin"/>
          </w:r>
          <w:r>
            <w:instrText xml:space="preserve"> PAGEREF _Toc32547 \h </w:instrText>
          </w:r>
          <w:r>
            <w:fldChar w:fldCharType="separate"/>
          </w:r>
          <w:r>
            <w:t>2</w:t>
          </w:r>
          <w:r>
            <w:fldChar w:fldCharType="end"/>
          </w:r>
          <w:r>
            <w:fldChar w:fldCharType="end"/>
          </w:r>
        </w:p>
        <w:p w14:paraId="3BA63F40">
          <w:pPr>
            <w:pStyle w:val="9"/>
            <w:tabs>
              <w:tab w:val="right" w:leader="dot" w:pos="9185"/>
            </w:tabs>
          </w:pPr>
          <w:r>
            <w:fldChar w:fldCharType="begin"/>
          </w:r>
          <w:r>
            <w:instrText xml:space="preserve"> HYPERLINK \l _Toc13153 </w:instrText>
          </w:r>
          <w:r>
            <w:fldChar w:fldCharType="separate"/>
          </w:r>
          <w:r>
            <w:rPr>
              <w:rFonts w:hint="eastAsia" w:ascii="仿宋" w:hAnsi="仿宋" w:eastAsia="仿宋" w:cs="仿宋"/>
              <w:highlight w:val="none"/>
            </w:rPr>
            <w:t>1.5工作原则</w:t>
          </w:r>
          <w:r>
            <w:tab/>
          </w:r>
          <w:r>
            <w:fldChar w:fldCharType="begin"/>
          </w:r>
          <w:r>
            <w:instrText xml:space="preserve"> PAGEREF _Toc13153 \h </w:instrText>
          </w:r>
          <w:r>
            <w:fldChar w:fldCharType="separate"/>
          </w:r>
          <w:r>
            <w:t>2</w:t>
          </w:r>
          <w:r>
            <w:fldChar w:fldCharType="end"/>
          </w:r>
          <w:r>
            <w:fldChar w:fldCharType="end"/>
          </w:r>
        </w:p>
        <w:p w14:paraId="4823BCA1">
          <w:pPr>
            <w:pStyle w:val="8"/>
            <w:tabs>
              <w:tab w:val="right" w:leader="dot" w:pos="9185"/>
            </w:tabs>
          </w:pPr>
          <w:r>
            <w:fldChar w:fldCharType="begin"/>
          </w:r>
          <w:r>
            <w:instrText xml:space="preserve"> HYPERLINK \l _Toc31430 </w:instrText>
          </w:r>
          <w:r>
            <w:fldChar w:fldCharType="separate"/>
          </w:r>
          <w:r>
            <w:rPr>
              <w:rFonts w:hint="eastAsia" w:ascii="仿宋" w:hAnsi="仿宋" w:eastAsia="仿宋" w:cs="仿宋"/>
              <w:bCs/>
              <w:szCs w:val="36"/>
              <w:highlight w:val="none"/>
            </w:rPr>
            <w:t>2组织</w:t>
          </w:r>
          <w:r>
            <w:rPr>
              <w:rFonts w:hint="eastAsia" w:ascii="仿宋" w:hAnsi="仿宋" w:eastAsia="仿宋" w:cs="仿宋"/>
              <w:bCs/>
              <w:szCs w:val="36"/>
              <w:highlight w:val="none"/>
              <w:lang w:val="en-US" w:eastAsia="zh-CN"/>
            </w:rPr>
            <w:t>机构及职责</w:t>
          </w:r>
          <w:r>
            <w:tab/>
          </w:r>
          <w:r>
            <w:fldChar w:fldCharType="begin"/>
          </w:r>
          <w:r>
            <w:instrText xml:space="preserve"> PAGEREF _Toc31430 \h </w:instrText>
          </w:r>
          <w:r>
            <w:fldChar w:fldCharType="separate"/>
          </w:r>
          <w:r>
            <w:t>3</w:t>
          </w:r>
          <w:r>
            <w:fldChar w:fldCharType="end"/>
          </w:r>
          <w:r>
            <w:fldChar w:fldCharType="end"/>
          </w:r>
        </w:p>
        <w:p w14:paraId="4A220342">
          <w:pPr>
            <w:pStyle w:val="9"/>
            <w:tabs>
              <w:tab w:val="right" w:leader="dot" w:pos="9185"/>
            </w:tabs>
          </w:pPr>
          <w:r>
            <w:fldChar w:fldCharType="begin"/>
          </w:r>
          <w:r>
            <w:instrText xml:space="preserve"> HYPERLINK \l _Toc16742 </w:instrText>
          </w:r>
          <w:r>
            <w:fldChar w:fldCharType="separate"/>
          </w:r>
          <w:r>
            <w:rPr>
              <w:rFonts w:hint="eastAsia" w:ascii="仿宋" w:hAnsi="仿宋" w:eastAsia="仿宋" w:cs="仿宋"/>
              <w:highlight w:val="none"/>
            </w:rPr>
            <w:t>2.1区危险化学品</w:t>
          </w:r>
          <w:r>
            <w:rPr>
              <w:rFonts w:hint="eastAsia" w:ascii="仿宋" w:hAnsi="仿宋" w:eastAsia="仿宋" w:cs="仿宋"/>
              <w:highlight w:val="none"/>
              <w:lang w:val="en-US" w:eastAsia="zh-CN"/>
            </w:rPr>
            <w:t>事故</w:t>
          </w:r>
          <w:r>
            <w:rPr>
              <w:rFonts w:hint="eastAsia" w:ascii="仿宋" w:hAnsi="仿宋" w:eastAsia="仿宋" w:cs="仿宋"/>
              <w:highlight w:val="none"/>
            </w:rPr>
            <w:t>应急指挥部</w:t>
          </w:r>
          <w:r>
            <w:tab/>
          </w:r>
          <w:r>
            <w:fldChar w:fldCharType="begin"/>
          </w:r>
          <w:r>
            <w:instrText xml:space="preserve"> PAGEREF _Toc16742 \h </w:instrText>
          </w:r>
          <w:r>
            <w:fldChar w:fldCharType="separate"/>
          </w:r>
          <w:r>
            <w:t>3</w:t>
          </w:r>
          <w:r>
            <w:fldChar w:fldCharType="end"/>
          </w:r>
          <w:r>
            <w:fldChar w:fldCharType="end"/>
          </w:r>
        </w:p>
        <w:p w14:paraId="58CC0198">
          <w:pPr>
            <w:pStyle w:val="9"/>
            <w:tabs>
              <w:tab w:val="right" w:leader="dot" w:pos="9185"/>
            </w:tabs>
          </w:pPr>
          <w:r>
            <w:fldChar w:fldCharType="begin"/>
          </w:r>
          <w:r>
            <w:instrText xml:space="preserve"> HYPERLINK \l _Toc31627 </w:instrText>
          </w:r>
          <w:r>
            <w:fldChar w:fldCharType="separate"/>
          </w:r>
          <w:r>
            <w:rPr>
              <w:rFonts w:hint="eastAsia" w:ascii="仿宋" w:hAnsi="仿宋" w:eastAsia="仿宋" w:cs="仿宋"/>
              <w:highlight w:val="none"/>
            </w:rPr>
            <w:t>2.2现场指挥部</w:t>
          </w:r>
          <w:r>
            <w:tab/>
          </w:r>
          <w:r>
            <w:fldChar w:fldCharType="begin"/>
          </w:r>
          <w:r>
            <w:instrText xml:space="preserve"> PAGEREF _Toc31627 \h </w:instrText>
          </w:r>
          <w:r>
            <w:fldChar w:fldCharType="separate"/>
          </w:r>
          <w:r>
            <w:t>6</w:t>
          </w:r>
          <w:r>
            <w:fldChar w:fldCharType="end"/>
          </w:r>
          <w:r>
            <w:fldChar w:fldCharType="end"/>
          </w:r>
        </w:p>
        <w:p w14:paraId="480D81A8">
          <w:pPr>
            <w:pStyle w:val="8"/>
            <w:tabs>
              <w:tab w:val="right" w:leader="dot" w:pos="9185"/>
            </w:tabs>
          </w:pPr>
          <w:r>
            <w:fldChar w:fldCharType="begin"/>
          </w:r>
          <w:r>
            <w:instrText xml:space="preserve"> HYPERLINK \l _Toc13758 </w:instrText>
          </w:r>
          <w:r>
            <w:fldChar w:fldCharType="separate"/>
          </w:r>
          <w:r>
            <w:rPr>
              <w:rFonts w:hint="eastAsia" w:ascii="仿宋" w:hAnsi="仿宋" w:eastAsia="仿宋" w:cs="仿宋"/>
              <w:bCs w:val="0"/>
              <w:szCs w:val="36"/>
              <w:highlight w:val="none"/>
            </w:rPr>
            <w:t>3监测预警</w:t>
          </w:r>
          <w:r>
            <w:tab/>
          </w:r>
          <w:r>
            <w:fldChar w:fldCharType="begin"/>
          </w:r>
          <w:r>
            <w:instrText xml:space="preserve"> PAGEREF _Toc13758 \h </w:instrText>
          </w:r>
          <w:r>
            <w:fldChar w:fldCharType="separate"/>
          </w:r>
          <w:r>
            <w:t>1</w:t>
          </w:r>
          <w:r>
            <w:fldChar w:fldCharType="end"/>
          </w:r>
          <w:r>
            <w:fldChar w:fldCharType="end"/>
          </w:r>
        </w:p>
        <w:p w14:paraId="0AAB5DE4">
          <w:pPr>
            <w:pStyle w:val="9"/>
            <w:tabs>
              <w:tab w:val="right" w:leader="dot" w:pos="9185"/>
            </w:tabs>
          </w:pPr>
          <w:r>
            <w:fldChar w:fldCharType="begin"/>
          </w:r>
          <w:r>
            <w:instrText xml:space="preserve"> HYPERLINK \l _Toc21810 </w:instrText>
          </w:r>
          <w:r>
            <w:fldChar w:fldCharType="separate"/>
          </w:r>
          <w:r>
            <w:rPr>
              <w:rFonts w:hint="eastAsia" w:ascii="仿宋" w:hAnsi="仿宋" w:eastAsia="仿宋" w:cs="仿宋"/>
              <w:highlight w:val="none"/>
            </w:rPr>
            <w:t>3.1信息监测</w:t>
          </w:r>
          <w:r>
            <w:tab/>
          </w:r>
          <w:r>
            <w:fldChar w:fldCharType="begin"/>
          </w:r>
          <w:r>
            <w:instrText xml:space="preserve"> PAGEREF _Toc21810 \h </w:instrText>
          </w:r>
          <w:r>
            <w:fldChar w:fldCharType="separate"/>
          </w:r>
          <w:r>
            <w:t>1</w:t>
          </w:r>
          <w:r>
            <w:fldChar w:fldCharType="end"/>
          </w:r>
          <w:r>
            <w:fldChar w:fldCharType="end"/>
          </w:r>
        </w:p>
        <w:p w14:paraId="1A8A8F47">
          <w:pPr>
            <w:pStyle w:val="9"/>
            <w:tabs>
              <w:tab w:val="right" w:leader="dot" w:pos="9185"/>
            </w:tabs>
          </w:pPr>
          <w:r>
            <w:fldChar w:fldCharType="begin"/>
          </w:r>
          <w:r>
            <w:instrText xml:space="preserve"> HYPERLINK \l _Toc13536 </w:instrText>
          </w:r>
          <w:r>
            <w:fldChar w:fldCharType="separate"/>
          </w:r>
          <w:r>
            <w:rPr>
              <w:rFonts w:hint="eastAsia" w:ascii="仿宋" w:hAnsi="仿宋" w:eastAsia="仿宋" w:cs="仿宋"/>
              <w:highlight w:val="none"/>
            </w:rPr>
            <w:t>3.2信息预警</w:t>
          </w:r>
          <w:r>
            <w:tab/>
          </w:r>
          <w:r>
            <w:fldChar w:fldCharType="begin"/>
          </w:r>
          <w:r>
            <w:instrText xml:space="preserve"> PAGEREF _Toc13536 \h </w:instrText>
          </w:r>
          <w:r>
            <w:fldChar w:fldCharType="separate"/>
          </w:r>
          <w:r>
            <w:t>1</w:t>
          </w:r>
          <w:r>
            <w:fldChar w:fldCharType="end"/>
          </w:r>
          <w:r>
            <w:fldChar w:fldCharType="end"/>
          </w:r>
        </w:p>
        <w:p w14:paraId="4941B383">
          <w:pPr>
            <w:pStyle w:val="9"/>
            <w:tabs>
              <w:tab w:val="right" w:leader="dot" w:pos="9185"/>
            </w:tabs>
          </w:pPr>
          <w:r>
            <w:fldChar w:fldCharType="begin"/>
          </w:r>
          <w:r>
            <w:instrText xml:space="preserve"> HYPERLINK \l _Toc8997 </w:instrText>
          </w:r>
          <w:r>
            <w:fldChar w:fldCharType="separate"/>
          </w:r>
          <w:r>
            <w:rPr>
              <w:rFonts w:hint="eastAsia" w:ascii="仿宋" w:hAnsi="仿宋" w:eastAsia="仿宋" w:cs="仿宋"/>
              <w:highlight w:val="none"/>
              <w:lang w:val="zh-CN"/>
            </w:rPr>
            <w:t>3.</w:t>
          </w:r>
          <w:r>
            <w:rPr>
              <w:rFonts w:hint="eastAsia" w:ascii="仿宋" w:hAnsi="仿宋" w:eastAsia="仿宋" w:cs="仿宋"/>
              <w:highlight w:val="none"/>
            </w:rPr>
            <w:t>3信息报告</w:t>
          </w:r>
          <w:r>
            <w:tab/>
          </w:r>
          <w:r>
            <w:fldChar w:fldCharType="begin"/>
          </w:r>
          <w:r>
            <w:instrText xml:space="preserve"> PAGEREF _Toc8997 \h </w:instrText>
          </w:r>
          <w:r>
            <w:fldChar w:fldCharType="separate"/>
          </w:r>
          <w:r>
            <w:t>3</w:t>
          </w:r>
          <w:r>
            <w:fldChar w:fldCharType="end"/>
          </w:r>
          <w:r>
            <w:fldChar w:fldCharType="end"/>
          </w:r>
        </w:p>
        <w:p w14:paraId="40AFF97B">
          <w:pPr>
            <w:pStyle w:val="8"/>
            <w:tabs>
              <w:tab w:val="right" w:leader="dot" w:pos="9185"/>
            </w:tabs>
          </w:pPr>
          <w:r>
            <w:fldChar w:fldCharType="begin"/>
          </w:r>
          <w:r>
            <w:instrText xml:space="preserve"> HYPERLINK \l _Toc6681 </w:instrText>
          </w:r>
          <w:r>
            <w:fldChar w:fldCharType="separate"/>
          </w:r>
          <w:r>
            <w:rPr>
              <w:rFonts w:hint="eastAsia" w:ascii="仿宋" w:hAnsi="仿宋" w:eastAsia="仿宋" w:cs="仿宋"/>
              <w:bCs w:val="0"/>
              <w:szCs w:val="36"/>
              <w:highlight w:val="none"/>
            </w:rPr>
            <w:t>4应急响应</w:t>
          </w:r>
          <w:r>
            <w:tab/>
          </w:r>
          <w:r>
            <w:fldChar w:fldCharType="begin"/>
          </w:r>
          <w:r>
            <w:instrText xml:space="preserve"> PAGEREF _Toc6681 \h </w:instrText>
          </w:r>
          <w:r>
            <w:fldChar w:fldCharType="separate"/>
          </w:r>
          <w:r>
            <w:t>4</w:t>
          </w:r>
          <w:r>
            <w:fldChar w:fldCharType="end"/>
          </w:r>
          <w:r>
            <w:fldChar w:fldCharType="end"/>
          </w:r>
        </w:p>
        <w:p w14:paraId="07B95131">
          <w:pPr>
            <w:pStyle w:val="9"/>
            <w:tabs>
              <w:tab w:val="right" w:leader="dot" w:pos="9185"/>
            </w:tabs>
          </w:pPr>
          <w:r>
            <w:fldChar w:fldCharType="begin"/>
          </w:r>
          <w:r>
            <w:instrText xml:space="preserve"> HYPERLINK \l _Toc29409 </w:instrText>
          </w:r>
          <w:r>
            <w:fldChar w:fldCharType="separate"/>
          </w:r>
          <w:r>
            <w:rPr>
              <w:rFonts w:hint="eastAsia" w:ascii="仿宋" w:hAnsi="仿宋" w:eastAsia="仿宋" w:cs="仿宋"/>
              <w:highlight w:val="none"/>
              <w:lang w:val="en-US" w:eastAsia="zh-CN"/>
            </w:rPr>
            <w:t>4.1先期处置</w:t>
          </w:r>
          <w:r>
            <w:tab/>
          </w:r>
          <w:r>
            <w:fldChar w:fldCharType="begin"/>
          </w:r>
          <w:r>
            <w:instrText xml:space="preserve"> PAGEREF _Toc29409 \h </w:instrText>
          </w:r>
          <w:r>
            <w:fldChar w:fldCharType="separate"/>
          </w:r>
          <w:r>
            <w:t>4</w:t>
          </w:r>
          <w:r>
            <w:fldChar w:fldCharType="end"/>
          </w:r>
          <w:r>
            <w:fldChar w:fldCharType="end"/>
          </w:r>
        </w:p>
        <w:p w14:paraId="6FCAA09B">
          <w:pPr>
            <w:pStyle w:val="9"/>
            <w:tabs>
              <w:tab w:val="right" w:leader="dot" w:pos="9185"/>
            </w:tabs>
          </w:pPr>
          <w:r>
            <w:fldChar w:fldCharType="begin"/>
          </w:r>
          <w:r>
            <w:instrText xml:space="preserve"> HYPERLINK \l _Toc26318 </w:instrText>
          </w:r>
          <w:r>
            <w:fldChar w:fldCharType="separate"/>
          </w:r>
          <w:r>
            <w:rPr>
              <w:rFonts w:hint="eastAsia" w:ascii="仿宋" w:hAnsi="仿宋" w:eastAsia="仿宋" w:cs="仿宋"/>
              <w:highlight w:val="none"/>
            </w:rPr>
            <w:t>4.</w:t>
          </w:r>
          <w:r>
            <w:rPr>
              <w:rFonts w:hint="eastAsia" w:ascii="仿宋" w:hAnsi="仿宋" w:eastAsia="仿宋" w:cs="仿宋"/>
              <w:highlight w:val="none"/>
              <w:lang w:val="en-US" w:eastAsia="zh-CN"/>
            </w:rPr>
            <w:t>2</w:t>
          </w:r>
          <w:r>
            <w:rPr>
              <w:rFonts w:hint="eastAsia" w:ascii="仿宋" w:hAnsi="仿宋" w:eastAsia="仿宋" w:cs="仿宋"/>
              <w:highlight w:val="none"/>
            </w:rPr>
            <w:t>分级响应</w:t>
          </w:r>
          <w:r>
            <w:tab/>
          </w:r>
          <w:r>
            <w:fldChar w:fldCharType="begin"/>
          </w:r>
          <w:r>
            <w:instrText xml:space="preserve"> PAGEREF _Toc26318 \h </w:instrText>
          </w:r>
          <w:r>
            <w:fldChar w:fldCharType="separate"/>
          </w:r>
          <w:r>
            <w:t>4</w:t>
          </w:r>
          <w:r>
            <w:fldChar w:fldCharType="end"/>
          </w:r>
          <w:r>
            <w:fldChar w:fldCharType="end"/>
          </w:r>
        </w:p>
        <w:p w14:paraId="76BDFECF">
          <w:pPr>
            <w:pStyle w:val="9"/>
            <w:tabs>
              <w:tab w:val="right" w:leader="dot" w:pos="9185"/>
            </w:tabs>
          </w:pPr>
          <w:r>
            <w:fldChar w:fldCharType="begin"/>
          </w:r>
          <w:r>
            <w:instrText xml:space="preserve"> HYPERLINK \l _Toc10924 </w:instrText>
          </w:r>
          <w:r>
            <w:fldChar w:fldCharType="separate"/>
          </w:r>
          <w:r>
            <w:rPr>
              <w:rFonts w:hint="eastAsia" w:ascii="仿宋" w:hAnsi="仿宋" w:eastAsia="仿宋" w:cs="仿宋"/>
              <w:highlight w:val="none"/>
            </w:rPr>
            <w:t>4.</w:t>
          </w:r>
          <w:r>
            <w:rPr>
              <w:rFonts w:hint="eastAsia" w:ascii="仿宋" w:hAnsi="仿宋" w:eastAsia="仿宋" w:cs="仿宋"/>
              <w:highlight w:val="none"/>
              <w:lang w:val="en-US" w:eastAsia="zh-CN"/>
            </w:rPr>
            <w:t>3</w:t>
          </w:r>
          <w:r>
            <w:rPr>
              <w:rFonts w:hint="eastAsia" w:ascii="仿宋" w:hAnsi="仿宋" w:eastAsia="仿宋" w:cs="仿宋"/>
              <w:highlight w:val="none"/>
            </w:rPr>
            <w:t>响应程序</w:t>
          </w:r>
          <w:r>
            <w:tab/>
          </w:r>
          <w:r>
            <w:fldChar w:fldCharType="begin"/>
          </w:r>
          <w:r>
            <w:instrText xml:space="preserve"> PAGEREF _Toc10924 \h </w:instrText>
          </w:r>
          <w:r>
            <w:fldChar w:fldCharType="separate"/>
          </w:r>
          <w:r>
            <w:t>5</w:t>
          </w:r>
          <w:r>
            <w:fldChar w:fldCharType="end"/>
          </w:r>
          <w:r>
            <w:fldChar w:fldCharType="end"/>
          </w:r>
        </w:p>
        <w:p w14:paraId="5917F898">
          <w:pPr>
            <w:pStyle w:val="9"/>
            <w:tabs>
              <w:tab w:val="right" w:leader="dot" w:pos="9185"/>
            </w:tabs>
          </w:pPr>
          <w:r>
            <w:fldChar w:fldCharType="begin"/>
          </w:r>
          <w:r>
            <w:instrText xml:space="preserve"> HYPERLINK \l _Toc28885 </w:instrText>
          </w:r>
          <w:r>
            <w:fldChar w:fldCharType="separate"/>
          </w:r>
          <w:r>
            <w:rPr>
              <w:rFonts w:hint="eastAsia" w:ascii="仿宋" w:hAnsi="仿宋" w:eastAsia="仿宋" w:cs="仿宋"/>
              <w:szCs w:val="32"/>
              <w:highlight w:val="none"/>
            </w:rPr>
            <w:t>4.</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扩大应急</w:t>
          </w:r>
          <w:r>
            <w:tab/>
          </w:r>
          <w:r>
            <w:fldChar w:fldCharType="begin"/>
          </w:r>
          <w:r>
            <w:instrText xml:space="preserve"> PAGEREF _Toc28885 \h </w:instrText>
          </w:r>
          <w:r>
            <w:fldChar w:fldCharType="separate"/>
          </w:r>
          <w:r>
            <w:t>6</w:t>
          </w:r>
          <w:r>
            <w:fldChar w:fldCharType="end"/>
          </w:r>
          <w:r>
            <w:fldChar w:fldCharType="end"/>
          </w:r>
        </w:p>
        <w:p w14:paraId="34F75D2A">
          <w:pPr>
            <w:pStyle w:val="9"/>
            <w:tabs>
              <w:tab w:val="right" w:leader="dot" w:pos="9185"/>
            </w:tabs>
          </w:pPr>
          <w:r>
            <w:fldChar w:fldCharType="begin"/>
          </w:r>
          <w:r>
            <w:instrText xml:space="preserve"> HYPERLINK \l _Toc22272 </w:instrText>
          </w:r>
          <w:r>
            <w:fldChar w:fldCharType="separate"/>
          </w:r>
          <w:r>
            <w:rPr>
              <w:rFonts w:hint="eastAsia" w:ascii="仿宋" w:hAnsi="仿宋" w:eastAsia="仿宋" w:cs="仿宋"/>
              <w:szCs w:val="32"/>
              <w:highlight w:val="none"/>
              <w:lang w:val="en-US" w:eastAsia="zh-CN"/>
            </w:rPr>
            <w:t>4.5</w:t>
          </w:r>
          <w:r>
            <w:rPr>
              <w:rFonts w:hint="eastAsia" w:ascii="仿宋" w:hAnsi="仿宋" w:eastAsia="仿宋" w:cs="仿宋"/>
              <w:szCs w:val="32"/>
              <w:highlight w:val="none"/>
            </w:rPr>
            <w:t>信息发布</w:t>
          </w:r>
          <w:r>
            <w:rPr>
              <w:rFonts w:hint="eastAsia" w:ascii="仿宋" w:hAnsi="仿宋" w:eastAsia="仿宋" w:cs="仿宋"/>
              <w:szCs w:val="32"/>
              <w:highlight w:val="none"/>
              <w:lang w:val="en-US" w:eastAsia="zh-CN"/>
            </w:rPr>
            <w:t>和新闻报道</w:t>
          </w:r>
          <w:r>
            <w:tab/>
          </w:r>
          <w:r>
            <w:fldChar w:fldCharType="begin"/>
          </w:r>
          <w:r>
            <w:instrText xml:space="preserve"> PAGEREF _Toc22272 \h </w:instrText>
          </w:r>
          <w:r>
            <w:fldChar w:fldCharType="separate"/>
          </w:r>
          <w:r>
            <w:t>6</w:t>
          </w:r>
          <w:r>
            <w:fldChar w:fldCharType="end"/>
          </w:r>
          <w:r>
            <w:fldChar w:fldCharType="end"/>
          </w:r>
        </w:p>
        <w:p w14:paraId="2FBC2997">
          <w:pPr>
            <w:pStyle w:val="9"/>
            <w:tabs>
              <w:tab w:val="right" w:leader="dot" w:pos="9185"/>
            </w:tabs>
          </w:pPr>
          <w:r>
            <w:fldChar w:fldCharType="begin"/>
          </w:r>
          <w:r>
            <w:instrText xml:space="preserve"> HYPERLINK \l _Toc28856 </w:instrText>
          </w:r>
          <w:r>
            <w:fldChar w:fldCharType="separate"/>
          </w:r>
          <w:r>
            <w:rPr>
              <w:rFonts w:hint="eastAsia" w:ascii="仿宋" w:hAnsi="仿宋" w:eastAsia="仿宋" w:cs="仿宋"/>
              <w:highlight w:val="none"/>
            </w:rPr>
            <w:t>4.</w:t>
          </w:r>
          <w:r>
            <w:rPr>
              <w:rFonts w:hint="eastAsia" w:ascii="仿宋" w:hAnsi="仿宋" w:eastAsia="仿宋" w:cs="仿宋"/>
              <w:highlight w:val="none"/>
              <w:lang w:val="en-US" w:eastAsia="zh-CN"/>
            </w:rPr>
            <w:t>6</w:t>
          </w:r>
          <w:r>
            <w:rPr>
              <w:rFonts w:hint="eastAsia" w:ascii="仿宋" w:hAnsi="仿宋" w:eastAsia="仿宋" w:cs="仿宋"/>
              <w:highlight w:val="none"/>
            </w:rPr>
            <w:t>应急结束</w:t>
          </w:r>
          <w:r>
            <w:tab/>
          </w:r>
          <w:r>
            <w:fldChar w:fldCharType="begin"/>
          </w:r>
          <w:r>
            <w:instrText xml:space="preserve"> PAGEREF _Toc28856 \h </w:instrText>
          </w:r>
          <w:r>
            <w:fldChar w:fldCharType="separate"/>
          </w:r>
          <w:r>
            <w:t>6</w:t>
          </w:r>
          <w:r>
            <w:fldChar w:fldCharType="end"/>
          </w:r>
          <w:r>
            <w:fldChar w:fldCharType="end"/>
          </w:r>
        </w:p>
        <w:p w14:paraId="3B1048AE">
          <w:pPr>
            <w:pStyle w:val="9"/>
            <w:tabs>
              <w:tab w:val="right" w:leader="dot" w:pos="9185"/>
            </w:tabs>
          </w:pPr>
          <w:r>
            <w:fldChar w:fldCharType="begin"/>
          </w:r>
          <w:r>
            <w:instrText xml:space="preserve"> HYPERLINK \l _Toc7256 </w:instrText>
          </w:r>
          <w:r>
            <w:fldChar w:fldCharType="separate"/>
          </w:r>
          <w:r>
            <w:rPr>
              <w:rFonts w:hint="eastAsia" w:ascii="仿宋" w:hAnsi="仿宋" w:eastAsia="仿宋" w:cs="仿宋"/>
              <w:szCs w:val="32"/>
              <w:highlight w:val="none"/>
              <w:lang w:val="zh-CN"/>
            </w:rPr>
            <w:t>4.</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lang w:val="zh-CN"/>
            </w:rPr>
            <w:t>应急响应程序图</w:t>
          </w:r>
          <w:r>
            <w:tab/>
          </w:r>
          <w:r>
            <w:fldChar w:fldCharType="begin"/>
          </w:r>
          <w:r>
            <w:instrText xml:space="preserve"> PAGEREF _Toc7256 \h </w:instrText>
          </w:r>
          <w:r>
            <w:fldChar w:fldCharType="separate"/>
          </w:r>
          <w:r>
            <w:t>7</w:t>
          </w:r>
          <w:r>
            <w:fldChar w:fldCharType="end"/>
          </w:r>
          <w:r>
            <w:fldChar w:fldCharType="end"/>
          </w:r>
        </w:p>
        <w:p w14:paraId="1C0390D8">
          <w:pPr>
            <w:pStyle w:val="8"/>
            <w:tabs>
              <w:tab w:val="right" w:leader="dot" w:pos="9185"/>
            </w:tabs>
          </w:pPr>
          <w:r>
            <w:fldChar w:fldCharType="begin"/>
          </w:r>
          <w:r>
            <w:instrText xml:space="preserve"> HYPERLINK \l _Toc22228 </w:instrText>
          </w:r>
          <w:r>
            <w:fldChar w:fldCharType="separate"/>
          </w:r>
          <w:r>
            <w:rPr>
              <w:rFonts w:hint="eastAsia" w:ascii="仿宋" w:hAnsi="仿宋" w:eastAsia="仿宋" w:cs="仿宋"/>
              <w:bCs w:val="0"/>
              <w:szCs w:val="36"/>
              <w:highlight w:val="none"/>
              <w:lang w:val="en-US" w:eastAsia="zh-CN"/>
            </w:rPr>
            <w:t>5善后恢复</w:t>
          </w:r>
          <w:r>
            <w:tab/>
          </w:r>
          <w:r>
            <w:fldChar w:fldCharType="begin"/>
          </w:r>
          <w:r>
            <w:instrText xml:space="preserve"> PAGEREF _Toc22228 \h </w:instrText>
          </w:r>
          <w:r>
            <w:fldChar w:fldCharType="separate"/>
          </w:r>
          <w:r>
            <w:t>8</w:t>
          </w:r>
          <w:r>
            <w:fldChar w:fldCharType="end"/>
          </w:r>
          <w:r>
            <w:fldChar w:fldCharType="end"/>
          </w:r>
        </w:p>
        <w:p w14:paraId="7BC19EAD">
          <w:pPr>
            <w:pStyle w:val="9"/>
            <w:tabs>
              <w:tab w:val="right" w:leader="dot" w:pos="9185"/>
            </w:tabs>
          </w:pPr>
          <w:r>
            <w:fldChar w:fldCharType="begin"/>
          </w:r>
          <w:r>
            <w:instrText xml:space="preserve"> HYPERLINK \l _Toc14391 </w:instrText>
          </w:r>
          <w:r>
            <w:fldChar w:fldCharType="separate"/>
          </w:r>
          <w:r>
            <w:rPr>
              <w:rFonts w:hint="eastAsia" w:ascii="仿宋" w:hAnsi="仿宋" w:eastAsia="仿宋" w:cs="仿宋"/>
              <w:highlight w:val="none"/>
              <w:lang w:val="en-US" w:eastAsia="zh-CN"/>
            </w:rPr>
            <w:t>5</w:t>
          </w:r>
          <w:r>
            <w:rPr>
              <w:rFonts w:hint="eastAsia" w:ascii="仿宋" w:hAnsi="仿宋" w:eastAsia="仿宋" w:cs="仿宋"/>
              <w:highlight w:val="none"/>
              <w:lang w:val="zh-CN"/>
            </w:rPr>
            <w:t>.1</w:t>
          </w:r>
          <w:r>
            <w:rPr>
              <w:rFonts w:hint="eastAsia" w:ascii="仿宋" w:hAnsi="仿宋" w:eastAsia="仿宋" w:cs="仿宋"/>
              <w:highlight w:val="none"/>
              <w:lang w:val="en-US" w:eastAsia="zh-CN"/>
            </w:rPr>
            <w:t>后期</w:t>
          </w:r>
          <w:r>
            <w:rPr>
              <w:rFonts w:hint="eastAsia" w:ascii="仿宋" w:hAnsi="仿宋" w:eastAsia="仿宋" w:cs="仿宋"/>
              <w:highlight w:val="none"/>
              <w:lang w:val="zh-CN"/>
            </w:rPr>
            <w:t>处置</w:t>
          </w:r>
          <w:r>
            <w:tab/>
          </w:r>
          <w:r>
            <w:fldChar w:fldCharType="begin"/>
          </w:r>
          <w:r>
            <w:instrText xml:space="preserve"> PAGEREF _Toc14391 \h </w:instrText>
          </w:r>
          <w:r>
            <w:fldChar w:fldCharType="separate"/>
          </w:r>
          <w:r>
            <w:t>8</w:t>
          </w:r>
          <w:r>
            <w:fldChar w:fldCharType="end"/>
          </w:r>
          <w:r>
            <w:fldChar w:fldCharType="end"/>
          </w:r>
        </w:p>
        <w:p w14:paraId="5F5C99C5">
          <w:pPr>
            <w:pStyle w:val="9"/>
            <w:tabs>
              <w:tab w:val="right" w:leader="dot" w:pos="9185"/>
            </w:tabs>
          </w:pPr>
          <w:r>
            <w:fldChar w:fldCharType="begin"/>
          </w:r>
          <w:r>
            <w:instrText xml:space="preserve"> HYPERLINK \l _Toc18105 </w:instrText>
          </w:r>
          <w:r>
            <w:fldChar w:fldCharType="separate"/>
          </w:r>
          <w:r>
            <w:rPr>
              <w:rFonts w:hint="eastAsia" w:ascii="仿宋" w:hAnsi="仿宋" w:eastAsia="仿宋" w:cs="仿宋"/>
              <w:highlight w:val="none"/>
              <w:lang w:val="en-US" w:eastAsia="zh-CN"/>
            </w:rPr>
            <w:t>5</w:t>
          </w:r>
          <w:r>
            <w:rPr>
              <w:rFonts w:hint="eastAsia" w:ascii="仿宋" w:hAnsi="仿宋" w:eastAsia="仿宋" w:cs="仿宋"/>
              <w:highlight w:val="none"/>
              <w:lang w:val="zh-CN"/>
            </w:rPr>
            <w:t>.2</w:t>
          </w:r>
          <w:r>
            <w:rPr>
              <w:rFonts w:hint="eastAsia" w:ascii="仿宋" w:hAnsi="仿宋" w:eastAsia="仿宋" w:cs="仿宋"/>
              <w:highlight w:val="none"/>
              <w:lang w:val="en-US" w:eastAsia="zh-CN"/>
            </w:rPr>
            <w:t>事故调查</w:t>
          </w:r>
          <w:r>
            <w:tab/>
          </w:r>
          <w:r>
            <w:fldChar w:fldCharType="begin"/>
          </w:r>
          <w:r>
            <w:instrText xml:space="preserve"> PAGEREF _Toc18105 \h </w:instrText>
          </w:r>
          <w:r>
            <w:fldChar w:fldCharType="separate"/>
          </w:r>
          <w:r>
            <w:t>8</w:t>
          </w:r>
          <w:r>
            <w:fldChar w:fldCharType="end"/>
          </w:r>
          <w:r>
            <w:fldChar w:fldCharType="end"/>
          </w:r>
        </w:p>
        <w:p w14:paraId="5C9663F5">
          <w:pPr>
            <w:pStyle w:val="9"/>
            <w:tabs>
              <w:tab w:val="right" w:leader="dot" w:pos="9185"/>
            </w:tabs>
          </w:pPr>
          <w:r>
            <w:fldChar w:fldCharType="begin"/>
          </w:r>
          <w:r>
            <w:instrText xml:space="preserve"> HYPERLINK \l _Toc5031 </w:instrText>
          </w:r>
          <w:r>
            <w:fldChar w:fldCharType="separate"/>
          </w:r>
          <w:r>
            <w:rPr>
              <w:rFonts w:hint="eastAsia" w:ascii="仿宋" w:hAnsi="仿宋" w:eastAsia="仿宋" w:cs="仿宋"/>
              <w:highlight w:val="none"/>
              <w:lang w:val="en-US" w:eastAsia="zh-CN"/>
            </w:rPr>
            <w:t>5.3总结评估</w:t>
          </w:r>
          <w:r>
            <w:tab/>
          </w:r>
          <w:r>
            <w:fldChar w:fldCharType="begin"/>
          </w:r>
          <w:r>
            <w:instrText xml:space="preserve"> PAGEREF _Toc5031 \h </w:instrText>
          </w:r>
          <w:r>
            <w:fldChar w:fldCharType="separate"/>
          </w:r>
          <w:r>
            <w:t>8</w:t>
          </w:r>
          <w:r>
            <w:fldChar w:fldCharType="end"/>
          </w:r>
          <w:r>
            <w:fldChar w:fldCharType="end"/>
          </w:r>
        </w:p>
        <w:p w14:paraId="4DB7EEE2">
          <w:pPr>
            <w:pStyle w:val="8"/>
            <w:tabs>
              <w:tab w:val="right" w:leader="dot" w:pos="9185"/>
            </w:tabs>
          </w:pPr>
          <w:r>
            <w:fldChar w:fldCharType="begin"/>
          </w:r>
          <w:r>
            <w:instrText xml:space="preserve"> HYPERLINK \l _Toc21040 </w:instrText>
          </w:r>
          <w:r>
            <w:fldChar w:fldCharType="separate"/>
          </w:r>
          <w:r>
            <w:rPr>
              <w:rFonts w:hint="eastAsia" w:ascii="仿宋" w:hAnsi="仿宋" w:eastAsia="仿宋" w:cs="仿宋"/>
              <w:bCs w:val="0"/>
              <w:szCs w:val="36"/>
              <w:highlight w:val="none"/>
              <w:lang w:val="en-US" w:eastAsia="zh-CN"/>
            </w:rPr>
            <w:t>6</w:t>
          </w:r>
          <w:r>
            <w:rPr>
              <w:rFonts w:hint="eastAsia" w:ascii="仿宋" w:hAnsi="仿宋" w:eastAsia="仿宋" w:cs="仿宋"/>
              <w:bCs w:val="0"/>
              <w:szCs w:val="36"/>
              <w:highlight w:val="none"/>
            </w:rPr>
            <w:t>保障措施</w:t>
          </w:r>
          <w:r>
            <w:tab/>
          </w:r>
          <w:r>
            <w:fldChar w:fldCharType="begin"/>
          </w:r>
          <w:r>
            <w:instrText xml:space="preserve"> PAGEREF _Toc21040 \h </w:instrText>
          </w:r>
          <w:r>
            <w:fldChar w:fldCharType="separate"/>
          </w:r>
          <w:r>
            <w:t>9</w:t>
          </w:r>
          <w:r>
            <w:fldChar w:fldCharType="end"/>
          </w:r>
          <w:r>
            <w:fldChar w:fldCharType="end"/>
          </w:r>
        </w:p>
        <w:p w14:paraId="004A98CC">
          <w:pPr>
            <w:pStyle w:val="9"/>
            <w:tabs>
              <w:tab w:val="right" w:leader="dot" w:pos="9185"/>
            </w:tabs>
          </w:pPr>
          <w:r>
            <w:fldChar w:fldCharType="begin"/>
          </w:r>
          <w:r>
            <w:instrText xml:space="preserve"> HYPERLINK \l _Toc14984 </w:instrText>
          </w:r>
          <w: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lang w:val="zh-CN"/>
            </w:rPr>
            <w:t>.1</w:t>
          </w:r>
          <w:r>
            <w:rPr>
              <w:rFonts w:hint="eastAsia" w:ascii="仿宋" w:hAnsi="仿宋" w:eastAsia="仿宋" w:cs="仿宋"/>
              <w:highlight w:val="none"/>
              <w:lang w:val="en-US" w:eastAsia="zh-CN"/>
            </w:rPr>
            <w:t>指挥系统</w:t>
          </w:r>
          <w:r>
            <w:rPr>
              <w:rFonts w:hint="eastAsia" w:ascii="仿宋" w:hAnsi="仿宋" w:eastAsia="仿宋" w:cs="仿宋"/>
              <w:highlight w:val="none"/>
              <w:lang w:val="zh-CN"/>
            </w:rPr>
            <w:t>保障</w:t>
          </w:r>
          <w:r>
            <w:tab/>
          </w:r>
          <w:r>
            <w:fldChar w:fldCharType="begin"/>
          </w:r>
          <w:r>
            <w:instrText xml:space="preserve"> PAGEREF _Toc14984 \h </w:instrText>
          </w:r>
          <w:r>
            <w:fldChar w:fldCharType="separate"/>
          </w:r>
          <w:r>
            <w:t>9</w:t>
          </w:r>
          <w:r>
            <w:fldChar w:fldCharType="end"/>
          </w:r>
          <w:r>
            <w:fldChar w:fldCharType="end"/>
          </w:r>
        </w:p>
        <w:p w14:paraId="2FBF1538">
          <w:pPr>
            <w:pStyle w:val="9"/>
            <w:tabs>
              <w:tab w:val="right" w:leader="dot" w:pos="9185"/>
            </w:tabs>
          </w:pPr>
          <w:r>
            <w:fldChar w:fldCharType="begin"/>
          </w:r>
          <w:r>
            <w:instrText xml:space="preserve"> HYPERLINK \l _Toc6613 </w:instrText>
          </w:r>
          <w: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lang w:val="zh-CN"/>
            </w:rPr>
            <w:t>.2队伍保障</w:t>
          </w:r>
          <w:r>
            <w:tab/>
          </w:r>
          <w:r>
            <w:fldChar w:fldCharType="begin"/>
          </w:r>
          <w:r>
            <w:instrText xml:space="preserve"> PAGEREF _Toc6613 \h </w:instrText>
          </w:r>
          <w:r>
            <w:fldChar w:fldCharType="separate"/>
          </w:r>
          <w:r>
            <w:t>9</w:t>
          </w:r>
          <w:r>
            <w:fldChar w:fldCharType="end"/>
          </w:r>
          <w:r>
            <w:fldChar w:fldCharType="end"/>
          </w:r>
        </w:p>
        <w:p w14:paraId="51FFF74B">
          <w:pPr>
            <w:pStyle w:val="9"/>
            <w:tabs>
              <w:tab w:val="right" w:leader="dot" w:pos="9185"/>
            </w:tabs>
          </w:pPr>
          <w:r>
            <w:fldChar w:fldCharType="begin"/>
          </w:r>
          <w:r>
            <w:instrText xml:space="preserve"> HYPERLINK \l _Toc26205 </w:instrText>
          </w:r>
          <w: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rPr>
            <w:t>.3</w:t>
          </w:r>
          <w:r>
            <w:rPr>
              <w:rFonts w:hint="eastAsia" w:ascii="仿宋" w:hAnsi="仿宋" w:eastAsia="仿宋" w:cs="仿宋"/>
              <w:highlight w:val="none"/>
              <w:lang w:val="zh-CN"/>
            </w:rPr>
            <w:t>物资保障</w:t>
          </w:r>
          <w:r>
            <w:tab/>
          </w:r>
          <w:r>
            <w:fldChar w:fldCharType="begin"/>
          </w:r>
          <w:r>
            <w:instrText xml:space="preserve"> PAGEREF _Toc26205 \h </w:instrText>
          </w:r>
          <w:r>
            <w:fldChar w:fldCharType="separate"/>
          </w:r>
          <w:r>
            <w:t>9</w:t>
          </w:r>
          <w:r>
            <w:fldChar w:fldCharType="end"/>
          </w:r>
          <w:r>
            <w:fldChar w:fldCharType="end"/>
          </w:r>
        </w:p>
        <w:p w14:paraId="20C0A0D4">
          <w:pPr>
            <w:pStyle w:val="9"/>
            <w:tabs>
              <w:tab w:val="right" w:leader="dot" w:pos="9185"/>
            </w:tabs>
          </w:pPr>
          <w:r>
            <w:fldChar w:fldCharType="begin"/>
          </w:r>
          <w:r>
            <w:instrText xml:space="preserve"> HYPERLINK \l _Toc26412 </w:instrText>
          </w:r>
          <w: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rPr>
            <w:t>.4</w:t>
          </w:r>
          <w:r>
            <w:rPr>
              <w:rFonts w:hint="eastAsia" w:ascii="仿宋" w:hAnsi="仿宋" w:eastAsia="仿宋" w:cs="仿宋"/>
              <w:highlight w:val="none"/>
              <w:lang w:val="zh-CN"/>
            </w:rPr>
            <w:t>经费保障</w:t>
          </w:r>
          <w:r>
            <w:tab/>
          </w:r>
          <w:r>
            <w:fldChar w:fldCharType="begin"/>
          </w:r>
          <w:r>
            <w:instrText xml:space="preserve"> PAGEREF _Toc26412 \h </w:instrText>
          </w:r>
          <w:r>
            <w:fldChar w:fldCharType="separate"/>
          </w:r>
          <w:r>
            <w:t>9</w:t>
          </w:r>
          <w:r>
            <w:fldChar w:fldCharType="end"/>
          </w:r>
          <w:r>
            <w:fldChar w:fldCharType="end"/>
          </w:r>
        </w:p>
        <w:p w14:paraId="3A0BC42F">
          <w:pPr>
            <w:pStyle w:val="8"/>
            <w:tabs>
              <w:tab w:val="right" w:leader="dot" w:pos="9185"/>
            </w:tabs>
          </w:pPr>
          <w:r>
            <w:fldChar w:fldCharType="begin"/>
          </w:r>
          <w:r>
            <w:instrText xml:space="preserve"> HYPERLINK \l _Toc123 </w:instrText>
          </w:r>
          <w:r>
            <w:fldChar w:fldCharType="separate"/>
          </w:r>
          <w:r>
            <w:rPr>
              <w:rFonts w:hint="eastAsia" w:ascii="仿宋" w:hAnsi="仿宋" w:eastAsia="仿宋" w:cs="仿宋"/>
              <w:bCs w:val="0"/>
              <w:szCs w:val="36"/>
              <w:highlight w:val="none"/>
              <w:lang w:val="en-US" w:eastAsia="zh-CN"/>
            </w:rPr>
            <w:t>7</w:t>
          </w:r>
          <w:r>
            <w:rPr>
              <w:rFonts w:hint="eastAsia" w:ascii="仿宋" w:hAnsi="仿宋" w:eastAsia="仿宋" w:cs="仿宋"/>
              <w:bCs w:val="0"/>
              <w:szCs w:val="36"/>
              <w:highlight w:val="none"/>
            </w:rPr>
            <w:t>预案管理</w:t>
          </w:r>
          <w:r>
            <w:tab/>
          </w:r>
          <w:r>
            <w:fldChar w:fldCharType="begin"/>
          </w:r>
          <w:r>
            <w:instrText xml:space="preserve"> PAGEREF _Toc123 \h </w:instrText>
          </w:r>
          <w:r>
            <w:fldChar w:fldCharType="separate"/>
          </w:r>
          <w:r>
            <w:t>10</w:t>
          </w:r>
          <w:r>
            <w:fldChar w:fldCharType="end"/>
          </w:r>
          <w:r>
            <w:fldChar w:fldCharType="end"/>
          </w:r>
        </w:p>
        <w:p w14:paraId="34984B69">
          <w:pPr>
            <w:pStyle w:val="9"/>
            <w:tabs>
              <w:tab w:val="right" w:leader="dot" w:pos="9185"/>
            </w:tabs>
          </w:pPr>
          <w:r>
            <w:fldChar w:fldCharType="begin"/>
          </w:r>
          <w:r>
            <w:instrText xml:space="preserve"> HYPERLINK \l _Toc13453 </w:instrText>
          </w:r>
          <w:r>
            <w:fldChar w:fldCharType="separate"/>
          </w:r>
          <w:r>
            <w:rPr>
              <w:rFonts w:hint="eastAsia" w:ascii="仿宋" w:hAnsi="仿宋" w:eastAsia="仿宋" w:cs="仿宋"/>
              <w:highlight w:val="none"/>
              <w:lang w:val="en-US" w:eastAsia="zh-CN"/>
            </w:rPr>
            <w:t>7</w:t>
          </w:r>
          <w:r>
            <w:rPr>
              <w:rFonts w:hint="eastAsia" w:ascii="仿宋" w:hAnsi="仿宋" w:eastAsia="仿宋" w:cs="仿宋"/>
              <w:highlight w:val="none"/>
            </w:rPr>
            <w:t>.1预案培训</w:t>
          </w:r>
          <w:r>
            <w:tab/>
          </w:r>
          <w:r>
            <w:fldChar w:fldCharType="begin"/>
          </w:r>
          <w:r>
            <w:instrText xml:space="preserve"> PAGEREF _Toc13453 \h </w:instrText>
          </w:r>
          <w:r>
            <w:fldChar w:fldCharType="separate"/>
          </w:r>
          <w:r>
            <w:t>10</w:t>
          </w:r>
          <w:r>
            <w:fldChar w:fldCharType="end"/>
          </w:r>
          <w:r>
            <w:fldChar w:fldCharType="end"/>
          </w:r>
        </w:p>
        <w:p w14:paraId="6A8F0052">
          <w:pPr>
            <w:pStyle w:val="9"/>
            <w:tabs>
              <w:tab w:val="right" w:leader="dot" w:pos="9185"/>
            </w:tabs>
          </w:pPr>
          <w:r>
            <w:fldChar w:fldCharType="begin"/>
          </w:r>
          <w:r>
            <w:instrText xml:space="preserve"> HYPERLINK \l _Toc24265 </w:instrText>
          </w:r>
          <w:r>
            <w:fldChar w:fldCharType="separate"/>
          </w:r>
          <w:r>
            <w:rPr>
              <w:rFonts w:hint="eastAsia" w:ascii="仿宋" w:hAnsi="仿宋" w:eastAsia="仿宋" w:cs="仿宋"/>
              <w:highlight w:val="none"/>
              <w:lang w:val="en-US" w:eastAsia="zh-CN"/>
            </w:rPr>
            <w:t>7</w:t>
          </w:r>
          <w:r>
            <w:rPr>
              <w:rFonts w:hint="eastAsia" w:ascii="仿宋" w:hAnsi="仿宋" w:eastAsia="仿宋" w:cs="仿宋"/>
              <w:highlight w:val="none"/>
              <w:lang w:val="zh-CN"/>
            </w:rPr>
            <w:t>.</w:t>
          </w:r>
          <w:r>
            <w:rPr>
              <w:rFonts w:hint="eastAsia" w:ascii="仿宋" w:hAnsi="仿宋" w:eastAsia="仿宋" w:cs="仿宋"/>
              <w:highlight w:val="none"/>
            </w:rPr>
            <w:t>2</w:t>
          </w:r>
          <w:r>
            <w:rPr>
              <w:rFonts w:hint="eastAsia" w:ascii="仿宋" w:hAnsi="仿宋" w:eastAsia="仿宋" w:cs="仿宋"/>
              <w:highlight w:val="none"/>
              <w:lang w:val="zh-CN"/>
            </w:rPr>
            <w:t>预案演练</w:t>
          </w:r>
          <w:r>
            <w:tab/>
          </w:r>
          <w:r>
            <w:fldChar w:fldCharType="begin"/>
          </w:r>
          <w:r>
            <w:instrText xml:space="preserve"> PAGEREF _Toc24265 \h </w:instrText>
          </w:r>
          <w:r>
            <w:fldChar w:fldCharType="separate"/>
          </w:r>
          <w:r>
            <w:t>10</w:t>
          </w:r>
          <w:r>
            <w:fldChar w:fldCharType="end"/>
          </w:r>
          <w:r>
            <w:fldChar w:fldCharType="end"/>
          </w:r>
        </w:p>
        <w:p w14:paraId="357DC132">
          <w:pPr>
            <w:pStyle w:val="9"/>
            <w:tabs>
              <w:tab w:val="right" w:leader="dot" w:pos="9185"/>
            </w:tabs>
          </w:pPr>
          <w:r>
            <w:fldChar w:fldCharType="begin"/>
          </w:r>
          <w:r>
            <w:instrText xml:space="preserve"> HYPERLINK \l _Toc31082 </w:instrText>
          </w:r>
          <w:r>
            <w:fldChar w:fldCharType="separate"/>
          </w:r>
          <w:r>
            <w:rPr>
              <w:rFonts w:hint="eastAsia" w:ascii="仿宋" w:hAnsi="仿宋" w:eastAsia="仿宋" w:cs="仿宋"/>
              <w:highlight w:val="none"/>
              <w:lang w:val="en-US" w:eastAsia="zh-CN"/>
            </w:rPr>
            <w:t>7</w:t>
          </w:r>
          <w:r>
            <w:rPr>
              <w:rFonts w:hint="eastAsia" w:ascii="仿宋" w:hAnsi="仿宋" w:eastAsia="仿宋" w:cs="仿宋"/>
              <w:highlight w:val="none"/>
            </w:rPr>
            <w:t>.3</w:t>
          </w:r>
          <w:r>
            <w:rPr>
              <w:rFonts w:hint="eastAsia" w:ascii="仿宋" w:hAnsi="仿宋" w:eastAsia="仿宋" w:cs="仿宋"/>
              <w:highlight w:val="none"/>
              <w:lang w:val="zh-CN"/>
            </w:rPr>
            <w:t>预案修订</w:t>
          </w:r>
          <w:r>
            <w:rPr>
              <w:rFonts w:hint="eastAsia" w:ascii="仿宋" w:hAnsi="仿宋" w:eastAsia="仿宋" w:cs="仿宋"/>
              <w:highlight w:val="none"/>
              <w:lang w:val="en-US" w:eastAsia="zh-CN"/>
            </w:rPr>
            <w:t>和更新</w:t>
          </w:r>
          <w:r>
            <w:tab/>
          </w:r>
          <w:r>
            <w:fldChar w:fldCharType="begin"/>
          </w:r>
          <w:r>
            <w:instrText xml:space="preserve"> PAGEREF _Toc31082 \h </w:instrText>
          </w:r>
          <w:r>
            <w:fldChar w:fldCharType="separate"/>
          </w:r>
          <w:r>
            <w:t>10</w:t>
          </w:r>
          <w:r>
            <w:fldChar w:fldCharType="end"/>
          </w:r>
          <w:r>
            <w:fldChar w:fldCharType="end"/>
          </w:r>
        </w:p>
        <w:p w14:paraId="1059577C">
          <w:pPr>
            <w:pStyle w:val="9"/>
            <w:tabs>
              <w:tab w:val="right" w:leader="dot" w:pos="9185"/>
            </w:tabs>
          </w:pPr>
          <w:r>
            <w:fldChar w:fldCharType="begin"/>
          </w:r>
          <w:r>
            <w:instrText xml:space="preserve"> HYPERLINK \l _Toc22392 </w:instrText>
          </w:r>
          <w:r>
            <w:fldChar w:fldCharType="separate"/>
          </w:r>
          <w:r>
            <w:rPr>
              <w:rFonts w:hint="eastAsia" w:ascii="仿宋" w:hAnsi="仿宋" w:eastAsia="仿宋" w:cs="仿宋"/>
              <w:highlight w:val="none"/>
              <w:lang w:val="en-US" w:eastAsia="zh-CN"/>
            </w:rPr>
            <w:t>7</w:t>
          </w:r>
          <w:r>
            <w:rPr>
              <w:rFonts w:hint="eastAsia" w:ascii="仿宋" w:hAnsi="仿宋" w:eastAsia="仿宋" w:cs="仿宋"/>
              <w:highlight w:val="none"/>
            </w:rPr>
            <w:t>.4预案备案</w:t>
          </w:r>
          <w:r>
            <w:tab/>
          </w:r>
          <w:r>
            <w:fldChar w:fldCharType="begin"/>
          </w:r>
          <w:r>
            <w:instrText xml:space="preserve"> PAGEREF _Toc22392 \h </w:instrText>
          </w:r>
          <w:r>
            <w:fldChar w:fldCharType="separate"/>
          </w:r>
          <w:r>
            <w:t>10</w:t>
          </w:r>
          <w:r>
            <w:fldChar w:fldCharType="end"/>
          </w:r>
          <w:r>
            <w:fldChar w:fldCharType="end"/>
          </w:r>
        </w:p>
        <w:p w14:paraId="444154B7">
          <w:pPr>
            <w:pStyle w:val="9"/>
            <w:tabs>
              <w:tab w:val="right" w:leader="dot" w:pos="9185"/>
            </w:tabs>
          </w:pPr>
          <w:r>
            <w:fldChar w:fldCharType="begin"/>
          </w:r>
          <w:r>
            <w:instrText xml:space="preserve"> HYPERLINK \l _Toc1457 </w:instrText>
          </w:r>
          <w:r>
            <w:fldChar w:fldCharType="separate"/>
          </w:r>
          <w:r>
            <w:rPr>
              <w:rFonts w:hint="eastAsia" w:ascii="仿宋" w:hAnsi="仿宋" w:eastAsia="仿宋" w:cs="仿宋"/>
              <w:highlight w:val="none"/>
              <w:lang w:val="en-US" w:eastAsia="zh-CN"/>
            </w:rPr>
            <w:t>7</w:t>
          </w:r>
          <w:r>
            <w:rPr>
              <w:rFonts w:hint="eastAsia" w:ascii="仿宋" w:hAnsi="仿宋" w:eastAsia="仿宋" w:cs="仿宋"/>
              <w:highlight w:val="none"/>
            </w:rPr>
            <w:t>.5预案实施</w:t>
          </w:r>
          <w:r>
            <w:tab/>
          </w:r>
          <w:r>
            <w:fldChar w:fldCharType="begin"/>
          </w:r>
          <w:r>
            <w:instrText xml:space="preserve"> PAGEREF _Toc1457 \h </w:instrText>
          </w:r>
          <w:r>
            <w:fldChar w:fldCharType="separate"/>
          </w:r>
          <w:r>
            <w:t>10</w:t>
          </w:r>
          <w:r>
            <w:fldChar w:fldCharType="end"/>
          </w:r>
          <w:r>
            <w:fldChar w:fldCharType="end"/>
          </w:r>
        </w:p>
        <w:p w14:paraId="38AFBE8D">
          <w:pPr>
            <w:pStyle w:val="8"/>
            <w:tabs>
              <w:tab w:val="right" w:leader="dot" w:pos="9185"/>
            </w:tabs>
          </w:pPr>
          <w:r>
            <w:fldChar w:fldCharType="begin"/>
          </w:r>
          <w:r>
            <w:instrText xml:space="preserve"> HYPERLINK \l _Toc27467 </w:instrText>
          </w:r>
          <w:r>
            <w:fldChar w:fldCharType="separate"/>
          </w:r>
          <w:r>
            <w:rPr>
              <w:rFonts w:hint="eastAsia" w:ascii="仿宋" w:hAnsi="仿宋" w:eastAsia="仿宋" w:cs="仿宋"/>
              <w:bCs w:val="0"/>
              <w:kern w:val="44"/>
              <w:szCs w:val="36"/>
              <w:highlight w:val="none"/>
              <w:lang w:val="en-US" w:eastAsia="zh-CN" w:bidi="ar-SA"/>
            </w:rPr>
            <w:t>8附件</w:t>
          </w:r>
          <w:r>
            <w:tab/>
          </w:r>
          <w:r>
            <w:fldChar w:fldCharType="begin"/>
          </w:r>
          <w:r>
            <w:instrText xml:space="preserve"> PAGEREF _Toc27467 \h </w:instrText>
          </w:r>
          <w:r>
            <w:fldChar w:fldCharType="separate"/>
          </w:r>
          <w:r>
            <w:t>11</w:t>
          </w:r>
          <w:r>
            <w:fldChar w:fldCharType="end"/>
          </w:r>
          <w:r>
            <w:fldChar w:fldCharType="end"/>
          </w:r>
        </w:p>
        <w:p w14:paraId="25252C17">
          <w:pPr>
            <w:pStyle w:val="9"/>
            <w:tabs>
              <w:tab w:val="right" w:leader="dot" w:pos="9185"/>
            </w:tabs>
          </w:pPr>
          <w:r>
            <w:fldChar w:fldCharType="begin"/>
          </w:r>
          <w:r>
            <w:instrText xml:space="preserve"> HYPERLINK \l _Toc19806 </w:instrText>
          </w:r>
          <w:r>
            <w:fldChar w:fldCharType="separate"/>
          </w:r>
          <w:r>
            <w:rPr>
              <w:rFonts w:hint="eastAsia" w:ascii="仿宋" w:hAnsi="仿宋" w:eastAsia="仿宋" w:cs="仿宋"/>
              <w:highlight w:val="none"/>
              <w:lang w:val="en-US" w:eastAsia="zh-CN"/>
            </w:rPr>
            <w:t>8</w:t>
          </w:r>
          <w:r>
            <w:rPr>
              <w:rFonts w:hint="eastAsia" w:ascii="仿宋" w:hAnsi="仿宋" w:eastAsia="仿宋" w:cs="仿宋"/>
              <w:highlight w:val="none"/>
            </w:rPr>
            <w:t>.1瑶海区危险化学品事故应急指挥部联系方式</w:t>
          </w:r>
          <w:r>
            <w:tab/>
          </w:r>
          <w:r>
            <w:fldChar w:fldCharType="begin"/>
          </w:r>
          <w:r>
            <w:instrText xml:space="preserve"> PAGEREF _Toc19806 \h </w:instrText>
          </w:r>
          <w:r>
            <w:fldChar w:fldCharType="separate"/>
          </w:r>
          <w:r>
            <w:t>11</w:t>
          </w:r>
          <w:r>
            <w:fldChar w:fldCharType="end"/>
          </w:r>
          <w:r>
            <w:fldChar w:fldCharType="end"/>
          </w:r>
        </w:p>
        <w:p w14:paraId="1C3C3EC4">
          <w:pPr>
            <w:pStyle w:val="9"/>
            <w:tabs>
              <w:tab w:val="right" w:leader="dot" w:pos="9185"/>
            </w:tabs>
          </w:pPr>
          <w:r>
            <w:fldChar w:fldCharType="begin"/>
          </w:r>
          <w:r>
            <w:instrText xml:space="preserve"> HYPERLINK \l _Toc884 </w:instrText>
          </w:r>
          <w:r>
            <w:fldChar w:fldCharType="separate"/>
          </w:r>
          <w:r>
            <w:rPr>
              <w:rFonts w:hint="eastAsia" w:ascii="仿宋" w:hAnsi="仿宋" w:eastAsia="仿宋" w:cs="仿宋"/>
              <w:highlight w:val="none"/>
              <w:lang w:val="en-US" w:eastAsia="zh-CN"/>
            </w:rPr>
            <w:t>8</w:t>
          </w:r>
          <w:r>
            <w:rPr>
              <w:rFonts w:hint="eastAsia" w:ascii="仿宋" w:hAnsi="仿宋" w:eastAsia="仿宋" w:cs="仿宋"/>
              <w:highlight w:val="none"/>
            </w:rPr>
            <w:t>.2瑶海区危险化学品储存经营企业</w:t>
          </w:r>
          <w:r>
            <w:rPr>
              <w:rFonts w:hint="eastAsia" w:ascii="仿宋" w:hAnsi="仿宋" w:eastAsia="仿宋" w:cs="仿宋"/>
              <w:highlight w:val="none"/>
              <w:lang w:eastAsia="zh-CN"/>
            </w:rPr>
            <w:t>台账</w:t>
          </w:r>
          <w:r>
            <w:tab/>
          </w:r>
          <w:r>
            <w:fldChar w:fldCharType="begin"/>
          </w:r>
          <w:r>
            <w:instrText xml:space="preserve"> PAGEREF _Toc884 \h </w:instrText>
          </w:r>
          <w:r>
            <w:fldChar w:fldCharType="separate"/>
          </w:r>
          <w:r>
            <w:t>13</w:t>
          </w:r>
          <w:r>
            <w:fldChar w:fldCharType="end"/>
          </w:r>
          <w:r>
            <w:fldChar w:fldCharType="end"/>
          </w:r>
        </w:p>
        <w:p w14:paraId="52F372A5">
          <w:pPr>
            <w:pStyle w:val="9"/>
            <w:tabs>
              <w:tab w:val="right" w:leader="dot" w:pos="9185"/>
            </w:tabs>
          </w:pPr>
          <w:r>
            <w:fldChar w:fldCharType="begin"/>
          </w:r>
          <w:r>
            <w:instrText xml:space="preserve"> HYPERLINK \l _Toc19830 </w:instrText>
          </w:r>
          <w:r>
            <w:fldChar w:fldCharType="separate"/>
          </w:r>
          <w:r>
            <w:rPr>
              <w:rFonts w:hint="eastAsia" w:ascii="仿宋" w:hAnsi="仿宋" w:eastAsia="仿宋" w:cs="仿宋"/>
              <w:highlight w:val="none"/>
              <w:lang w:val="en-US" w:eastAsia="zh-CN"/>
            </w:rPr>
            <w:t>8</w:t>
          </w:r>
          <w:r>
            <w:rPr>
              <w:rFonts w:hint="eastAsia" w:ascii="仿宋" w:hAnsi="仿宋" w:eastAsia="仿宋" w:cs="仿宋"/>
              <w:highlight w:val="none"/>
            </w:rPr>
            <w:t>.3瑶海区重大危险源情况一览表</w:t>
          </w:r>
          <w:r>
            <w:tab/>
          </w:r>
          <w:r>
            <w:fldChar w:fldCharType="begin"/>
          </w:r>
          <w:r>
            <w:instrText xml:space="preserve"> PAGEREF _Toc19830 \h </w:instrText>
          </w:r>
          <w:r>
            <w:fldChar w:fldCharType="separate"/>
          </w:r>
          <w:r>
            <w:t>15</w:t>
          </w:r>
          <w:r>
            <w:fldChar w:fldCharType="end"/>
          </w:r>
          <w:r>
            <w:fldChar w:fldCharType="end"/>
          </w:r>
        </w:p>
        <w:p w14:paraId="758A791B">
          <w:pPr>
            <w:pStyle w:val="9"/>
            <w:tabs>
              <w:tab w:val="right" w:leader="dot" w:pos="9185"/>
            </w:tabs>
          </w:pPr>
          <w:r>
            <w:fldChar w:fldCharType="begin"/>
          </w:r>
          <w:r>
            <w:instrText xml:space="preserve"> HYPERLINK \l _Toc26387 </w:instrText>
          </w:r>
          <w:r>
            <w:fldChar w:fldCharType="separate"/>
          </w:r>
          <w:r>
            <w:rPr>
              <w:rFonts w:hint="eastAsia" w:ascii="仿宋" w:hAnsi="仿宋" w:eastAsia="仿宋" w:cs="仿宋"/>
              <w:highlight w:val="none"/>
              <w:lang w:val="en-US" w:eastAsia="zh-CN"/>
            </w:rPr>
            <w:t>8</w:t>
          </w:r>
          <w:r>
            <w:rPr>
              <w:rFonts w:hint="eastAsia" w:ascii="仿宋" w:hAnsi="仿宋" w:eastAsia="仿宋" w:cs="仿宋"/>
              <w:highlight w:val="none"/>
            </w:rPr>
            <w:t>.4</w:t>
          </w:r>
          <w:r>
            <w:rPr>
              <w:rFonts w:hint="eastAsia" w:ascii="仿宋" w:hAnsi="仿宋" w:eastAsia="仿宋" w:cs="仿宋"/>
              <w:highlight w:val="none"/>
              <w:lang w:val="en-US" w:eastAsia="zh-CN"/>
            </w:rPr>
            <w:t>瑶海区应急救援队</w:t>
          </w:r>
          <w:r>
            <w:rPr>
              <w:rFonts w:hint="eastAsia" w:ascii="仿宋" w:hAnsi="仿宋" w:eastAsia="仿宋" w:cs="仿宋"/>
              <w:highlight w:val="none"/>
            </w:rPr>
            <w:t>联系方式</w:t>
          </w:r>
          <w:r>
            <w:tab/>
          </w:r>
          <w:r>
            <w:fldChar w:fldCharType="begin"/>
          </w:r>
          <w:r>
            <w:instrText xml:space="preserve"> PAGEREF _Toc26387 \h </w:instrText>
          </w:r>
          <w:r>
            <w:fldChar w:fldCharType="separate"/>
          </w:r>
          <w:r>
            <w:t>16</w:t>
          </w:r>
          <w:r>
            <w:fldChar w:fldCharType="end"/>
          </w:r>
          <w:r>
            <w:fldChar w:fldCharType="end"/>
          </w:r>
        </w:p>
        <w:p w14:paraId="7D8E51C9">
          <w:pPr>
            <w:pStyle w:val="9"/>
            <w:tabs>
              <w:tab w:val="right" w:leader="dot" w:pos="9185"/>
            </w:tabs>
          </w:pPr>
          <w:r>
            <w:fldChar w:fldCharType="begin"/>
          </w:r>
          <w:r>
            <w:instrText xml:space="preserve"> HYPERLINK \l _Toc31435 </w:instrText>
          </w:r>
          <w:r>
            <w:fldChar w:fldCharType="separate"/>
          </w:r>
          <w:r>
            <w:rPr>
              <w:rFonts w:hint="eastAsia" w:ascii="仿宋" w:hAnsi="仿宋" w:eastAsia="仿宋" w:cs="仿宋"/>
              <w:highlight w:val="none"/>
              <w:lang w:val="en-US" w:eastAsia="zh-CN"/>
            </w:rPr>
            <w:t>8</w:t>
          </w:r>
          <w:r>
            <w:rPr>
              <w:rFonts w:hint="eastAsia" w:ascii="仿宋" w:hAnsi="仿宋" w:eastAsia="仿宋" w:cs="仿宋"/>
              <w:highlight w:val="none"/>
            </w:rPr>
            <w:t>.</w:t>
          </w:r>
          <w:r>
            <w:rPr>
              <w:rFonts w:hint="eastAsia" w:ascii="仿宋" w:hAnsi="仿宋" w:eastAsia="仿宋" w:cs="仿宋"/>
              <w:highlight w:val="none"/>
              <w:lang w:val="en-US" w:eastAsia="zh-CN"/>
            </w:rPr>
            <w:t>5上级应急部门及省市应急救援队</w:t>
          </w:r>
          <w:r>
            <w:rPr>
              <w:rFonts w:hint="eastAsia" w:ascii="仿宋" w:hAnsi="仿宋" w:eastAsia="仿宋" w:cs="仿宋"/>
              <w:highlight w:val="none"/>
            </w:rPr>
            <w:t>联系方式</w:t>
          </w:r>
          <w:r>
            <w:tab/>
          </w:r>
          <w:r>
            <w:fldChar w:fldCharType="begin"/>
          </w:r>
          <w:r>
            <w:instrText xml:space="preserve"> PAGEREF _Toc31435 \h </w:instrText>
          </w:r>
          <w:r>
            <w:fldChar w:fldCharType="separate"/>
          </w:r>
          <w:r>
            <w:t>18</w:t>
          </w:r>
          <w:r>
            <w:fldChar w:fldCharType="end"/>
          </w:r>
          <w:r>
            <w:fldChar w:fldCharType="end"/>
          </w:r>
        </w:p>
        <w:p w14:paraId="215DE325">
          <w:pPr>
            <w:pStyle w:val="9"/>
            <w:tabs>
              <w:tab w:val="right" w:leader="dot" w:pos="9185"/>
            </w:tabs>
          </w:pPr>
          <w:r>
            <w:fldChar w:fldCharType="begin"/>
          </w:r>
          <w:r>
            <w:instrText xml:space="preserve"> HYPERLINK \l _Toc15229 </w:instrText>
          </w:r>
          <w:r>
            <w:fldChar w:fldCharType="separate"/>
          </w:r>
          <w:r>
            <w:rPr>
              <w:rFonts w:hint="eastAsia" w:ascii="仿宋" w:hAnsi="仿宋" w:eastAsia="仿宋" w:cs="仿宋"/>
              <w:highlight w:val="none"/>
              <w:lang w:val="en-US" w:eastAsia="zh-CN"/>
            </w:rPr>
            <w:t>8</w:t>
          </w: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危险化学品事故应急处置措施</w:t>
          </w:r>
          <w:r>
            <w:tab/>
          </w:r>
          <w:r>
            <w:fldChar w:fldCharType="begin"/>
          </w:r>
          <w:r>
            <w:instrText xml:space="preserve"> PAGEREF _Toc15229 \h </w:instrText>
          </w:r>
          <w:r>
            <w:fldChar w:fldCharType="separate"/>
          </w:r>
          <w:r>
            <w:t>19</w:t>
          </w:r>
          <w:r>
            <w:fldChar w:fldCharType="end"/>
          </w:r>
          <w:r>
            <w:fldChar w:fldCharType="end"/>
          </w:r>
        </w:p>
        <w:p w14:paraId="321AB60D">
          <w:pPr>
            <w:rPr>
              <w:rFonts w:hint="eastAsia" w:ascii="仿宋" w:hAnsi="仿宋" w:eastAsia="仿宋" w:cs="仿宋"/>
              <w:color w:val="auto"/>
              <w:sz w:val="32"/>
              <w:szCs w:val="32"/>
              <w:highlight w:val="none"/>
            </w:rPr>
            <w:sectPr>
              <w:footerReference r:id="rId7" w:type="default"/>
              <w:pgSz w:w="11906" w:h="16838"/>
              <w:pgMar w:top="1440" w:right="1247" w:bottom="1247" w:left="1474" w:header="851" w:footer="992" w:gutter="0"/>
              <w:pgNumType w:start="1"/>
              <w:cols w:space="720" w:num="1"/>
              <w:docGrid w:type="lines" w:linePitch="312" w:charSpace="0"/>
            </w:sectPr>
          </w:pPr>
          <w:r>
            <w:fldChar w:fldCharType="end"/>
          </w:r>
        </w:p>
      </w:sdtContent>
    </w:sdt>
    <w:p w14:paraId="49892C9B">
      <w:pPr>
        <w:pStyle w:val="2"/>
        <w:shd w:val="clear"/>
        <w:spacing w:line="500" w:lineRule="exact"/>
        <w:ind w:firstLine="0" w:firstLineChars="0"/>
        <w:jc w:val="center"/>
        <w:outlineLvl w:val="0"/>
        <w:rPr>
          <w:rFonts w:hint="eastAsia" w:ascii="仿宋" w:hAnsi="仿宋" w:eastAsia="仿宋" w:cs="仿宋"/>
          <w:b/>
          <w:bCs w:val="0"/>
          <w:color w:val="auto"/>
          <w:sz w:val="36"/>
          <w:szCs w:val="36"/>
          <w:highlight w:val="none"/>
        </w:rPr>
      </w:pPr>
      <w:bookmarkStart w:id="2" w:name="_Toc29845"/>
      <w:bookmarkStart w:id="3" w:name="_Toc31275"/>
      <w:bookmarkStart w:id="4" w:name="_Toc7213"/>
      <w:r>
        <w:rPr>
          <w:rFonts w:hint="eastAsia" w:ascii="仿宋" w:hAnsi="仿宋" w:eastAsia="仿宋" w:cs="仿宋"/>
          <w:b/>
          <w:bCs w:val="0"/>
          <w:color w:val="auto"/>
          <w:sz w:val="36"/>
          <w:szCs w:val="36"/>
          <w:highlight w:val="none"/>
        </w:rPr>
        <w:t>1总则</w:t>
      </w:r>
      <w:bookmarkEnd w:id="2"/>
      <w:bookmarkEnd w:id="3"/>
      <w:bookmarkEnd w:id="4"/>
      <w:bookmarkStart w:id="5" w:name="_Toc29458"/>
    </w:p>
    <w:p w14:paraId="127C2607">
      <w:pPr>
        <w:pStyle w:val="3"/>
        <w:shd w:val="clear"/>
        <w:spacing w:line="500" w:lineRule="exact"/>
        <w:ind w:firstLine="643"/>
        <w:outlineLvl w:val="1"/>
        <w:rPr>
          <w:rFonts w:hint="eastAsia" w:ascii="仿宋" w:hAnsi="仿宋" w:eastAsia="仿宋" w:cs="仿宋"/>
          <w:color w:val="auto"/>
          <w:highlight w:val="none"/>
        </w:rPr>
      </w:pPr>
      <w:bookmarkStart w:id="6" w:name="_Toc5810"/>
      <w:bookmarkStart w:id="7" w:name="_Toc30483"/>
      <w:r>
        <w:rPr>
          <w:rFonts w:hint="eastAsia" w:ascii="仿宋" w:hAnsi="仿宋" w:eastAsia="仿宋" w:cs="仿宋"/>
          <w:color w:val="auto"/>
          <w:highlight w:val="none"/>
        </w:rPr>
        <w:t>1.1编制目的</w:t>
      </w:r>
      <w:bookmarkEnd w:id="5"/>
      <w:bookmarkEnd w:id="6"/>
      <w:bookmarkEnd w:id="7"/>
    </w:p>
    <w:p w14:paraId="1FD40F64">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规范瑶海区危险化学品事故应急救援程序，</w:t>
      </w:r>
      <w:r>
        <w:rPr>
          <w:rFonts w:hint="eastAsia" w:ascii="仿宋" w:hAnsi="仿宋" w:eastAsia="仿宋" w:cs="仿宋"/>
          <w:color w:val="auto"/>
          <w:sz w:val="32"/>
          <w:szCs w:val="32"/>
          <w:highlight w:val="none"/>
          <w:lang w:val="en-US" w:eastAsia="zh-CN"/>
        </w:rPr>
        <w:t>科学合理组织开展</w:t>
      </w:r>
      <w:r>
        <w:rPr>
          <w:rFonts w:hint="eastAsia" w:ascii="仿宋" w:hAnsi="仿宋" w:eastAsia="仿宋" w:cs="仿宋"/>
          <w:color w:val="auto"/>
          <w:sz w:val="32"/>
          <w:szCs w:val="32"/>
          <w:highlight w:val="none"/>
          <w:lang w:val="zh-CN"/>
        </w:rPr>
        <w:t>应急救援工作，</w:t>
      </w:r>
      <w:r>
        <w:rPr>
          <w:rFonts w:hint="eastAsia" w:ascii="仿宋" w:hAnsi="仿宋" w:eastAsia="仿宋" w:cs="仿宋"/>
          <w:color w:val="auto"/>
          <w:sz w:val="32"/>
          <w:szCs w:val="32"/>
          <w:highlight w:val="none"/>
          <w:lang w:val="en-US" w:eastAsia="zh-CN"/>
        </w:rPr>
        <w:t>减轻、消除危险化学品事故</w:t>
      </w:r>
      <w:r>
        <w:rPr>
          <w:rFonts w:hint="eastAsia" w:ascii="仿宋" w:hAnsi="仿宋" w:eastAsia="仿宋" w:cs="仿宋"/>
          <w:color w:val="auto"/>
          <w:sz w:val="32"/>
          <w:szCs w:val="32"/>
          <w:highlight w:val="none"/>
        </w:rPr>
        <w:t>造成的人员伤亡和财产损失，维护社会</w:t>
      </w:r>
      <w:r>
        <w:rPr>
          <w:rFonts w:hint="eastAsia" w:ascii="仿宋" w:hAnsi="仿宋" w:eastAsia="仿宋" w:cs="仿宋"/>
          <w:color w:val="auto"/>
          <w:sz w:val="32"/>
          <w:szCs w:val="32"/>
          <w:highlight w:val="none"/>
          <w:lang w:val="zh-CN"/>
        </w:rPr>
        <w:t>稳定</w:t>
      </w:r>
      <w:r>
        <w:rPr>
          <w:rFonts w:hint="eastAsia" w:ascii="仿宋" w:hAnsi="仿宋" w:eastAsia="仿宋" w:cs="仿宋"/>
          <w:color w:val="auto"/>
          <w:sz w:val="32"/>
          <w:szCs w:val="32"/>
          <w:highlight w:val="none"/>
        </w:rPr>
        <w:t>。</w:t>
      </w:r>
    </w:p>
    <w:p w14:paraId="744B0ED1">
      <w:pPr>
        <w:pStyle w:val="3"/>
        <w:shd w:val="clear"/>
        <w:spacing w:line="500" w:lineRule="exact"/>
        <w:ind w:firstLine="643"/>
        <w:rPr>
          <w:rFonts w:hint="eastAsia" w:ascii="仿宋" w:hAnsi="仿宋" w:eastAsia="仿宋" w:cs="仿宋"/>
          <w:color w:val="auto"/>
          <w:highlight w:val="none"/>
        </w:rPr>
      </w:pPr>
      <w:bookmarkStart w:id="8" w:name="_Toc11589"/>
      <w:bookmarkStart w:id="9" w:name="_Toc17569"/>
      <w:bookmarkStart w:id="10" w:name="_Toc2642"/>
      <w:r>
        <w:rPr>
          <w:rFonts w:hint="eastAsia" w:ascii="仿宋" w:hAnsi="仿宋" w:eastAsia="仿宋" w:cs="仿宋"/>
          <w:color w:val="auto"/>
          <w:highlight w:val="none"/>
        </w:rPr>
        <w:t>1.2编制依据</w:t>
      </w:r>
      <w:bookmarkEnd w:id="8"/>
      <w:bookmarkEnd w:id="9"/>
      <w:bookmarkEnd w:id="10"/>
    </w:p>
    <w:p w14:paraId="42465E6C">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依据《中华人民共和国突发事件应对法》《中华人民共和国安全生产法》《</w:t>
      </w:r>
      <w:r>
        <w:rPr>
          <w:rFonts w:hint="eastAsia" w:ascii="仿宋" w:hAnsi="仿宋" w:eastAsia="仿宋" w:cs="仿宋"/>
          <w:color w:val="auto"/>
          <w:sz w:val="32"/>
          <w:szCs w:val="32"/>
          <w:highlight w:val="none"/>
          <w:lang w:val="en-US" w:eastAsia="zh-CN"/>
        </w:rPr>
        <w:t>中华人民共和国消防法</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危险化学品安全管理条例》</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安徽省安全生产条例</w:t>
      </w:r>
      <w:r>
        <w:rPr>
          <w:rFonts w:hint="eastAsia" w:ascii="仿宋" w:hAnsi="仿宋" w:eastAsia="仿宋" w:cs="仿宋"/>
          <w:color w:val="auto"/>
          <w:sz w:val="32"/>
          <w:szCs w:val="32"/>
          <w:highlight w:val="none"/>
          <w:lang w:val="zh-CN"/>
        </w:rPr>
        <w:t>》《合肥市危险化学品事故应急预案》《</w:t>
      </w:r>
      <w:r>
        <w:rPr>
          <w:rFonts w:hint="eastAsia" w:ascii="仿宋" w:hAnsi="仿宋" w:eastAsia="仿宋" w:cs="仿宋"/>
          <w:color w:val="auto"/>
          <w:sz w:val="32"/>
          <w:szCs w:val="32"/>
          <w:highlight w:val="none"/>
          <w:lang w:val="en-US" w:eastAsia="zh-CN"/>
        </w:rPr>
        <w:t>瑶海区突发事件总体应急预案》</w:t>
      </w:r>
      <w:r>
        <w:rPr>
          <w:rFonts w:hint="eastAsia" w:ascii="仿宋" w:hAnsi="仿宋" w:eastAsia="仿宋" w:cs="仿宋"/>
          <w:color w:val="auto"/>
          <w:sz w:val="32"/>
          <w:szCs w:val="32"/>
          <w:highlight w:val="none"/>
          <w:lang w:val="zh-CN"/>
        </w:rPr>
        <w:t>等规定，结合瑶海区实际情况，制定本预案。</w:t>
      </w:r>
    </w:p>
    <w:p w14:paraId="4625FF3F">
      <w:pPr>
        <w:pStyle w:val="3"/>
        <w:shd w:val="clear"/>
        <w:spacing w:line="500" w:lineRule="exact"/>
        <w:ind w:firstLine="643"/>
        <w:rPr>
          <w:rFonts w:hint="eastAsia" w:ascii="仿宋" w:hAnsi="仿宋" w:eastAsia="仿宋" w:cs="仿宋"/>
          <w:color w:val="auto"/>
          <w:highlight w:val="none"/>
        </w:rPr>
      </w:pPr>
      <w:bookmarkStart w:id="11" w:name="_Toc29017"/>
      <w:bookmarkStart w:id="12" w:name="_Toc11514"/>
      <w:bookmarkStart w:id="13" w:name="_Toc6110"/>
      <w:bookmarkStart w:id="14" w:name="_Toc3598"/>
      <w:r>
        <w:rPr>
          <w:rFonts w:hint="eastAsia" w:ascii="仿宋" w:hAnsi="仿宋" w:eastAsia="仿宋" w:cs="仿宋"/>
          <w:color w:val="auto"/>
          <w:highlight w:val="none"/>
        </w:rPr>
        <w:t>1.3事故分级</w:t>
      </w:r>
      <w:bookmarkEnd w:id="11"/>
      <w:bookmarkEnd w:id="12"/>
      <w:bookmarkEnd w:id="13"/>
      <w:bookmarkEnd w:id="14"/>
    </w:p>
    <w:p w14:paraId="17FC35B1">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危险化学品</w:t>
      </w:r>
      <w:r>
        <w:rPr>
          <w:rFonts w:hint="eastAsia" w:ascii="仿宋" w:hAnsi="仿宋" w:eastAsia="仿宋" w:cs="仿宋"/>
          <w:color w:val="auto"/>
          <w:sz w:val="32"/>
          <w:szCs w:val="32"/>
          <w:highlight w:val="none"/>
          <w:lang w:val="en-US" w:eastAsia="zh-CN"/>
        </w:rPr>
        <w:t>在</w:t>
      </w:r>
      <w:r>
        <w:rPr>
          <w:rFonts w:hint="eastAsia" w:ascii="仿宋" w:hAnsi="仿宋" w:eastAsia="仿宋" w:cs="仿宋"/>
          <w:color w:val="auto"/>
          <w:sz w:val="32"/>
          <w:szCs w:val="32"/>
          <w:highlight w:val="none"/>
          <w:lang w:val="zh-CN"/>
        </w:rPr>
        <w:t>生产、储存、使用、经营、</w:t>
      </w:r>
      <w:r>
        <w:rPr>
          <w:rFonts w:hint="eastAsia" w:ascii="仿宋" w:hAnsi="仿宋" w:eastAsia="仿宋" w:cs="仿宋"/>
          <w:color w:val="auto"/>
          <w:sz w:val="32"/>
          <w:szCs w:val="32"/>
          <w:highlight w:val="none"/>
          <w:lang w:val="en-US" w:eastAsia="zh-CN"/>
        </w:rPr>
        <w:t>运输</w:t>
      </w:r>
      <w:r>
        <w:rPr>
          <w:rFonts w:hint="eastAsia" w:ascii="仿宋" w:hAnsi="仿宋" w:eastAsia="仿宋" w:cs="仿宋"/>
          <w:color w:val="auto"/>
          <w:sz w:val="32"/>
          <w:szCs w:val="32"/>
          <w:highlight w:val="none"/>
          <w:lang w:val="zh-CN"/>
        </w:rPr>
        <w:t>等过程中</w:t>
      </w:r>
      <w:r>
        <w:rPr>
          <w:rFonts w:hint="eastAsia" w:ascii="仿宋" w:hAnsi="仿宋" w:eastAsia="仿宋" w:cs="仿宋"/>
          <w:color w:val="auto"/>
          <w:sz w:val="32"/>
          <w:szCs w:val="32"/>
          <w:highlight w:val="none"/>
          <w:lang w:val="en-US" w:eastAsia="zh-CN"/>
        </w:rPr>
        <w:t>可能</w:t>
      </w:r>
      <w:r>
        <w:rPr>
          <w:rFonts w:hint="eastAsia" w:ascii="仿宋" w:hAnsi="仿宋" w:eastAsia="仿宋" w:cs="仿宋"/>
          <w:color w:val="auto"/>
          <w:sz w:val="32"/>
          <w:szCs w:val="32"/>
          <w:highlight w:val="none"/>
          <w:lang w:val="zh-CN"/>
        </w:rPr>
        <w:t>发生的</w:t>
      </w:r>
      <w:r>
        <w:rPr>
          <w:rFonts w:hint="eastAsia" w:ascii="仿宋" w:hAnsi="仿宋" w:eastAsia="仿宋" w:cs="仿宋"/>
          <w:color w:val="auto"/>
          <w:sz w:val="32"/>
          <w:szCs w:val="32"/>
          <w:highlight w:val="none"/>
          <w:lang w:val="en-US" w:eastAsia="zh-CN"/>
        </w:rPr>
        <w:t>事故主要有</w:t>
      </w:r>
      <w:r>
        <w:rPr>
          <w:rFonts w:hint="eastAsia" w:ascii="仿宋" w:hAnsi="仿宋" w:eastAsia="仿宋" w:cs="仿宋"/>
          <w:color w:val="auto"/>
          <w:sz w:val="32"/>
          <w:szCs w:val="32"/>
          <w:highlight w:val="none"/>
          <w:lang w:val="zh-CN"/>
        </w:rPr>
        <w:t>火灾、爆炸、</w:t>
      </w:r>
      <w:r>
        <w:rPr>
          <w:rFonts w:hint="eastAsia" w:ascii="仿宋" w:hAnsi="仿宋" w:eastAsia="仿宋" w:cs="仿宋"/>
          <w:color w:val="auto"/>
          <w:sz w:val="32"/>
          <w:szCs w:val="32"/>
          <w:highlight w:val="none"/>
          <w:lang w:val="en-US" w:eastAsia="zh-CN"/>
        </w:rPr>
        <w:t>中毒和窒息、化学灼伤及因泄漏导致环境污染和社会影响等</w:t>
      </w:r>
      <w:r>
        <w:rPr>
          <w:rFonts w:hint="eastAsia" w:ascii="仿宋" w:hAnsi="仿宋" w:eastAsia="仿宋" w:cs="仿宋"/>
          <w:color w:val="auto"/>
          <w:sz w:val="32"/>
          <w:szCs w:val="32"/>
          <w:highlight w:val="none"/>
          <w:lang w:val="zh-CN"/>
        </w:rPr>
        <w:t>。</w:t>
      </w:r>
    </w:p>
    <w:p w14:paraId="2E859513">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按照《</w:t>
      </w:r>
      <w:r>
        <w:rPr>
          <w:rFonts w:hint="eastAsia" w:ascii="仿宋" w:hAnsi="仿宋" w:eastAsia="仿宋" w:cs="仿宋"/>
          <w:color w:val="auto"/>
          <w:sz w:val="32"/>
          <w:szCs w:val="32"/>
          <w:highlight w:val="none"/>
          <w:lang w:val="en-US" w:eastAsia="zh-CN"/>
        </w:rPr>
        <w:t>生产安全事故报告和调查处理条例》，</w:t>
      </w:r>
      <w:r>
        <w:rPr>
          <w:rFonts w:hint="eastAsia" w:ascii="仿宋" w:hAnsi="仿宋" w:eastAsia="仿宋" w:cs="仿宋"/>
          <w:color w:val="auto"/>
          <w:sz w:val="32"/>
          <w:szCs w:val="32"/>
          <w:highlight w:val="none"/>
          <w:lang w:val="zh-CN"/>
        </w:rPr>
        <w:t>危险化学品事故分为特别重大事故、重大事故、较大事故和一般事故。</w:t>
      </w:r>
    </w:p>
    <w:p w14:paraId="3ABED4D8">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特别重大事故：是指造成30人以上死亡（</w:t>
      </w:r>
      <w:r>
        <w:rPr>
          <w:rFonts w:hint="eastAsia" w:ascii="仿宋" w:hAnsi="仿宋" w:eastAsia="仿宋" w:cs="仿宋"/>
          <w:color w:val="auto"/>
          <w:sz w:val="32"/>
          <w:szCs w:val="32"/>
          <w:highlight w:val="none"/>
          <w:lang w:val="en-US" w:eastAsia="zh-CN"/>
        </w:rPr>
        <w:t>含失踪）</w:t>
      </w:r>
      <w:r>
        <w:rPr>
          <w:rFonts w:hint="eastAsia" w:ascii="仿宋" w:hAnsi="仿宋" w:eastAsia="仿宋" w:cs="仿宋"/>
          <w:color w:val="auto"/>
          <w:sz w:val="32"/>
          <w:szCs w:val="32"/>
          <w:highlight w:val="none"/>
          <w:lang w:val="zh-CN"/>
        </w:rPr>
        <w:t>，或者100人以上重伤（中毒），或者1亿元以上直接经济损失的事故。</w:t>
      </w:r>
    </w:p>
    <w:p w14:paraId="56069297">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重大事故：是指造成10人以上30人以下死亡（</w:t>
      </w:r>
      <w:r>
        <w:rPr>
          <w:rFonts w:hint="eastAsia" w:ascii="仿宋" w:hAnsi="仿宋" w:eastAsia="仿宋" w:cs="仿宋"/>
          <w:color w:val="auto"/>
          <w:sz w:val="32"/>
          <w:szCs w:val="32"/>
          <w:highlight w:val="none"/>
          <w:lang w:val="en-US" w:eastAsia="zh-CN"/>
        </w:rPr>
        <w:t>含失踪）</w:t>
      </w:r>
      <w:r>
        <w:rPr>
          <w:rFonts w:hint="eastAsia" w:ascii="仿宋" w:hAnsi="仿宋" w:eastAsia="仿宋" w:cs="仿宋"/>
          <w:color w:val="auto"/>
          <w:sz w:val="32"/>
          <w:szCs w:val="32"/>
          <w:highlight w:val="none"/>
          <w:lang w:val="zh-CN"/>
        </w:rPr>
        <w:t>，或者50人以上100人以下重伤（中毒），或者5000万元以上1亿元以下直接经济损失的事故。</w:t>
      </w:r>
    </w:p>
    <w:p w14:paraId="1B4E8919">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较大事故：是指造成3人以上10人以下死亡（</w:t>
      </w:r>
      <w:r>
        <w:rPr>
          <w:rFonts w:hint="eastAsia" w:ascii="仿宋" w:hAnsi="仿宋" w:eastAsia="仿宋" w:cs="仿宋"/>
          <w:color w:val="auto"/>
          <w:sz w:val="32"/>
          <w:szCs w:val="32"/>
          <w:highlight w:val="none"/>
          <w:lang w:val="en-US" w:eastAsia="zh-CN"/>
        </w:rPr>
        <w:t>含失踪）</w:t>
      </w:r>
      <w:r>
        <w:rPr>
          <w:rFonts w:hint="eastAsia" w:ascii="仿宋" w:hAnsi="仿宋" w:eastAsia="仿宋" w:cs="仿宋"/>
          <w:color w:val="auto"/>
          <w:sz w:val="32"/>
          <w:szCs w:val="32"/>
          <w:highlight w:val="none"/>
          <w:lang w:val="zh-CN"/>
        </w:rPr>
        <w:t>，或者10人以上50人以下重伤（中毒），或者1000万元以上5000万元以下直接经济损失的事故。</w:t>
      </w:r>
    </w:p>
    <w:p w14:paraId="7BEDDEC0">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一般事故：是指造成3人以下死亡（</w:t>
      </w:r>
      <w:r>
        <w:rPr>
          <w:rFonts w:hint="eastAsia" w:ascii="仿宋" w:hAnsi="仿宋" w:eastAsia="仿宋" w:cs="仿宋"/>
          <w:color w:val="auto"/>
          <w:sz w:val="32"/>
          <w:szCs w:val="32"/>
          <w:highlight w:val="none"/>
          <w:lang w:val="en-US" w:eastAsia="zh-CN"/>
        </w:rPr>
        <w:t>含失踪）</w:t>
      </w:r>
      <w:r>
        <w:rPr>
          <w:rFonts w:hint="eastAsia" w:ascii="仿宋" w:hAnsi="仿宋" w:eastAsia="仿宋" w:cs="仿宋"/>
          <w:color w:val="auto"/>
          <w:sz w:val="32"/>
          <w:szCs w:val="32"/>
          <w:highlight w:val="none"/>
          <w:lang w:val="zh-CN"/>
        </w:rPr>
        <w:t>，或者10人以下重伤（中毒），或者1000万元以下直接经济损失的事故。</w:t>
      </w:r>
    </w:p>
    <w:p w14:paraId="2120A229">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上述分级标准中“以上”包括本数，“以下”不</w:t>
      </w:r>
      <w:r>
        <w:rPr>
          <w:rFonts w:hint="eastAsia" w:ascii="仿宋" w:hAnsi="仿宋" w:eastAsia="仿宋" w:cs="仿宋"/>
          <w:color w:val="auto"/>
          <w:sz w:val="32"/>
          <w:szCs w:val="32"/>
          <w:highlight w:val="none"/>
          <w:lang w:val="en-US" w:eastAsia="zh-CN"/>
        </w:rPr>
        <w:t>包括</w:t>
      </w:r>
      <w:r>
        <w:rPr>
          <w:rFonts w:hint="eastAsia" w:ascii="仿宋" w:hAnsi="仿宋" w:eastAsia="仿宋" w:cs="仿宋"/>
          <w:color w:val="auto"/>
          <w:sz w:val="32"/>
          <w:szCs w:val="32"/>
          <w:highlight w:val="none"/>
          <w:lang w:val="zh-CN"/>
        </w:rPr>
        <w:t>本数。</w:t>
      </w:r>
    </w:p>
    <w:p w14:paraId="32A8484B">
      <w:pPr>
        <w:pStyle w:val="3"/>
        <w:shd w:val="clear"/>
        <w:spacing w:line="500" w:lineRule="exact"/>
        <w:ind w:firstLine="643"/>
        <w:rPr>
          <w:rFonts w:hint="eastAsia" w:ascii="仿宋" w:hAnsi="仿宋" w:eastAsia="仿宋" w:cs="仿宋"/>
          <w:color w:val="auto"/>
          <w:highlight w:val="none"/>
        </w:rPr>
      </w:pPr>
      <w:bookmarkStart w:id="15" w:name="_Toc32547"/>
      <w:bookmarkStart w:id="16" w:name="_Toc10702"/>
      <w:bookmarkStart w:id="17" w:name="_Toc18410"/>
      <w:r>
        <w:rPr>
          <w:rFonts w:hint="eastAsia" w:ascii="仿宋" w:hAnsi="仿宋" w:eastAsia="仿宋" w:cs="仿宋"/>
          <w:color w:val="auto"/>
          <w:highlight w:val="none"/>
        </w:rPr>
        <w:t>1.4适用范围</w:t>
      </w:r>
      <w:bookmarkEnd w:id="15"/>
      <w:bookmarkEnd w:id="16"/>
      <w:bookmarkEnd w:id="17"/>
    </w:p>
    <w:p w14:paraId="5FAE76B8">
      <w:pPr>
        <w:shd w:val="clear"/>
        <w:spacing w:after="0" w:line="50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rPr>
        <w:t>本预案适用于瑶海区行政区域内发生的危险化学品生产、储存、使用、经营、</w:t>
      </w:r>
      <w:r>
        <w:rPr>
          <w:rFonts w:hint="eastAsia" w:ascii="仿宋" w:hAnsi="仿宋" w:eastAsia="仿宋" w:cs="仿宋"/>
          <w:color w:val="auto"/>
          <w:sz w:val="32"/>
          <w:szCs w:val="32"/>
          <w:highlight w:val="none"/>
          <w:lang w:val="zh-CN" w:eastAsia="zh-CN"/>
        </w:rPr>
        <w:t>运输</w:t>
      </w:r>
      <w:r>
        <w:rPr>
          <w:rFonts w:hint="eastAsia" w:ascii="仿宋" w:hAnsi="仿宋" w:eastAsia="仿宋" w:cs="仿宋"/>
          <w:color w:val="auto"/>
          <w:sz w:val="32"/>
          <w:szCs w:val="32"/>
          <w:highlight w:val="none"/>
          <w:lang w:val="en-US" w:eastAsia="zh-CN"/>
        </w:rPr>
        <w:t>等环节的生产</w:t>
      </w:r>
      <w:r>
        <w:rPr>
          <w:rFonts w:hint="eastAsia" w:ascii="仿宋" w:hAnsi="仿宋" w:eastAsia="仿宋" w:cs="仿宋"/>
          <w:color w:val="auto"/>
          <w:sz w:val="32"/>
          <w:szCs w:val="32"/>
          <w:highlight w:val="none"/>
          <w:lang w:val="zh-CN"/>
        </w:rPr>
        <w:t>安全事故。</w:t>
      </w:r>
      <w:r>
        <w:rPr>
          <w:rFonts w:hint="eastAsia" w:ascii="仿宋" w:hAnsi="仿宋" w:eastAsia="仿宋" w:cs="仿宋"/>
          <w:color w:val="auto"/>
          <w:sz w:val="32"/>
          <w:szCs w:val="32"/>
          <w:highlight w:val="none"/>
          <w:lang w:val="en-US" w:eastAsia="zh-CN"/>
        </w:rPr>
        <w:t>瑶海区危险化学品及重大危险源企业是重点关注对象，具体企业信息见附件8.2。</w:t>
      </w:r>
    </w:p>
    <w:p w14:paraId="54F5F190">
      <w:pPr>
        <w:shd w:val="clear"/>
        <w:spacing w:after="0" w:line="5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涉及城镇燃气的事故按照《瑶海区城镇燃气安全事故应急预案》处置。</w:t>
      </w:r>
    </w:p>
    <w:p w14:paraId="40B14F19">
      <w:pPr>
        <w:pStyle w:val="3"/>
        <w:shd w:val="clear"/>
        <w:spacing w:line="500" w:lineRule="exact"/>
        <w:ind w:firstLine="643"/>
        <w:rPr>
          <w:rFonts w:hint="eastAsia" w:ascii="仿宋" w:hAnsi="仿宋" w:eastAsia="仿宋" w:cs="仿宋"/>
          <w:color w:val="auto"/>
          <w:highlight w:val="none"/>
        </w:rPr>
      </w:pPr>
      <w:bookmarkStart w:id="18" w:name="_Toc21234"/>
      <w:bookmarkStart w:id="19" w:name="_Toc13153"/>
      <w:bookmarkStart w:id="20" w:name="_Toc9884"/>
      <w:r>
        <w:rPr>
          <w:rFonts w:hint="eastAsia" w:ascii="仿宋" w:hAnsi="仿宋" w:eastAsia="仿宋" w:cs="仿宋"/>
          <w:color w:val="auto"/>
          <w:highlight w:val="none"/>
        </w:rPr>
        <w:t>1.5工作原则</w:t>
      </w:r>
      <w:bookmarkEnd w:id="18"/>
      <w:bookmarkEnd w:id="19"/>
      <w:bookmarkEnd w:id="20"/>
    </w:p>
    <w:p w14:paraId="70944F1C">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以人为本，安全第一。把保障人民群众的生命安全和身体健康、最大程度地预防和减少生产安全事故造成的人员伤亡作为出发点和落脚点，切实加强应急人员的安全防护，充分发挥人的主观能动性，充分发挥专业力应急力量的骨干作用和人民群众的基础作用。</w:t>
      </w:r>
    </w:p>
    <w:p w14:paraId="7F7991BF">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（2）统一领导，分级负责。在区政府统一领导和区安委会组织协调下，各街镇</w:t>
      </w:r>
      <w:r>
        <w:rPr>
          <w:rFonts w:hint="eastAsia" w:ascii="仿宋" w:hAnsi="仿宋" w:eastAsia="仿宋" w:cs="仿宋"/>
          <w:color w:val="auto"/>
          <w:sz w:val="32"/>
          <w:szCs w:val="32"/>
          <w:highlight w:val="none"/>
          <w:lang w:val="en-US" w:eastAsia="zh-CN"/>
        </w:rPr>
        <w:t>筹备组</w:t>
      </w:r>
      <w:r>
        <w:rPr>
          <w:rFonts w:hint="eastAsia" w:ascii="仿宋" w:hAnsi="仿宋" w:eastAsia="仿宋" w:cs="仿宋"/>
          <w:color w:val="auto"/>
          <w:sz w:val="32"/>
          <w:szCs w:val="32"/>
          <w:highlight w:val="none"/>
          <w:lang w:val="zh-CN"/>
        </w:rPr>
        <w:t>和有关区直部门按照各自职责和权限，负责危险化学品事故的应急管理和应急处置工作。生产经营单位要认真履行安全生产主体责任，建立应急预案体系和应急机制，</w:t>
      </w:r>
      <w:r>
        <w:rPr>
          <w:rFonts w:hint="eastAsia" w:ascii="仿宋" w:hAnsi="仿宋" w:eastAsia="仿宋" w:cs="仿宋"/>
          <w:color w:val="auto"/>
          <w:sz w:val="32"/>
          <w:szCs w:val="32"/>
          <w:highlight w:val="none"/>
          <w:lang w:val="en-US" w:eastAsia="zh-CN"/>
        </w:rPr>
        <w:t>并与本预案相衔接</w:t>
      </w:r>
      <w:r>
        <w:rPr>
          <w:rFonts w:hint="eastAsia" w:ascii="仿宋" w:hAnsi="仿宋" w:eastAsia="仿宋" w:cs="仿宋"/>
          <w:color w:val="auto"/>
          <w:sz w:val="32"/>
          <w:szCs w:val="32"/>
          <w:highlight w:val="none"/>
          <w:lang w:val="zh-CN"/>
        </w:rPr>
        <w:t>。</w:t>
      </w:r>
    </w:p>
    <w:p w14:paraId="15925064">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（3）预防为主，平战结合。贯彻 “</w:t>
      </w:r>
      <w:r>
        <w:rPr>
          <w:rFonts w:hint="eastAsia" w:ascii="仿宋" w:hAnsi="仿宋" w:eastAsia="仿宋" w:cs="仿宋"/>
          <w:color w:val="auto"/>
          <w:sz w:val="32"/>
          <w:szCs w:val="32"/>
          <w:highlight w:val="none"/>
          <w:lang w:val="en-US" w:eastAsia="zh-CN"/>
        </w:rPr>
        <w:t>安全第一，</w:t>
      </w:r>
      <w:r>
        <w:rPr>
          <w:rFonts w:hint="eastAsia" w:ascii="仿宋" w:hAnsi="仿宋" w:eastAsia="仿宋" w:cs="仿宋"/>
          <w:color w:val="auto"/>
          <w:sz w:val="32"/>
          <w:szCs w:val="32"/>
          <w:highlight w:val="none"/>
          <w:lang w:val="zh-CN"/>
        </w:rPr>
        <w:t>预防为主，综合治理”方针，将</w:t>
      </w:r>
      <w:r>
        <w:rPr>
          <w:rFonts w:hint="eastAsia" w:ascii="仿宋" w:hAnsi="仿宋" w:eastAsia="仿宋" w:cs="仿宋"/>
          <w:color w:val="auto"/>
          <w:sz w:val="32"/>
          <w:szCs w:val="32"/>
          <w:highlight w:val="none"/>
          <w:lang w:val="en-US" w:eastAsia="zh-CN"/>
        </w:rPr>
        <w:t>日常</w:t>
      </w:r>
      <w:r>
        <w:rPr>
          <w:rFonts w:hint="eastAsia" w:ascii="仿宋" w:hAnsi="仿宋" w:eastAsia="仿宋" w:cs="仿宋"/>
          <w:color w:val="auto"/>
          <w:sz w:val="32"/>
          <w:szCs w:val="32"/>
          <w:highlight w:val="none"/>
          <w:lang w:val="zh-CN"/>
        </w:rPr>
        <w:t>管理和应急处置有机结合，加强预防、预警，做好常态下风险评估、物资装备保障、队伍建设和预案演练等工作。</w:t>
      </w:r>
    </w:p>
    <w:p w14:paraId="1B0DF02B">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（4）依靠科技，提高水平。积极采用先进的预警、预防应急处置技术，提高预警预防水平，不断改进和完善应急救援装备、设施和手段，增强应急救援能力。</w:t>
      </w:r>
    </w:p>
    <w:p w14:paraId="494328D3">
      <w:pPr>
        <w:shd w:val="clear"/>
        <w:spacing w:after="0" w:line="500" w:lineRule="exact"/>
        <w:ind w:firstLine="640"/>
        <w:rPr>
          <w:rFonts w:hint="eastAsia" w:ascii="仿宋" w:hAnsi="仿宋" w:eastAsia="仿宋" w:cs="仿宋"/>
          <w:color w:val="auto"/>
          <w:highlight w:val="none"/>
        </w:rPr>
      </w:pPr>
    </w:p>
    <w:p w14:paraId="228C4FC1">
      <w:pPr>
        <w:shd w:val="clear"/>
        <w:spacing w:after="0" w:line="500" w:lineRule="exact"/>
        <w:ind w:firstLine="640"/>
        <w:rPr>
          <w:rFonts w:hint="eastAsia" w:ascii="仿宋" w:hAnsi="仿宋" w:eastAsia="仿宋" w:cs="仿宋"/>
          <w:color w:val="auto"/>
          <w:highlight w:val="none"/>
        </w:rPr>
      </w:pPr>
    </w:p>
    <w:p w14:paraId="661C5429">
      <w:pPr>
        <w:pStyle w:val="2"/>
        <w:shd w:val="clear"/>
        <w:spacing w:line="500" w:lineRule="exact"/>
        <w:ind w:firstLine="224" w:firstLineChars="62"/>
        <w:jc w:val="center"/>
        <w:rPr>
          <w:rFonts w:hint="eastAsia" w:ascii="仿宋" w:hAnsi="仿宋" w:eastAsia="仿宋" w:cs="仿宋"/>
          <w:b/>
          <w:bCs/>
          <w:color w:val="auto"/>
          <w:sz w:val="36"/>
          <w:szCs w:val="36"/>
          <w:highlight w:val="none"/>
          <w:lang w:val="en-US" w:eastAsia="zh-CN"/>
        </w:rPr>
      </w:pPr>
      <w:bookmarkStart w:id="21" w:name="_Toc14761"/>
      <w:bookmarkStart w:id="22" w:name="_Toc20123"/>
      <w:bookmarkStart w:id="23" w:name="_Toc31430"/>
      <w:r>
        <w:rPr>
          <w:rFonts w:hint="eastAsia" w:ascii="仿宋" w:hAnsi="仿宋" w:eastAsia="仿宋" w:cs="仿宋"/>
          <w:b/>
          <w:bCs/>
          <w:color w:val="auto"/>
          <w:sz w:val="36"/>
          <w:szCs w:val="36"/>
          <w:highlight w:val="none"/>
        </w:rPr>
        <w:t>2组织</w:t>
      </w:r>
      <w:bookmarkEnd w:id="21"/>
      <w:bookmarkStart w:id="24" w:name="_Toc14151"/>
      <w:r>
        <w:rPr>
          <w:rFonts w:hint="eastAsia" w:ascii="仿宋" w:hAnsi="仿宋" w:eastAsia="仿宋" w:cs="仿宋"/>
          <w:b/>
          <w:bCs/>
          <w:color w:val="auto"/>
          <w:sz w:val="36"/>
          <w:szCs w:val="36"/>
          <w:highlight w:val="none"/>
          <w:lang w:val="en-US" w:eastAsia="zh-CN"/>
        </w:rPr>
        <w:t>机构及职责</w:t>
      </w:r>
      <w:bookmarkEnd w:id="22"/>
      <w:bookmarkEnd w:id="23"/>
    </w:p>
    <w:p w14:paraId="1A83CC07">
      <w:pPr>
        <w:pStyle w:val="3"/>
        <w:shd w:val="clear"/>
        <w:spacing w:line="500" w:lineRule="exact"/>
        <w:ind w:firstLine="643"/>
        <w:rPr>
          <w:rFonts w:hint="eastAsia" w:ascii="仿宋" w:hAnsi="仿宋" w:eastAsia="仿宋" w:cs="仿宋"/>
          <w:color w:val="auto"/>
          <w:highlight w:val="none"/>
        </w:rPr>
      </w:pPr>
      <w:bookmarkStart w:id="25" w:name="_Toc31380"/>
      <w:bookmarkStart w:id="26" w:name="_Toc16742"/>
      <w:r>
        <w:rPr>
          <w:rFonts w:hint="eastAsia" w:ascii="仿宋" w:hAnsi="仿宋" w:eastAsia="仿宋" w:cs="仿宋"/>
          <w:color w:val="auto"/>
          <w:highlight w:val="none"/>
        </w:rPr>
        <w:t>2.1区危险化学品</w:t>
      </w:r>
      <w:r>
        <w:rPr>
          <w:rFonts w:hint="eastAsia" w:ascii="仿宋" w:hAnsi="仿宋" w:eastAsia="仿宋" w:cs="仿宋"/>
          <w:color w:val="auto"/>
          <w:highlight w:val="none"/>
          <w:lang w:val="en-US" w:eastAsia="zh-CN"/>
        </w:rPr>
        <w:t>事故</w:t>
      </w:r>
      <w:r>
        <w:rPr>
          <w:rFonts w:hint="eastAsia" w:ascii="仿宋" w:hAnsi="仿宋" w:eastAsia="仿宋" w:cs="仿宋"/>
          <w:color w:val="auto"/>
          <w:highlight w:val="none"/>
        </w:rPr>
        <w:t>应急指挥部</w:t>
      </w:r>
      <w:bookmarkEnd w:id="24"/>
      <w:bookmarkEnd w:id="25"/>
      <w:bookmarkEnd w:id="26"/>
    </w:p>
    <w:p w14:paraId="7FCEBF53">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瑶海区发生危险化学品生产安全事故，区政府视情成立区危险化学品</w:t>
      </w:r>
      <w:r>
        <w:rPr>
          <w:rFonts w:hint="eastAsia" w:ascii="仿宋" w:hAnsi="仿宋" w:eastAsia="仿宋" w:cs="仿宋"/>
          <w:color w:val="auto"/>
          <w:sz w:val="32"/>
          <w:szCs w:val="32"/>
          <w:highlight w:val="none"/>
          <w:lang w:val="en-US" w:eastAsia="zh-CN"/>
        </w:rPr>
        <w:t>事故</w:t>
      </w:r>
      <w:r>
        <w:rPr>
          <w:rFonts w:hint="eastAsia" w:ascii="仿宋" w:hAnsi="仿宋" w:eastAsia="仿宋" w:cs="仿宋"/>
          <w:color w:val="auto"/>
          <w:sz w:val="32"/>
          <w:szCs w:val="32"/>
          <w:highlight w:val="none"/>
          <w:lang w:val="zh-CN"/>
        </w:rPr>
        <w:t>应急指挥部（以下简称“区指挥部”），统一指导事故应急处置工作。</w:t>
      </w:r>
    </w:p>
    <w:p w14:paraId="7360C9EE">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指挥长由区分管应急工作的副区长担任，必要时由区长担任。副指挥长由区政府办和区应急局主要负责人担任。</w:t>
      </w:r>
    </w:p>
    <w:p w14:paraId="1BF2D41B">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区指挥部成员单位由区政府办、区委宣传部、区应急局、公安瑶海分局、瑶海区消防救援局、交警瑶海大队、区生态环境分局、区卫健委、区住房和城乡建设局</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区园林绿化管理中心</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区市监局、区民政局、区人社局、区财政局、</w:t>
      </w:r>
      <w:r>
        <w:rPr>
          <w:rFonts w:hint="eastAsia" w:ascii="仿宋" w:hAnsi="仿宋" w:eastAsia="仿宋" w:cs="仿宋"/>
          <w:color w:val="auto"/>
          <w:sz w:val="32"/>
          <w:szCs w:val="32"/>
          <w:highlight w:val="none"/>
          <w:lang w:val="en-US" w:eastAsia="zh-CN"/>
        </w:rPr>
        <w:t>区城市管理局、农林水务局（瑶海区乡村振兴局）、医疗保障局</w:t>
      </w:r>
      <w:r>
        <w:rPr>
          <w:rFonts w:hint="eastAsia" w:ascii="仿宋" w:hAnsi="仿宋" w:eastAsia="仿宋" w:cs="仿宋"/>
          <w:color w:val="auto"/>
          <w:sz w:val="32"/>
          <w:szCs w:val="32"/>
          <w:highlight w:val="none"/>
          <w:lang w:val="zh-CN"/>
        </w:rPr>
        <w:t>、事发地镇政府、街道办事处（</w:t>
      </w:r>
      <w:r>
        <w:rPr>
          <w:rFonts w:hint="eastAsia" w:ascii="仿宋" w:hAnsi="仿宋" w:eastAsia="仿宋" w:cs="仿宋"/>
          <w:color w:val="auto"/>
          <w:sz w:val="32"/>
          <w:szCs w:val="32"/>
          <w:highlight w:val="none"/>
          <w:lang w:val="en-US" w:eastAsia="zh-CN"/>
        </w:rPr>
        <w:t>筹备组）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专家组</w:t>
      </w:r>
      <w:r>
        <w:rPr>
          <w:rFonts w:hint="eastAsia" w:ascii="仿宋" w:hAnsi="仿宋" w:eastAsia="仿宋" w:cs="仿宋"/>
          <w:color w:val="auto"/>
          <w:sz w:val="32"/>
          <w:szCs w:val="32"/>
          <w:highlight w:val="none"/>
          <w:lang w:val="zh-CN"/>
        </w:rPr>
        <w:t>等组成，必要时可将其他相关部门纳入区指挥部。</w:t>
      </w:r>
    </w:p>
    <w:p w14:paraId="239B1BA6">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区指挥部下设指挥部办公室（以下简称“区指挥</w:t>
      </w:r>
      <w:r>
        <w:rPr>
          <w:rFonts w:hint="eastAsia" w:ascii="仿宋" w:hAnsi="仿宋" w:eastAsia="仿宋" w:cs="仿宋"/>
          <w:color w:val="auto"/>
          <w:sz w:val="32"/>
          <w:szCs w:val="32"/>
          <w:highlight w:val="none"/>
          <w:lang w:val="en-US" w:eastAsia="zh-CN"/>
        </w:rPr>
        <w:t>办</w:t>
      </w:r>
      <w:r>
        <w:rPr>
          <w:rFonts w:hint="eastAsia" w:ascii="仿宋" w:hAnsi="仿宋" w:eastAsia="仿宋" w:cs="仿宋"/>
          <w:color w:val="auto"/>
          <w:sz w:val="32"/>
          <w:szCs w:val="32"/>
          <w:highlight w:val="none"/>
          <w:lang w:val="zh-CN"/>
        </w:rPr>
        <w:t>”），设在区应急局，由区应急局主要负责人任主任。</w:t>
      </w:r>
    </w:p>
    <w:p w14:paraId="1958300F">
      <w:pPr>
        <w:shd w:val="clear"/>
        <w:spacing w:after="0" w:line="500" w:lineRule="exact"/>
        <w:ind w:firstLine="643"/>
        <w:jc w:val="both"/>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2.1.1区指挥部职责</w:t>
      </w:r>
    </w:p>
    <w:p w14:paraId="72EC1F9F">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负责组织、</w:t>
      </w:r>
      <w:r>
        <w:rPr>
          <w:rFonts w:hint="eastAsia" w:ascii="仿宋" w:hAnsi="仿宋" w:eastAsia="仿宋" w:cs="仿宋"/>
          <w:color w:val="auto"/>
          <w:sz w:val="32"/>
          <w:szCs w:val="32"/>
          <w:highlight w:val="none"/>
          <w:lang w:val="en-US" w:eastAsia="zh-CN"/>
        </w:rPr>
        <w:t>协调、</w:t>
      </w:r>
      <w:r>
        <w:rPr>
          <w:rFonts w:hint="eastAsia" w:ascii="仿宋" w:hAnsi="仿宋" w:eastAsia="仿宋" w:cs="仿宋"/>
          <w:color w:val="auto"/>
          <w:sz w:val="32"/>
          <w:szCs w:val="32"/>
          <w:highlight w:val="none"/>
          <w:lang w:val="zh-CN"/>
        </w:rPr>
        <w:t>指挥</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lang w:val="zh-CN"/>
        </w:rPr>
        <w:t>危险化学品事故应急救援工作，批准和启动应急预案，必要时指派相关单位和人员赴事故现场开展应急处置工作；组建、管理</w:t>
      </w:r>
      <w:r>
        <w:rPr>
          <w:rFonts w:hint="eastAsia" w:ascii="仿宋" w:hAnsi="仿宋" w:eastAsia="仿宋" w:cs="仿宋"/>
          <w:color w:val="auto"/>
          <w:sz w:val="32"/>
          <w:szCs w:val="32"/>
          <w:highlight w:val="none"/>
          <w:lang w:val="en-US" w:eastAsia="zh-CN"/>
        </w:rPr>
        <w:t>瑶海区</w:t>
      </w:r>
      <w:r>
        <w:rPr>
          <w:rFonts w:hint="eastAsia" w:ascii="仿宋" w:hAnsi="仿宋" w:eastAsia="仿宋" w:cs="仿宋"/>
          <w:color w:val="auto"/>
          <w:sz w:val="32"/>
          <w:szCs w:val="32"/>
          <w:highlight w:val="none"/>
          <w:lang w:val="zh-CN"/>
        </w:rPr>
        <w:t>危险化学品事故应急</w:t>
      </w:r>
      <w:r>
        <w:rPr>
          <w:rFonts w:hint="eastAsia" w:ascii="仿宋" w:hAnsi="仿宋" w:eastAsia="仿宋" w:cs="仿宋"/>
          <w:color w:val="auto"/>
          <w:sz w:val="32"/>
          <w:szCs w:val="32"/>
          <w:highlight w:val="none"/>
          <w:lang w:val="en-US" w:eastAsia="zh-CN"/>
        </w:rPr>
        <w:t>救援</w:t>
      </w:r>
      <w:r>
        <w:rPr>
          <w:rFonts w:hint="eastAsia" w:ascii="仿宋" w:hAnsi="仿宋" w:eastAsia="仿宋" w:cs="仿宋"/>
          <w:color w:val="auto"/>
          <w:sz w:val="32"/>
          <w:szCs w:val="32"/>
          <w:highlight w:val="none"/>
          <w:lang w:val="zh-CN"/>
        </w:rPr>
        <w:t>队伍</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lang w:val="zh-CN"/>
        </w:rPr>
        <w:t>物资。</w:t>
      </w:r>
    </w:p>
    <w:p w14:paraId="325A8C54">
      <w:pPr>
        <w:shd w:val="clear"/>
        <w:spacing w:after="0" w:line="500" w:lineRule="exact"/>
        <w:ind w:firstLine="643"/>
        <w:jc w:val="both"/>
        <w:outlineLvl w:val="2"/>
        <w:rPr>
          <w:rFonts w:hint="eastAsia" w:ascii="仿宋" w:hAnsi="仿宋" w:eastAsia="仿宋" w:cs="仿宋"/>
          <w:b/>
          <w:color w:val="auto"/>
          <w:sz w:val="32"/>
          <w:szCs w:val="32"/>
          <w:highlight w:val="none"/>
        </w:rPr>
      </w:pPr>
      <w:bookmarkStart w:id="27" w:name="_Toc18527"/>
      <w:r>
        <w:rPr>
          <w:rFonts w:hint="eastAsia" w:ascii="仿宋" w:hAnsi="仿宋" w:eastAsia="仿宋" w:cs="仿宋"/>
          <w:b/>
          <w:color w:val="auto"/>
          <w:sz w:val="32"/>
          <w:szCs w:val="32"/>
          <w:highlight w:val="none"/>
        </w:rPr>
        <w:t>2.1.</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区</w:t>
      </w:r>
      <w:r>
        <w:rPr>
          <w:rFonts w:hint="eastAsia" w:ascii="仿宋" w:hAnsi="仿宋" w:eastAsia="仿宋" w:cs="仿宋"/>
          <w:b/>
          <w:color w:val="auto"/>
          <w:sz w:val="32"/>
          <w:szCs w:val="32"/>
          <w:highlight w:val="none"/>
          <w:lang w:val="en-US" w:eastAsia="zh-CN"/>
        </w:rPr>
        <w:t>指挥</w:t>
      </w:r>
      <w:r>
        <w:rPr>
          <w:rFonts w:hint="eastAsia" w:ascii="仿宋" w:hAnsi="仿宋" w:eastAsia="仿宋" w:cs="仿宋"/>
          <w:b/>
          <w:color w:val="auto"/>
          <w:sz w:val="32"/>
          <w:szCs w:val="32"/>
          <w:highlight w:val="none"/>
        </w:rPr>
        <w:t>办职责</w:t>
      </w:r>
    </w:p>
    <w:p w14:paraId="28331C65">
      <w:pPr>
        <w:shd w:val="clear"/>
        <w:spacing w:after="0" w:line="500" w:lineRule="exact"/>
        <w:ind w:firstLine="640"/>
        <w:jc w:val="both"/>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落实指挥部各项工作部署，</w:t>
      </w:r>
      <w:r>
        <w:rPr>
          <w:rFonts w:hint="eastAsia" w:ascii="仿宋" w:hAnsi="仿宋" w:eastAsia="仿宋" w:cs="仿宋"/>
          <w:color w:val="auto"/>
          <w:sz w:val="32"/>
          <w:szCs w:val="32"/>
          <w:highlight w:val="none"/>
          <w:lang w:val="en-US" w:eastAsia="zh-CN"/>
        </w:rPr>
        <w:t>研判事故损失，提出处置建议</w:t>
      </w:r>
      <w:r>
        <w:rPr>
          <w:rFonts w:hint="eastAsia" w:ascii="仿宋" w:hAnsi="仿宋" w:eastAsia="仿宋" w:cs="仿宋"/>
          <w:color w:val="auto"/>
          <w:sz w:val="32"/>
          <w:szCs w:val="32"/>
          <w:highlight w:val="none"/>
          <w:lang w:val="zh-CN"/>
        </w:rPr>
        <w:t>；负责危险化学品事故协调联络、信息报送、</w:t>
      </w:r>
      <w:r>
        <w:rPr>
          <w:rFonts w:hint="eastAsia" w:ascii="仿宋" w:hAnsi="仿宋" w:eastAsia="仿宋" w:cs="仿宋"/>
          <w:color w:val="auto"/>
          <w:sz w:val="32"/>
          <w:szCs w:val="32"/>
          <w:highlight w:val="none"/>
          <w:lang w:val="en-US" w:eastAsia="zh-CN"/>
        </w:rPr>
        <w:t>灾情统计和</w:t>
      </w:r>
      <w:r>
        <w:rPr>
          <w:rFonts w:hint="eastAsia" w:ascii="仿宋" w:hAnsi="仿宋" w:eastAsia="仿宋" w:cs="仿宋"/>
          <w:color w:val="auto"/>
          <w:sz w:val="32"/>
          <w:szCs w:val="32"/>
          <w:highlight w:val="none"/>
          <w:lang w:val="zh-CN"/>
        </w:rPr>
        <w:t>预警发布工作；编制、修订瑶海区危险化学品事故应急预案，组织</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highlight w:val="none"/>
          <w:lang w:val="zh-CN"/>
        </w:rPr>
        <w:t>危险化学品事故应急救援演练；</w:t>
      </w:r>
      <w:r>
        <w:rPr>
          <w:rFonts w:hint="eastAsia" w:ascii="仿宋" w:hAnsi="仿宋" w:eastAsia="仿宋" w:cs="仿宋"/>
          <w:color w:val="auto"/>
          <w:sz w:val="32"/>
          <w:szCs w:val="32"/>
          <w:highlight w:val="none"/>
          <w:lang w:val="en-US" w:eastAsia="zh-CN"/>
        </w:rPr>
        <w:t>指导其他相关部门编制危险化学品事故应急预案；</w:t>
      </w:r>
      <w:r>
        <w:rPr>
          <w:rFonts w:hint="eastAsia" w:ascii="仿宋" w:hAnsi="仿宋" w:eastAsia="仿宋" w:cs="仿宋"/>
          <w:color w:val="auto"/>
          <w:sz w:val="32"/>
          <w:szCs w:val="32"/>
          <w:highlight w:val="none"/>
          <w:lang w:val="zh-CN"/>
        </w:rPr>
        <w:t>建立、维护危险化学品应急救援队伍、装备等信息数据库，</w:t>
      </w:r>
      <w:r>
        <w:rPr>
          <w:rFonts w:hint="eastAsia" w:ascii="仿宋" w:hAnsi="仿宋" w:eastAsia="仿宋" w:cs="仿宋"/>
          <w:color w:val="auto"/>
          <w:sz w:val="32"/>
          <w:szCs w:val="32"/>
          <w:highlight w:val="none"/>
          <w:lang w:val="en-US" w:eastAsia="zh-CN"/>
        </w:rPr>
        <w:t>协调组织应急救援队伍参与危险化学品事故应急救援</w:t>
      </w:r>
      <w:r>
        <w:rPr>
          <w:rFonts w:hint="eastAsia" w:ascii="仿宋" w:hAnsi="仿宋" w:eastAsia="仿宋" w:cs="仿宋"/>
          <w:color w:val="auto"/>
          <w:sz w:val="32"/>
          <w:szCs w:val="32"/>
          <w:highlight w:val="none"/>
          <w:lang w:val="zh-CN"/>
        </w:rPr>
        <w:t>；负责协调联系</w:t>
      </w:r>
      <w:r>
        <w:rPr>
          <w:rFonts w:hint="eastAsia" w:ascii="仿宋" w:hAnsi="仿宋" w:eastAsia="仿宋" w:cs="仿宋"/>
          <w:color w:val="auto"/>
          <w:sz w:val="32"/>
          <w:szCs w:val="32"/>
          <w:highlight w:val="none"/>
          <w:lang w:val="en-US" w:eastAsia="zh-CN"/>
        </w:rPr>
        <w:t>区、市、省</w:t>
      </w:r>
      <w:r>
        <w:rPr>
          <w:rFonts w:hint="eastAsia" w:ascii="仿宋" w:hAnsi="仿宋" w:eastAsia="仿宋" w:cs="仿宋"/>
          <w:color w:val="auto"/>
          <w:sz w:val="32"/>
          <w:szCs w:val="32"/>
          <w:highlight w:val="none"/>
          <w:lang w:val="zh-CN"/>
        </w:rPr>
        <w:t>危险化学品应急救援专家。</w:t>
      </w:r>
    </w:p>
    <w:p w14:paraId="42E6E864">
      <w:pPr>
        <w:shd w:val="clear"/>
        <w:spacing w:after="0" w:line="500" w:lineRule="exact"/>
        <w:ind w:firstLine="643"/>
        <w:jc w:val="both"/>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2.1.</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指挥部成员单位</w:t>
      </w:r>
      <w:bookmarkEnd w:id="27"/>
      <w:r>
        <w:rPr>
          <w:rFonts w:hint="eastAsia" w:ascii="仿宋" w:hAnsi="仿宋" w:eastAsia="仿宋" w:cs="仿宋"/>
          <w:b/>
          <w:color w:val="auto"/>
          <w:sz w:val="32"/>
          <w:szCs w:val="32"/>
          <w:highlight w:val="none"/>
        </w:rPr>
        <w:t>职责</w:t>
      </w:r>
    </w:p>
    <w:p w14:paraId="5F3D2DE2">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（1）区政府办：</w:t>
      </w:r>
      <w:r>
        <w:rPr>
          <w:rFonts w:hint="eastAsia" w:ascii="仿宋" w:hAnsi="仿宋" w:eastAsia="仿宋" w:cs="仿宋"/>
          <w:color w:val="auto"/>
          <w:sz w:val="32"/>
          <w:szCs w:val="32"/>
          <w:highlight w:val="none"/>
          <w:lang w:val="en-US" w:eastAsia="zh-CN"/>
        </w:rPr>
        <w:t>协调区政府相关部门参与事故处置</w:t>
      </w:r>
      <w:r>
        <w:rPr>
          <w:rFonts w:hint="eastAsia" w:ascii="仿宋" w:hAnsi="仿宋" w:eastAsia="仿宋" w:cs="仿宋"/>
          <w:color w:val="auto"/>
          <w:sz w:val="32"/>
          <w:szCs w:val="32"/>
          <w:highlight w:val="none"/>
          <w:lang w:val="zh-CN"/>
        </w:rPr>
        <w:t>，传达领导指示、批示。</w:t>
      </w:r>
    </w:p>
    <w:p w14:paraId="785C131F">
      <w:pPr>
        <w:shd w:val="clear"/>
        <w:spacing w:after="0" w:line="500" w:lineRule="exact"/>
        <w:ind w:firstLine="640" w:firstLineChars="20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（2）区委宣传部：负责</w:t>
      </w:r>
      <w:r>
        <w:rPr>
          <w:rFonts w:hint="eastAsia" w:ascii="仿宋" w:hAnsi="仿宋" w:eastAsia="仿宋" w:cs="仿宋"/>
          <w:color w:val="auto"/>
          <w:sz w:val="32"/>
          <w:szCs w:val="32"/>
          <w:highlight w:val="none"/>
          <w:lang w:val="en-US" w:eastAsia="zh-CN"/>
        </w:rPr>
        <w:t>搜集</w:t>
      </w:r>
      <w:r>
        <w:rPr>
          <w:rFonts w:hint="eastAsia" w:ascii="仿宋" w:hAnsi="仿宋" w:eastAsia="仿宋" w:cs="仿宋"/>
          <w:color w:val="auto"/>
          <w:sz w:val="32"/>
          <w:szCs w:val="32"/>
          <w:highlight w:val="none"/>
          <w:lang w:val="zh-CN"/>
        </w:rPr>
        <w:t>事故应急救援</w:t>
      </w:r>
      <w:r>
        <w:rPr>
          <w:rFonts w:hint="eastAsia" w:ascii="仿宋" w:hAnsi="仿宋" w:eastAsia="仿宋" w:cs="仿宋"/>
          <w:color w:val="auto"/>
          <w:sz w:val="32"/>
          <w:szCs w:val="32"/>
          <w:highlight w:val="none"/>
          <w:lang w:val="en-US" w:eastAsia="zh-CN"/>
        </w:rPr>
        <w:t>中的新闻素材，与媒体对接，应对事故</w:t>
      </w:r>
      <w:r>
        <w:rPr>
          <w:rFonts w:hint="eastAsia" w:ascii="仿宋" w:hAnsi="仿宋" w:eastAsia="仿宋" w:cs="仿宋"/>
          <w:color w:val="auto"/>
          <w:sz w:val="32"/>
          <w:szCs w:val="32"/>
          <w:highlight w:val="none"/>
          <w:lang w:val="zh-CN"/>
        </w:rPr>
        <w:t>舆情。</w:t>
      </w:r>
    </w:p>
    <w:p w14:paraId="3162AEE1">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（3）区应急局：参与事故处置现场协调、指挥工作；提供事故救援</w:t>
      </w:r>
      <w:r>
        <w:rPr>
          <w:rFonts w:hint="eastAsia" w:ascii="仿宋" w:hAnsi="仿宋" w:eastAsia="仿宋" w:cs="仿宋"/>
          <w:color w:val="auto"/>
          <w:sz w:val="32"/>
          <w:szCs w:val="32"/>
          <w:highlight w:val="none"/>
          <w:lang w:val="en-US" w:eastAsia="zh-CN"/>
        </w:rPr>
        <w:t>措施建议</w:t>
      </w:r>
      <w:r>
        <w:rPr>
          <w:rFonts w:hint="eastAsia" w:ascii="仿宋" w:hAnsi="仿宋" w:eastAsia="仿宋" w:cs="仿宋"/>
          <w:color w:val="auto"/>
          <w:sz w:val="32"/>
          <w:szCs w:val="32"/>
          <w:highlight w:val="none"/>
          <w:lang w:val="zh-CN"/>
        </w:rPr>
        <w:t>；协调危化专家为应急救援提供技术支持；联系调度应急救援力量、救援物资；及时向上级报告事故救援进展情况；组织指导灾情核查、损失评估、灾害救助工作。负责区指挥部办公室</w:t>
      </w:r>
      <w:r>
        <w:rPr>
          <w:rFonts w:hint="eastAsia" w:ascii="仿宋" w:hAnsi="仿宋" w:eastAsia="仿宋" w:cs="仿宋"/>
          <w:color w:val="auto"/>
          <w:sz w:val="32"/>
          <w:szCs w:val="32"/>
          <w:highlight w:val="none"/>
          <w:lang w:val="en-US" w:eastAsia="zh-CN"/>
        </w:rPr>
        <w:t>相关</w:t>
      </w:r>
      <w:r>
        <w:rPr>
          <w:rFonts w:hint="eastAsia" w:ascii="仿宋" w:hAnsi="仿宋" w:eastAsia="仿宋" w:cs="仿宋"/>
          <w:color w:val="auto"/>
          <w:sz w:val="32"/>
          <w:szCs w:val="32"/>
          <w:highlight w:val="none"/>
          <w:lang w:val="zh-CN"/>
        </w:rPr>
        <w:t>工作。</w:t>
      </w:r>
    </w:p>
    <w:p w14:paraId="7A39B586">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（4）公安瑶海分局：负责事故现场及周边人员的疏散和现场警戒，保护事故现场；；对故责任人员的监控及逃逸人员的追捕；</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sz w:val="32"/>
          <w:szCs w:val="32"/>
          <w:highlight w:val="none"/>
          <w:lang w:val="zh-CN"/>
        </w:rPr>
        <w:t>事故现场剧毒、</w:t>
      </w:r>
      <w:r>
        <w:rPr>
          <w:rFonts w:hint="eastAsia" w:ascii="仿宋" w:hAnsi="仿宋" w:eastAsia="仿宋" w:cs="仿宋"/>
          <w:color w:val="auto"/>
          <w:sz w:val="32"/>
          <w:szCs w:val="32"/>
          <w:highlight w:val="none"/>
          <w:lang w:val="en-US" w:eastAsia="zh-CN"/>
        </w:rPr>
        <w:t>爆炸品、</w:t>
      </w:r>
      <w:r>
        <w:rPr>
          <w:rFonts w:hint="eastAsia" w:ascii="仿宋" w:hAnsi="仿宋" w:eastAsia="仿宋" w:cs="仿宋"/>
          <w:color w:val="auto"/>
          <w:sz w:val="32"/>
          <w:szCs w:val="32"/>
          <w:highlight w:val="none"/>
          <w:lang w:val="zh-CN"/>
        </w:rPr>
        <w:t>易制毒、易制爆等危险化学品</w:t>
      </w:r>
      <w:r>
        <w:rPr>
          <w:rFonts w:hint="eastAsia" w:ascii="仿宋" w:hAnsi="仿宋" w:eastAsia="仿宋" w:cs="仿宋"/>
          <w:color w:val="auto"/>
          <w:sz w:val="32"/>
          <w:szCs w:val="32"/>
          <w:highlight w:val="none"/>
          <w:lang w:val="en-US" w:eastAsia="zh-CN"/>
        </w:rPr>
        <w:t>提出处置建议</w:t>
      </w:r>
      <w:r>
        <w:rPr>
          <w:rFonts w:hint="eastAsia" w:ascii="仿宋" w:hAnsi="仿宋" w:eastAsia="仿宋" w:cs="仿宋"/>
          <w:color w:val="auto"/>
          <w:sz w:val="32"/>
          <w:szCs w:val="32"/>
          <w:highlight w:val="none"/>
          <w:lang w:val="zh-CN"/>
        </w:rPr>
        <w:t>；对人员撤离区域进行治安管理；确定死亡人员身份。</w:t>
      </w:r>
    </w:p>
    <w:p w14:paraId="2A971E09">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val="zh-CN"/>
        </w:rPr>
        <w:t>瑶海区消防救援局：负责</w:t>
      </w:r>
      <w:r>
        <w:rPr>
          <w:rFonts w:hint="eastAsia" w:ascii="仿宋" w:hAnsi="仿宋" w:eastAsia="仿宋" w:cs="仿宋"/>
          <w:color w:val="auto"/>
          <w:sz w:val="32"/>
          <w:szCs w:val="32"/>
          <w:highlight w:val="none"/>
          <w:lang w:val="en-US" w:eastAsia="zh-CN"/>
        </w:rPr>
        <w:t>危险化学品火灾、爆炸等事故的处置</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救援受伤和被困人员；采取措施对</w:t>
      </w:r>
      <w:r>
        <w:rPr>
          <w:rFonts w:hint="eastAsia" w:ascii="仿宋" w:hAnsi="仿宋" w:eastAsia="仿宋" w:cs="仿宋"/>
          <w:color w:val="auto"/>
          <w:sz w:val="32"/>
          <w:szCs w:val="32"/>
          <w:highlight w:val="none"/>
          <w:lang w:val="zh-CN"/>
        </w:rPr>
        <w:t>设备容器</w:t>
      </w:r>
      <w:r>
        <w:rPr>
          <w:rFonts w:hint="eastAsia" w:ascii="仿宋" w:hAnsi="仿宋" w:eastAsia="仿宋" w:cs="仿宋"/>
          <w:color w:val="auto"/>
          <w:sz w:val="32"/>
          <w:szCs w:val="32"/>
          <w:highlight w:val="none"/>
          <w:lang w:val="en-US" w:eastAsia="zh-CN"/>
        </w:rPr>
        <w:t>进行</w:t>
      </w:r>
      <w:r>
        <w:rPr>
          <w:rFonts w:hint="eastAsia" w:ascii="仿宋" w:hAnsi="仿宋" w:eastAsia="仿宋" w:cs="仿宋"/>
          <w:color w:val="auto"/>
          <w:sz w:val="32"/>
          <w:szCs w:val="32"/>
          <w:highlight w:val="none"/>
          <w:lang w:val="zh-CN"/>
        </w:rPr>
        <w:t>冷却，控制</w:t>
      </w:r>
      <w:r>
        <w:rPr>
          <w:rFonts w:hint="eastAsia" w:ascii="仿宋" w:hAnsi="仿宋" w:eastAsia="仿宋" w:cs="仿宋"/>
          <w:color w:val="auto"/>
          <w:sz w:val="32"/>
          <w:szCs w:val="32"/>
          <w:highlight w:val="none"/>
          <w:lang w:val="en-US" w:eastAsia="zh-CN"/>
        </w:rPr>
        <w:t>危险化学品</w:t>
      </w:r>
      <w:r>
        <w:rPr>
          <w:rFonts w:hint="eastAsia" w:ascii="仿宋" w:hAnsi="仿宋" w:eastAsia="仿宋" w:cs="仿宋"/>
          <w:color w:val="auto"/>
          <w:sz w:val="32"/>
          <w:szCs w:val="32"/>
          <w:highlight w:val="none"/>
          <w:lang w:val="zh-CN"/>
        </w:rPr>
        <w:t>泄漏</w:t>
      </w:r>
      <w:r>
        <w:rPr>
          <w:rFonts w:hint="eastAsia" w:ascii="仿宋" w:hAnsi="仿宋" w:eastAsia="仿宋" w:cs="仿宋"/>
          <w:color w:val="auto"/>
          <w:sz w:val="32"/>
          <w:szCs w:val="32"/>
          <w:highlight w:val="none"/>
          <w:lang w:val="en-US" w:eastAsia="zh-CN"/>
        </w:rPr>
        <w:t>扩大，减小影响范围</w:t>
      </w:r>
      <w:r>
        <w:rPr>
          <w:rFonts w:hint="eastAsia" w:ascii="仿宋" w:hAnsi="仿宋" w:eastAsia="仿宋" w:cs="仿宋"/>
          <w:color w:val="auto"/>
          <w:sz w:val="32"/>
          <w:szCs w:val="32"/>
          <w:highlight w:val="none"/>
          <w:lang w:val="zh-CN"/>
        </w:rPr>
        <w:t>；负责事故现场洗消。</w:t>
      </w:r>
    </w:p>
    <w:p w14:paraId="624BDD42">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val="zh-CN"/>
        </w:rPr>
        <w:t>）交警瑶海大队：负责事故影响区域范围内的道路交通管制；</w:t>
      </w:r>
      <w:r>
        <w:rPr>
          <w:rFonts w:hint="eastAsia" w:ascii="仿宋" w:hAnsi="仿宋" w:eastAsia="仿宋" w:cs="仿宋"/>
          <w:color w:val="auto"/>
          <w:sz w:val="32"/>
          <w:szCs w:val="32"/>
          <w:highlight w:val="none"/>
          <w:lang w:val="en-US" w:eastAsia="zh-CN"/>
        </w:rPr>
        <w:t>保障</w:t>
      </w:r>
      <w:r>
        <w:rPr>
          <w:rFonts w:hint="eastAsia" w:ascii="仿宋" w:hAnsi="仿宋" w:eastAsia="仿宋" w:cs="仿宋"/>
          <w:color w:val="auto"/>
          <w:sz w:val="32"/>
          <w:szCs w:val="32"/>
          <w:highlight w:val="none"/>
          <w:lang w:val="zh-CN"/>
        </w:rPr>
        <w:t>抢险物资运输</w:t>
      </w:r>
      <w:r>
        <w:rPr>
          <w:rFonts w:hint="eastAsia" w:ascii="仿宋" w:hAnsi="仿宋" w:eastAsia="仿宋" w:cs="仿宋"/>
          <w:color w:val="auto"/>
          <w:sz w:val="32"/>
          <w:szCs w:val="32"/>
          <w:highlight w:val="none"/>
          <w:lang w:val="en-US" w:eastAsia="zh-CN"/>
        </w:rPr>
        <w:t>通道畅通</w:t>
      </w:r>
      <w:r>
        <w:rPr>
          <w:rFonts w:hint="eastAsia" w:ascii="仿宋" w:hAnsi="仿宋" w:eastAsia="仿宋" w:cs="仿宋"/>
          <w:color w:val="auto"/>
          <w:sz w:val="32"/>
          <w:szCs w:val="32"/>
          <w:highlight w:val="none"/>
          <w:lang w:val="zh-CN"/>
        </w:rPr>
        <w:t>。</w:t>
      </w:r>
    </w:p>
    <w:p w14:paraId="209DAFF3">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7）区生态环境分局：负责事故周边环境监测，对可能存在较长时间环境影响的区域发出警告，提交监测数据；对事故救援过程中可能导致的大气、水源、土壤等次生污染事故提出处置措施并监督实施；监督处置单位消除现场遗留危险物质</w:t>
      </w:r>
      <w:r>
        <w:rPr>
          <w:rFonts w:hint="eastAsia" w:ascii="仿宋" w:hAnsi="仿宋" w:eastAsia="仿宋" w:cs="仿宋"/>
          <w:color w:val="auto"/>
          <w:sz w:val="32"/>
          <w:szCs w:val="32"/>
          <w:highlight w:val="none"/>
          <w:lang w:val="en-US" w:eastAsia="zh-CN"/>
        </w:rPr>
        <w:t>并消除对</w:t>
      </w:r>
      <w:r>
        <w:rPr>
          <w:rFonts w:hint="eastAsia" w:ascii="仿宋" w:hAnsi="仿宋" w:eastAsia="仿宋" w:cs="仿宋"/>
          <w:color w:val="auto"/>
          <w:sz w:val="32"/>
          <w:szCs w:val="32"/>
          <w:highlight w:val="none"/>
          <w:lang w:val="zh-CN"/>
        </w:rPr>
        <w:t>环境的污染。</w:t>
      </w:r>
    </w:p>
    <w:p w14:paraId="70FF280E">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（8）区卫健委：负责组织医疗专家、医疗救援队伍</w:t>
      </w:r>
      <w:r>
        <w:rPr>
          <w:rFonts w:hint="eastAsia" w:ascii="仿宋" w:hAnsi="仿宋" w:eastAsia="仿宋" w:cs="仿宋"/>
          <w:color w:val="auto"/>
          <w:sz w:val="32"/>
          <w:szCs w:val="32"/>
          <w:highlight w:val="none"/>
          <w:lang w:val="en-US" w:eastAsia="zh-CN"/>
        </w:rPr>
        <w:t>赶赴</w:t>
      </w:r>
      <w:r>
        <w:rPr>
          <w:rFonts w:hint="eastAsia" w:ascii="仿宋" w:hAnsi="仿宋" w:eastAsia="仿宋" w:cs="仿宋"/>
          <w:color w:val="auto"/>
          <w:sz w:val="32"/>
          <w:szCs w:val="32"/>
          <w:highlight w:val="none"/>
          <w:lang w:val="zh-CN"/>
        </w:rPr>
        <w:t>现场</w:t>
      </w:r>
      <w:r>
        <w:rPr>
          <w:rFonts w:hint="eastAsia" w:ascii="仿宋" w:hAnsi="仿宋" w:eastAsia="仿宋" w:cs="仿宋"/>
          <w:color w:val="auto"/>
          <w:sz w:val="32"/>
          <w:szCs w:val="32"/>
          <w:highlight w:val="none"/>
          <w:lang w:val="en-US" w:eastAsia="zh-CN"/>
        </w:rPr>
        <w:t>对伤员进行</w:t>
      </w:r>
      <w:r>
        <w:rPr>
          <w:rFonts w:hint="eastAsia" w:ascii="仿宋" w:hAnsi="仿宋" w:eastAsia="仿宋" w:cs="仿宋"/>
          <w:color w:val="auto"/>
          <w:sz w:val="32"/>
          <w:szCs w:val="32"/>
          <w:highlight w:val="none"/>
          <w:lang w:val="zh-CN"/>
        </w:rPr>
        <w:t>医疗救治</w:t>
      </w:r>
      <w:r>
        <w:rPr>
          <w:rFonts w:hint="eastAsia" w:ascii="仿宋" w:hAnsi="仿宋" w:eastAsia="仿宋" w:cs="仿宋"/>
          <w:color w:val="auto"/>
          <w:sz w:val="32"/>
          <w:szCs w:val="32"/>
          <w:highlight w:val="none"/>
          <w:lang w:val="en-US" w:eastAsia="zh-CN"/>
        </w:rPr>
        <w:t>或将伤员</w:t>
      </w:r>
      <w:r>
        <w:rPr>
          <w:rFonts w:hint="eastAsia" w:ascii="仿宋" w:hAnsi="仿宋" w:eastAsia="仿宋" w:cs="仿宋"/>
          <w:color w:val="auto"/>
          <w:sz w:val="32"/>
          <w:szCs w:val="32"/>
          <w:highlight w:val="none"/>
          <w:lang w:val="zh-CN"/>
        </w:rPr>
        <w:t>转送救治；</w:t>
      </w:r>
      <w:r>
        <w:rPr>
          <w:rFonts w:hint="eastAsia" w:ascii="仿宋" w:hAnsi="仿宋" w:eastAsia="仿宋" w:cs="仿宋"/>
          <w:color w:val="auto"/>
          <w:sz w:val="32"/>
          <w:szCs w:val="32"/>
          <w:highlight w:val="none"/>
          <w:lang w:val="en-US" w:eastAsia="zh-CN"/>
        </w:rPr>
        <w:t>为危险化学品导致的人员中毒、化学灼伤等提供处置建议</w:t>
      </w:r>
      <w:r>
        <w:rPr>
          <w:rFonts w:hint="eastAsia" w:ascii="仿宋" w:hAnsi="仿宋" w:eastAsia="仿宋" w:cs="仿宋"/>
          <w:color w:val="auto"/>
          <w:sz w:val="32"/>
          <w:szCs w:val="32"/>
          <w:highlight w:val="none"/>
          <w:lang w:val="zh-CN"/>
        </w:rPr>
        <w:t>。</w:t>
      </w:r>
    </w:p>
    <w:p w14:paraId="510F8483">
      <w:pPr>
        <w:shd w:val="clear"/>
        <w:spacing w:after="0" w:line="500" w:lineRule="exact"/>
        <w:ind w:firstLine="64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val="zh-CN"/>
        </w:rPr>
        <w:t>区住房和城乡建设局</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en-US" w:eastAsia="zh-CN"/>
        </w:rPr>
        <w:t>负责危险化学品事故救援涉及建筑物方面提出处置建议；组织开展危化品事故导致建筑物损坏程度的鉴定。</w:t>
      </w:r>
    </w:p>
    <w:p w14:paraId="2B6D51BF">
      <w:pPr>
        <w:shd w:val="clear"/>
        <w:spacing w:after="0" w:line="500" w:lineRule="exact"/>
        <w:ind w:firstLine="64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val="zh-CN"/>
        </w:rPr>
        <w:t>区园林绿化管理中心：</w:t>
      </w:r>
      <w:r>
        <w:rPr>
          <w:rFonts w:hint="eastAsia" w:ascii="仿宋" w:hAnsi="仿宋" w:eastAsia="仿宋" w:cs="仿宋"/>
          <w:color w:val="auto"/>
          <w:sz w:val="32"/>
          <w:szCs w:val="32"/>
          <w:highlight w:val="none"/>
          <w:lang w:val="en-US" w:eastAsia="zh-CN"/>
        </w:rPr>
        <w:t>负责危险化学品事故涉及城镇燃气的处置建议；组织和指导开展园林绿化损坏的种植修复。</w:t>
      </w:r>
    </w:p>
    <w:p w14:paraId="0B738149">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lang w:val="zh-CN"/>
        </w:rPr>
        <w:t>）区市监局：负责组织事故现场压力容器以及其他特种设备检测和认定，提出救援处置措施；</w:t>
      </w:r>
      <w:r>
        <w:rPr>
          <w:rFonts w:hint="eastAsia" w:ascii="仿宋" w:hAnsi="仿宋" w:eastAsia="仿宋" w:cs="仿宋"/>
          <w:color w:val="auto"/>
          <w:sz w:val="32"/>
          <w:szCs w:val="32"/>
          <w:highlight w:val="none"/>
          <w:lang w:val="en-US" w:eastAsia="zh-CN"/>
        </w:rPr>
        <w:t>参与事故调查，为事故中涉及的特种设备责任提供处理建议</w:t>
      </w:r>
      <w:r>
        <w:rPr>
          <w:rFonts w:hint="eastAsia" w:ascii="仿宋" w:hAnsi="仿宋" w:eastAsia="仿宋" w:cs="仿宋"/>
          <w:color w:val="auto"/>
          <w:sz w:val="32"/>
          <w:szCs w:val="32"/>
          <w:highlight w:val="none"/>
          <w:lang w:val="zh-CN"/>
        </w:rPr>
        <w:t>。</w:t>
      </w:r>
    </w:p>
    <w:p w14:paraId="45D76FCB">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lang w:val="zh-CN"/>
        </w:rPr>
        <w:t>）区民政局：负责协调相关应急救援物资调拨；协助做好</w:t>
      </w:r>
      <w:r>
        <w:rPr>
          <w:rFonts w:hint="eastAsia" w:ascii="仿宋" w:hAnsi="仿宋" w:eastAsia="仿宋" w:cs="仿宋"/>
          <w:color w:val="auto"/>
          <w:sz w:val="32"/>
          <w:szCs w:val="32"/>
          <w:highlight w:val="none"/>
          <w:lang w:val="en-US" w:eastAsia="zh-CN"/>
        </w:rPr>
        <w:t>事故疏散人员和救援人员的住宿、饮食等后勤保障工作</w:t>
      </w:r>
      <w:r>
        <w:rPr>
          <w:rFonts w:hint="eastAsia" w:ascii="仿宋" w:hAnsi="仿宋" w:eastAsia="仿宋" w:cs="仿宋"/>
          <w:color w:val="auto"/>
          <w:sz w:val="32"/>
          <w:szCs w:val="32"/>
          <w:highlight w:val="none"/>
          <w:lang w:val="zh-CN"/>
        </w:rPr>
        <w:t>。</w:t>
      </w:r>
    </w:p>
    <w:p w14:paraId="3BDDB2E9">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zh-CN"/>
        </w:rPr>
        <w:t>）区人社局：负责事故单位及参与抢险的伤亡人员工伤认定有关工作。</w:t>
      </w:r>
    </w:p>
    <w:p w14:paraId="5FD5A7FD">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zh-CN"/>
        </w:rPr>
        <w:t>）区财政局：负责危险化学品生产安全事故应急资金的预算、管理，依法保障应急救援工作所需经费。</w:t>
      </w:r>
    </w:p>
    <w:p w14:paraId="5747667E">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（15）区城市管理局：负责瑶海区城区内发生危险化学品事故应急救援结束后的市容市貌恢复，为应急处置提供建议。</w:t>
      </w:r>
    </w:p>
    <w:p w14:paraId="354D3202">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（16）农林水务局（瑶海区乡村振兴局）：负责瑶海区危险化学品事故造成的水、林田及农产品污染提供处置建议，核定事故造成的农业损失。</w:t>
      </w:r>
    </w:p>
    <w:p w14:paraId="294A55DC">
      <w:pPr>
        <w:shd w:val="clear"/>
        <w:spacing w:after="0" w:line="500" w:lineRule="exact"/>
        <w:ind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（17）医疗保障局：保障事故伤员和抢险救援人员充分享受医疗救助、保险理赔等相关政策，做好政策宣传。</w:t>
      </w:r>
    </w:p>
    <w:p w14:paraId="100598F7">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val="zh-CN"/>
        </w:rPr>
        <w:t>）事发地镇政府、街道办事处（</w:t>
      </w:r>
      <w:r>
        <w:rPr>
          <w:rFonts w:hint="eastAsia" w:ascii="仿宋" w:hAnsi="仿宋" w:eastAsia="仿宋" w:cs="仿宋"/>
          <w:color w:val="auto"/>
          <w:sz w:val="32"/>
          <w:szCs w:val="32"/>
          <w:highlight w:val="none"/>
          <w:lang w:val="en-US" w:eastAsia="zh-CN"/>
        </w:rPr>
        <w:t>筹备组）</w:t>
      </w:r>
      <w:r>
        <w:rPr>
          <w:rFonts w:hint="eastAsia" w:ascii="仿宋" w:hAnsi="仿宋" w:eastAsia="仿宋" w:cs="仿宋"/>
          <w:color w:val="auto"/>
          <w:sz w:val="32"/>
          <w:szCs w:val="32"/>
          <w:highlight w:val="none"/>
          <w:lang w:val="zh-CN"/>
        </w:rPr>
        <w:t>：配合区有关部门做好危险化学品生产安全事故抢险、人员疏散安置、物资保障供应、善后处理等相关工作；制定危险化学品</w:t>
      </w:r>
      <w:r>
        <w:rPr>
          <w:rFonts w:hint="eastAsia" w:ascii="仿宋" w:hAnsi="仿宋" w:eastAsia="仿宋" w:cs="仿宋"/>
          <w:color w:val="auto"/>
          <w:sz w:val="32"/>
          <w:szCs w:val="32"/>
          <w:highlight w:val="none"/>
          <w:lang w:val="en-US" w:eastAsia="zh-CN"/>
        </w:rPr>
        <w:t>事故</w:t>
      </w:r>
      <w:r>
        <w:rPr>
          <w:rFonts w:hint="eastAsia" w:ascii="仿宋" w:hAnsi="仿宋" w:eastAsia="仿宋" w:cs="仿宋"/>
          <w:color w:val="auto"/>
          <w:sz w:val="32"/>
          <w:szCs w:val="32"/>
          <w:highlight w:val="none"/>
          <w:lang w:val="zh-CN"/>
        </w:rPr>
        <w:t>应急预案，</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highlight w:val="none"/>
          <w:lang w:val="zh-CN"/>
        </w:rPr>
        <w:t>应急演练；</w:t>
      </w:r>
      <w:r>
        <w:rPr>
          <w:rFonts w:hint="eastAsia" w:ascii="仿宋" w:hAnsi="仿宋" w:eastAsia="仿宋" w:cs="仿宋"/>
          <w:color w:val="auto"/>
          <w:sz w:val="32"/>
          <w:szCs w:val="32"/>
          <w:highlight w:val="none"/>
          <w:lang w:val="en-US" w:eastAsia="zh-CN"/>
        </w:rPr>
        <w:t>配合</w:t>
      </w:r>
      <w:r>
        <w:rPr>
          <w:rFonts w:hint="eastAsia" w:ascii="仿宋" w:hAnsi="仿宋" w:eastAsia="仿宋" w:cs="仿宋"/>
          <w:color w:val="auto"/>
          <w:sz w:val="32"/>
          <w:szCs w:val="32"/>
          <w:highlight w:val="none"/>
          <w:lang w:val="zh-CN"/>
        </w:rPr>
        <w:t>开展事故调查处理。</w:t>
      </w:r>
    </w:p>
    <w:p w14:paraId="52E972B1">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事故涉及非成员单位时，相关单位</w:t>
      </w:r>
      <w:r>
        <w:rPr>
          <w:rFonts w:hint="eastAsia" w:ascii="仿宋" w:hAnsi="仿宋" w:eastAsia="仿宋" w:cs="仿宋"/>
          <w:color w:val="auto"/>
          <w:sz w:val="32"/>
          <w:szCs w:val="32"/>
          <w:highlight w:val="none"/>
          <w:lang w:val="zh-CN"/>
        </w:rPr>
        <w:t>应结合自身工作职责，服从区指挥部的指挥，</w:t>
      </w:r>
      <w:r>
        <w:rPr>
          <w:rFonts w:hint="eastAsia" w:ascii="仿宋" w:hAnsi="仿宋" w:eastAsia="仿宋" w:cs="仿宋"/>
          <w:color w:val="auto"/>
          <w:sz w:val="32"/>
          <w:szCs w:val="32"/>
          <w:highlight w:val="none"/>
          <w:lang w:val="en-US" w:eastAsia="zh-CN"/>
        </w:rPr>
        <w:t>参与</w:t>
      </w:r>
      <w:r>
        <w:rPr>
          <w:rFonts w:hint="eastAsia" w:ascii="仿宋" w:hAnsi="仿宋" w:eastAsia="仿宋" w:cs="仿宋"/>
          <w:color w:val="auto"/>
          <w:sz w:val="32"/>
          <w:szCs w:val="32"/>
          <w:highlight w:val="none"/>
          <w:lang w:val="zh-CN"/>
        </w:rPr>
        <w:t>应急救援工作。</w:t>
      </w:r>
    </w:p>
    <w:p w14:paraId="2A83BF47">
      <w:pPr>
        <w:shd w:val="clear"/>
        <w:spacing w:after="0" w:line="500" w:lineRule="exact"/>
        <w:ind w:firstLine="643"/>
        <w:jc w:val="both"/>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2.1.</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应急救援专家组职责</w:t>
      </w:r>
    </w:p>
    <w:p w14:paraId="0C17DD17">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接受区指挥部领导，科学研判事故危害发展趋势，分析事故原因，提出应急救援措施和建议；为指挥部决策提供依据和方案。</w:t>
      </w:r>
    </w:p>
    <w:p w14:paraId="39089B00">
      <w:pPr>
        <w:shd w:val="clear"/>
        <w:spacing w:after="0" w:line="500" w:lineRule="exact"/>
        <w:ind w:firstLine="643"/>
        <w:jc w:val="both"/>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2.1.5应急救援队伍职责</w:t>
      </w:r>
    </w:p>
    <w:p w14:paraId="72F86E04">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按照区指挥部的指挥、调度，快速出动、抢险救援。</w:t>
      </w:r>
    </w:p>
    <w:p w14:paraId="6FAF35E2">
      <w:pPr>
        <w:pStyle w:val="3"/>
        <w:shd w:val="clear"/>
        <w:spacing w:line="500" w:lineRule="exact"/>
        <w:ind w:firstLine="643"/>
        <w:rPr>
          <w:rFonts w:hint="eastAsia" w:ascii="仿宋" w:hAnsi="仿宋" w:eastAsia="仿宋" w:cs="仿宋"/>
          <w:color w:val="auto"/>
          <w:highlight w:val="none"/>
        </w:rPr>
      </w:pPr>
      <w:bookmarkStart w:id="28" w:name="_Toc19767"/>
      <w:bookmarkStart w:id="29" w:name="_Toc31627"/>
      <w:bookmarkStart w:id="30" w:name="_Toc6644"/>
      <w:r>
        <w:rPr>
          <w:rFonts w:hint="eastAsia" w:ascii="仿宋" w:hAnsi="仿宋" w:eastAsia="仿宋" w:cs="仿宋"/>
          <w:color w:val="auto"/>
          <w:highlight w:val="none"/>
        </w:rPr>
        <w:t>2.2现场指挥部</w:t>
      </w:r>
      <w:bookmarkEnd w:id="28"/>
      <w:bookmarkEnd w:id="29"/>
      <w:bookmarkEnd w:id="30"/>
    </w:p>
    <w:p w14:paraId="7A6034FA">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根据需要由区指挥部成立现场指挥部，实行现场指挥长负责制。现场指挥长由区指挥部指挥长或</w:t>
      </w:r>
      <w:r>
        <w:rPr>
          <w:rFonts w:hint="eastAsia" w:ascii="仿宋" w:hAnsi="仿宋" w:eastAsia="仿宋" w:cs="仿宋"/>
          <w:color w:val="auto"/>
          <w:sz w:val="32"/>
          <w:szCs w:val="32"/>
          <w:highlight w:val="none"/>
          <w:lang w:val="en-US" w:eastAsia="zh-CN"/>
        </w:rPr>
        <w:t>其任命的</w:t>
      </w:r>
      <w:r>
        <w:rPr>
          <w:rFonts w:hint="eastAsia" w:ascii="仿宋" w:hAnsi="仿宋" w:eastAsia="仿宋" w:cs="仿宋"/>
          <w:color w:val="auto"/>
          <w:sz w:val="32"/>
          <w:szCs w:val="32"/>
          <w:highlight w:val="none"/>
          <w:lang w:val="zh-CN"/>
        </w:rPr>
        <w:t>副指挥长担任。</w:t>
      </w:r>
    </w:p>
    <w:p w14:paraId="198CA89B">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现场指挥长在应急结束前</w:t>
      </w:r>
      <w:r>
        <w:rPr>
          <w:rFonts w:hint="eastAsia" w:ascii="仿宋" w:hAnsi="仿宋" w:eastAsia="仿宋" w:cs="仿宋"/>
          <w:color w:val="auto"/>
          <w:sz w:val="32"/>
          <w:szCs w:val="32"/>
          <w:highlight w:val="none"/>
          <w:lang w:val="en-US" w:eastAsia="zh-CN"/>
        </w:rPr>
        <w:t>需要</w:t>
      </w:r>
      <w:r>
        <w:rPr>
          <w:rFonts w:hint="eastAsia" w:ascii="仿宋" w:hAnsi="仿宋" w:eastAsia="仿宋" w:cs="仿宋"/>
          <w:color w:val="auto"/>
          <w:sz w:val="32"/>
          <w:szCs w:val="32"/>
          <w:highlight w:val="none"/>
          <w:lang w:val="zh-CN"/>
        </w:rPr>
        <w:t>离开现场的，应</w:t>
      </w:r>
      <w:r>
        <w:rPr>
          <w:rFonts w:hint="eastAsia" w:ascii="仿宋" w:hAnsi="仿宋" w:eastAsia="仿宋" w:cs="仿宋"/>
          <w:color w:val="auto"/>
          <w:sz w:val="32"/>
          <w:szCs w:val="32"/>
          <w:highlight w:val="none"/>
          <w:lang w:val="en-US" w:eastAsia="zh-CN"/>
        </w:rPr>
        <w:t>指定</w:t>
      </w:r>
      <w:r>
        <w:rPr>
          <w:rFonts w:hint="eastAsia" w:ascii="仿宋" w:hAnsi="仿宋" w:eastAsia="仿宋" w:cs="仿宋"/>
          <w:color w:val="auto"/>
          <w:sz w:val="32"/>
          <w:szCs w:val="32"/>
          <w:highlight w:val="none"/>
          <w:lang w:val="zh-CN"/>
        </w:rPr>
        <w:t>代理人行使指挥长职责，保持现场处置工作的连续性。</w:t>
      </w:r>
    </w:p>
    <w:p w14:paraId="393CFA54">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现场指挥部的主要职责：迅速了解事故及先期处置情况，及时将现场情况向区指挥部报告；结合专家意见，研究制定处置方案，组织协调各应急工作组开展现场应急处置工作；做好善后处理工作；执行区指挥部的其他决策和命令。</w:t>
      </w:r>
    </w:p>
    <w:p w14:paraId="6437129C">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现场指挥部下设综合协调组、应急抢险组、警戒保卫组、医疗救护组、后勤保障组、善后处理组</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val="zh-CN"/>
        </w:rPr>
        <w:t>个应急行动工作组。各工作组在现场指挥部统一指挥下，按照职责分工和现场处置方案，相互配合，密切合作，共同开展应急处置工作。</w:t>
      </w:r>
    </w:p>
    <w:p w14:paraId="4791A393">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（1）综合协调组：由区应急局牵头，</w:t>
      </w:r>
      <w:r>
        <w:rPr>
          <w:rFonts w:hint="eastAsia" w:ascii="仿宋" w:hAnsi="仿宋" w:eastAsia="仿宋" w:cs="仿宋"/>
          <w:color w:val="auto"/>
          <w:sz w:val="32"/>
          <w:szCs w:val="32"/>
          <w:highlight w:val="none"/>
          <w:lang w:val="en-US" w:eastAsia="zh-CN"/>
        </w:rPr>
        <w:t>区政府办、区委宣传部为成员，</w:t>
      </w:r>
      <w:r>
        <w:rPr>
          <w:rFonts w:hint="eastAsia" w:ascii="仿宋" w:hAnsi="仿宋" w:eastAsia="仿宋" w:cs="仿宋"/>
          <w:color w:val="auto"/>
          <w:sz w:val="32"/>
          <w:szCs w:val="32"/>
          <w:highlight w:val="none"/>
          <w:lang w:val="zh-CN"/>
        </w:rPr>
        <w:t>抽调有关部门工作人员组成。负责现场各项工作协调，信息收集、汇总、上报、调度等工作。</w:t>
      </w:r>
    </w:p>
    <w:p w14:paraId="2E6FF014">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（2）应急抢险组：由瑶海区消防救援局牵头，</w:t>
      </w:r>
      <w:r>
        <w:rPr>
          <w:rFonts w:hint="eastAsia" w:ascii="仿宋" w:hAnsi="仿宋" w:eastAsia="仿宋" w:cs="仿宋"/>
          <w:color w:val="auto"/>
          <w:sz w:val="32"/>
          <w:szCs w:val="32"/>
          <w:highlight w:val="none"/>
          <w:lang w:val="en-US" w:eastAsia="zh-CN"/>
        </w:rPr>
        <w:t>区危化品</w:t>
      </w:r>
      <w:r>
        <w:rPr>
          <w:rFonts w:hint="eastAsia" w:ascii="仿宋" w:hAnsi="仿宋" w:eastAsia="仿宋" w:cs="仿宋"/>
          <w:color w:val="auto"/>
          <w:sz w:val="32"/>
          <w:szCs w:val="32"/>
          <w:highlight w:val="none"/>
          <w:lang w:val="zh-CN"/>
        </w:rPr>
        <w:t>应急救援队伍（</w:t>
      </w:r>
      <w:r>
        <w:rPr>
          <w:rFonts w:hint="eastAsia" w:ascii="仿宋" w:hAnsi="仿宋" w:eastAsia="仿宋" w:cs="仿宋"/>
          <w:color w:val="auto"/>
          <w:sz w:val="32"/>
          <w:szCs w:val="32"/>
          <w:highlight w:val="none"/>
          <w:lang w:val="en-US" w:eastAsia="zh-CN"/>
        </w:rPr>
        <w:t>队伍情况见附件8.4）为成员</w:t>
      </w:r>
      <w:r>
        <w:rPr>
          <w:rFonts w:hint="eastAsia" w:ascii="仿宋" w:hAnsi="仿宋" w:eastAsia="仿宋" w:cs="仿宋"/>
          <w:color w:val="auto"/>
          <w:sz w:val="32"/>
          <w:szCs w:val="32"/>
          <w:highlight w:val="none"/>
          <w:lang w:val="zh-CN"/>
        </w:rPr>
        <w:t>，负责组织开展抢险救援，保护事故现场情况，险情消除后指导事故单位对现场进行清理。</w:t>
      </w:r>
    </w:p>
    <w:p w14:paraId="3965A7A5">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（3）警戒保卫组：由公安瑶海分局牵头，交警瑶海大队、区生态环境分局</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val="zh-CN"/>
        </w:rPr>
        <w:t>成员，负责实施现场治安警戒、人员疏散转移、秩序维护，对现场环境进行监测，保护事故现场，实行交通管制、控制事故责任人员等。</w:t>
      </w:r>
    </w:p>
    <w:p w14:paraId="71BD3AAD">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（4）医疗救护组：由区卫健委牵头，</w:t>
      </w:r>
      <w:r>
        <w:rPr>
          <w:rFonts w:hint="eastAsia" w:ascii="仿宋" w:hAnsi="仿宋" w:eastAsia="仿宋" w:cs="仿宋"/>
          <w:color w:val="auto"/>
          <w:sz w:val="32"/>
          <w:szCs w:val="32"/>
          <w:highlight w:val="none"/>
          <w:lang w:val="en-US" w:eastAsia="zh-CN"/>
        </w:rPr>
        <w:t>医疗保障局，</w:t>
      </w:r>
      <w:r>
        <w:rPr>
          <w:rFonts w:hint="eastAsia" w:ascii="仿宋" w:hAnsi="仿宋" w:eastAsia="仿宋" w:cs="仿宋"/>
          <w:color w:val="auto"/>
          <w:sz w:val="32"/>
          <w:szCs w:val="32"/>
          <w:highlight w:val="none"/>
          <w:lang w:val="zh-CN"/>
        </w:rPr>
        <w:t>事发地镇政府、街道办事处（</w:t>
      </w:r>
      <w:r>
        <w:rPr>
          <w:rFonts w:hint="eastAsia" w:ascii="仿宋" w:hAnsi="仿宋" w:eastAsia="仿宋" w:cs="仿宋"/>
          <w:color w:val="auto"/>
          <w:sz w:val="32"/>
          <w:szCs w:val="32"/>
          <w:highlight w:val="none"/>
          <w:lang w:val="en-US" w:eastAsia="zh-CN"/>
        </w:rPr>
        <w:t>筹备组）为成员</w:t>
      </w:r>
      <w:r>
        <w:rPr>
          <w:rFonts w:hint="eastAsia" w:ascii="仿宋" w:hAnsi="仿宋" w:eastAsia="仿宋" w:cs="仿宋"/>
          <w:color w:val="auto"/>
          <w:sz w:val="32"/>
          <w:szCs w:val="32"/>
          <w:highlight w:val="none"/>
          <w:lang w:val="zh-CN"/>
        </w:rPr>
        <w:t>，负责调配医务人员、救护车辆、药品器材，对受伤人员实施抢救治疗，及时转移事故伤亡人员等。</w:t>
      </w:r>
    </w:p>
    <w:p w14:paraId="24EB35FF">
      <w:pPr>
        <w:keepNext w:val="0"/>
        <w:keepLines w:val="0"/>
        <w:pageBreakBefore w:val="0"/>
        <w:widowControl/>
        <w:shd w:val="clear"/>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rPr>
        <w:t>（5）后勤保障组：由区民政局牵头，区住房和城乡建设局</w:t>
      </w:r>
      <w:r>
        <w:rPr>
          <w:rFonts w:hint="eastAsia" w:ascii="仿宋" w:hAnsi="仿宋" w:eastAsia="仿宋" w:cs="仿宋"/>
          <w:color w:val="auto"/>
          <w:sz w:val="32"/>
          <w:szCs w:val="32"/>
          <w:highlight w:val="none"/>
          <w:lang w:val="zh-CN" w:eastAsia="zh-CN"/>
        </w:rPr>
        <w:t>、</w:t>
      </w:r>
    </w:p>
    <w:p w14:paraId="34280155">
      <w:pPr>
        <w:keepNext w:val="0"/>
        <w:keepLines w:val="0"/>
        <w:pageBreakBefore w:val="0"/>
        <w:widowControl/>
        <w:shd w:val="clear"/>
        <w:kinsoku/>
        <w:wordWrap/>
        <w:overflowPunct/>
        <w:topLinePunct w:val="0"/>
        <w:autoSpaceDE/>
        <w:autoSpaceDN/>
        <w:bidi w:val="0"/>
        <w:adjustRightInd w:val="0"/>
        <w:snapToGrid w:val="0"/>
        <w:spacing w:after="0" w:line="500" w:lineRule="exact"/>
        <w:ind w:left="0" w:leftChars="0" w:firstLine="0" w:firstLineChars="0"/>
        <w:jc w:val="both"/>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区园林绿化管理中心、</w:t>
      </w:r>
      <w:r>
        <w:rPr>
          <w:rFonts w:hint="eastAsia" w:ascii="仿宋" w:hAnsi="仿宋" w:eastAsia="仿宋" w:cs="仿宋"/>
          <w:color w:val="auto"/>
          <w:sz w:val="32"/>
          <w:szCs w:val="32"/>
          <w:highlight w:val="none"/>
          <w:lang w:val="en-US" w:eastAsia="zh-CN"/>
        </w:rPr>
        <w:t>区人社局、区财政局、</w:t>
      </w:r>
      <w:r>
        <w:rPr>
          <w:rFonts w:hint="eastAsia" w:ascii="仿宋" w:hAnsi="仿宋" w:eastAsia="仿宋" w:cs="仿宋"/>
          <w:color w:val="auto"/>
          <w:sz w:val="32"/>
          <w:szCs w:val="32"/>
          <w:highlight w:val="none"/>
          <w:lang w:val="zh-CN"/>
        </w:rPr>
        <w:t>事发地镇政府、街道办事处（</w:t>
      </w:r>
      <w:r>
        <w:rPr>
          <w:rFonts w:hint="eastAsia" w:ascii="仿宋" w:hAnsi="仿宋" w:eastAsia="仿宋" w:cs="仿宋"/>
          <w:color w:val="auto"/>
          <w:sz w:val="32"/>
          <w:szCs w:val="32"/>
          <w:highlight w:val="none"/>
          <w:lang w:val="en-US" w:eastAsia="zh-CN"/>
        </w:rPr>
        <w:t>筹备组）为成员</w:t>
      </w:r>
      <w:r>
        <w:rPr>
          <w:rFonts w:hint="eastAsia" w:ascii="仿宋" w:hAnsi="仿宋" w:eastAsia="仿宋" w:cs="仿宋"/>
          <w:color w:val="auto"/>
          <w:sz w:val="32"/>
          <w:szCs w:val="32"/>
          <w:highlight w:val="none"/>
          <w:lang w:val="zh-CN"/>
        </w:rPr>
        <w:t>，负责抢险物资装备供应，</w:t>
      </w:r>
      <w:r>
        <w:rPr>
          <w:rFonts w:hint="eastAsia" w:ascii="仿宋" w:hAnsi="仿宋" w:eastAsia="仿宋" w:cs="仿宋"/>
          <w:color w:val="auto"/>
          <w:sz w:val="32"/>
          <w:szCs w:val="32"/>
          <w:highlight w:val="none"/>
          <w:lang w:val="en-US" w:eastAsia="zh-CN"/>
        </w:rPr>
        <w:t>事故</w:t>
      </w:r>
      <w:r>
        <w:rPr>
          <w:rFonts w:hint="eastAsia" w:ascii="仿宋" w:hAnsi="仿宋" w:eastAsia="仿宋" w:cs="仿宋"/>
          <w:color w:val="auto"/>
          <w:sz w:val="32"/>
          <w:szCs w:val="32"/>
          <w:highlight w:val="none"/>
          <w:lang w:val="zh-CN"/>
        </w:rPr>
        <w:t>伤员</w:t>
      </w:r>
      <w:r>
        <w:rPr>
          <w:rFonts w:hint="eastAsia" w:ascii="仿宋" w:hAnsi="仿宋" w:eastAsia="仿宋" w:cs="仿宋"/>
          <w:color w:val="auto"/>
          <w:sz w:val="32"/>
          <w:szCs w:val="32"/>
          <w:highlight w:val="none"/>
          <w:lang w:val="en-US" w:eastAsia="zh-CN"/>
        </w:rPr>
        <w:t>的心理疏导和食宿生活，死亡人员</w:t>
      </w:r>
      <w:r>
        <w:rPr>
          <w:rFonts w:hint="eastAsia" w:ascii="仿宋" w:hAnsi="仿宋" w:eastAsia="仿宋" w:cs="仿宋"/>
          <w:color w:val="auto"/>
          <w:sz w:val="32"/>
          <w:szCs w:val="32"/>
          <w:highlight w:val="none"/>
          <w:lang w:val="zh-CN"/>
        </w:rPr>
        <w:t>亲属安抚</w:t>
      </w:r>
      <w:r>
        <w:rPr>
          <w:rFonts w:hint="eastAsia" w:ascii="仿宋" w:hAnsi="仿宋" w:eastAsia="仿宋" w:cs="仿宋"/>
          <w:color w:val="auto"/>
          <w:sz w:val="32"/>
          <w:szCs w:val="32"/>
          <w:highlight w:val="none"/>
          <w:lang w:val="en-US" w:eastAsia="zh-CN"/>
        </w:rPr>
        <w:t>和生活安置</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抢险救援所需的</w:t>
      </w:r>
      <w:r>
        <w:rPr>
          <w:rFonts w:hint="eastAsia" w:ascii="仿宋" w:hAnsi="仿宋" w:eastAsia="仿宋" w:cs="仿宋"/>
          <w:color w:val="auto"/>
          <w:sz w:val="32"/>
          <w:szCs w:val="32"/>
          <w:highlight w:val="none"/>
          <w:lang w:val="zh-CN"/>
        </w:rPr>
        <w:t>通信、电力、交通、食宿等保障。</w:t>
      </w:r>
    </w:p>
    <w:p w14:paraId="2AF100C3">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（6）善后处理组：由事发地镇政府、街道办事处（</w:t>
      </w:r>
      <w:r>
        <w:rPr>
          <w:rFonts w:hint="eastAsia" w:ascii="仿宋" w:hAnsi="仿宋" w:eastAsia="仿宋" w:cs="仿宋"/>
          <w:color w:val="auto"/>
          <w:sz w:val="32"/>
          <w:szCs w:val="32"/>
          <w:highlight w:val="none"/>
          <w:lang w:val="en-US" w:eastAsia="zh-CN"/>
        </w:rPr>
        <w:t>筹备组）牵头</w:t>
      </w:r>
      <w:r>
        <w:rPr>
          <w:rFonts w:hint="eastAsia" w:ascii="仿宋" w:hAnsi="仿宋" w:eastAsia="仿宋" w:cs="仿宋"/>
          <w:color w:val="auto"/>
          <w:sz w:val="32"/>
          <w:szCs w:val="32"/>
          <w:highlight w:val="none"/>
          <w:lang w:val="zh-CN"/>
        </w:rPr>
        <w:t>，区应急局、公安瑶海分局、瑶海区消防救援局、交警瑶海大队、区生态环境分局</w:t>
      </w:r>
      <w:r>
        <w:rPr>
          <w:rFonts w:hint="eastAsia" w:ascii="仿宋" w:hAnsi="仿宋" w:eastAsia="仿宋" w:cs="仿宋"/>
          <w:color w:val="auto"/>
          <w:sz w:val="32"/>
          <w:szCs w:val="32"/>
          <w:highlight w:val="none"/>
          <w:lang w:val="en-US" w:eastAsia="zh-CN"/>
        </w:rPr>
        <w:t>为成员</w:t>
      </w:r>
      <w:r>
        <w:rPr>
          <w:rFonts w:hint="eastAsia" w:ascii="仿宋" w:hAnsi="仿宋" w:eastAsia="仿宋" w:cs="仿宋"/>
          <w:color w:val="auto"/>
          <w:sz w:val="32"/>
          <w:szCs w:val="32"/>
          <w:highlight w:val="none"/>
          <w:lang w:val="zh-CN"/>
        </w:rPr>
        <w:t>，负责事故</w:t>
      </w:r>
      <w:r>
        <w:rPr>
          <w:rFonts w:hint="eastAsia" w:ascii="仿宋" w:hAnsi="仿宋" w:eastAsia="仿宋" w:cs="仿宋"/>
          <w:color w:val="auto"/>
          <w:sz w:val="32"/>
          <w:szCs w:val="32"/>
          <w:highlight w:val="none"/>
          <w:lang w:val="en-US" w:eastAsia="zh-CN"/>
        </w:rPr>
        <w:t>损失统计</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人员伤亡、建筑物和设备损坏、环境污染等</w:t>
      </w:r>
      <w:r>
        <w:rPr>
          <w:rFonts w:hint="eastAsia" w:ascii="仿宋" w:hAnsi="仿宋" w:eastAsia="仿宋" w:cs="仿宋"/>
          <w:color w:val="auto"/>
          <w:sz w:val="32"/>
          <w:szCs w:val="32"/>
          <w:highlight w:val="none"/>
          <w:lang w:val="zh-CN"/>
        </w:rPr>
        <w:t>理赔</w:t>
      </w:r>
      <w:r>
        <w:rPr>
          <w:rFonts w:hint="eastAsia" w:ascii="仿宋" w:hAnsi="仿宋" w:eastAsia="仿宋" w:cs="仿宋"/>
          <w:color w:val="auto"/>
          <w:sz w:val="32"/>
          <w:szCs w:val="32"/>
          <w:highlight w:val="none"/>
          <w:lang w:val="en-US" w:eastAsia="zh-CN"/>
        </w:rPr>
        <w:t>或恢复</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指导事故单位消除事故影响，恢复正常生产</w:t>
      </w:r>
      <w:r>
        <w:rPr>
          <w:rFonts w:hint="eastAsia" w:ascii="仿宋" w:hAnsi="仿宋" w:eastAsia="仿宋" w:cs="仿宋"/>
          <w:color w:val="auto"/>
          <w:sz w:val="32"/>
          <w:szCs w:val="32"/>
          <w:highlight w:val="none"/>
          <w:lang w:val="zh-CN"/>
        </w:rPr>
        <w:t>。</w:t>
      </w:r>
    </w:p>
    <w:p w14:paraId="74543583">
      <w:pPr>
        <w:shd w:val="clear"/>
        <w:spacing w:after="0" w:line="500" w:lineRule="exact"/>
        <w:ind w:firstLine="640"/>
        <w:jc w:val="both"/>
        <w:rPr>
          <w:rFonts w:hint="eastAsia" w:ascii="仿宋" w:hAnsi="仿宋" w:eastAsia="仿宋" w:cs="仿宋"/>
          <w:color w:val="auto"/>
          <w:sz w:val="32"/>
          <w:szCs w:val="32"/>
          <w:highlight w:val="none"/>
          <w:lang w:val="zh-CN"/>
        </w:rPr>
        <w:sectPr>
          <w:headerReference r:id="rId8" w:type="default"/>
          <w:footerReference r:id="rId9" w:type="default"/>
          <w:pgSz w:w="11906" w:h="16838"/>
          <w:pgMar w:top="1440" w:right="1247" w:bottom="1247" w:left="1474" w:header="851" w:footer="992" w:gutter="0"/>
          <w:pgNumType w:fmt="decimal" w:start="1"/>
          <w:cols w:space="720" w:num="1"/>
          <w:docGrid w:type="lines" w:linePitch="312" w:charSpace="0"/>
        </w:sectPr>
      </w:pPr>
      <w:r>
        <w:rPr>
          <w:rFonts w:hint="eastAsia" w:ascii="仿宋" w:hAnsi="仿宋" w:eastAsia="仿宋" w:cs="仿宋"/>
          <w:color w:val="auto"/>
          <w:sz w:val="32"/>
          <w:szCs w:val="32"/>
          <w:highlight w:val="none"/>
          <w:lang w:val="zh-CN"/>
        </w:rPr>
        <w:t>根据处置工作的需要，可增设其他工作组。</w:t>
      </w:r>
      <w:bookmarkStart w:id="31" w:name="_Toc18311"/>
      <w:bookmarkStart w:id="32" w:name="_Toc1396"/>
    </w:p>
    <w:p w14:paraId="5B26F416">
      <w:pPr>
        <w:pStyle w:val="2"/>
        <w:shd w:val="clear"/>
        <w:spacing w:line="500" w:lineRule="exact"/>
        <w:ind w:firstLine="224" w:firstLineChars="62"/>
        <w:jc w:val="center"/>
        <w:rPr>
          <w:rFonts w:hint="eastAsia" w:ascii="仿宋" w:hAnsi="仿宋" w:eastAsia="仿宋" w:cs="仿宋"/>
          <w:b/>
          <w:bCs w:val="0"/>
          <w:color w:val="auto"/>
          <w:sz w:val="36"/>
          <w:szCs w:val="36"/>
          <w:highlight w:val="none"/>
        </w:rPr>
      </w:pPr>
      <w:bookmarkStart w:id="33" w:name="_Toc30550"/>
      <w:bookmarkStart w:id="34" w:name="_Toc13758"/>
      <w:r>
        <w:rPr>
          <w:rFonts w:hint="eastAsia" w:ascii="仿宋" w:hAnsi="仿宋" w:eastAsia="仿宋" w:cs="仿宋"/>
          <w:b/>
          <w:bCs w:val="0"/>
          <w:color w:val="auto"/>
          <w:sz w:val="36"/>
          <w:szCs w:val="36"/>
          <w:highlight w:val="none"/>
        </w:rPr>
        <w:t>3监测预警</w:t>
      </w:r>
      <w:bookmarkEnd w:id="31"/>
      <w:bookmarkEnd w:id="32"/>
      <w:bookmarkEnd w:id="33"/>
      <w:bookmarkEnd w:id="34"/>
    </w:p>
    <w:p w14:paraId="14E40552">
      <w:pPr>
        <w:pStyle w:val="3"/>
        <w:shd w:val="clear"/>
        <w:spacing w:line="500" w:lineRule="exact"/>
        <w:ind w:firstLine="643"/>
        <w:rPr>
          <w:rFonts w:hint="eastAsia" w:ascii="仿宋" w:hAnsi="仿宋" w:eastAsia="仿宋" w:cs="仿宋"/>
          <w:color w:val="auto"/>
          <w:highlight w:val="none"/>
        </w:rPr>
      </w:pPr>
      <w:bookmarkStart w:id="35" w:name="_Toc25043"/>
      <w:bookmarkStart w:id="36" w:name="_Toc5958"/>
      <w:bookmarkStart w:id="37" w:name="_Toc21810"/>
      <w:bookmarkStart w:id="38" w:name="_Toc12861"/>
      <w:r>
        <w:rPr>
          <w:rFonts w:hint="eastAsia" w:ascii="仿宋" w:hAnsi="仿宋" w:eastAsia="仿宋" w:cs="仿宋"/>
          <w:color w:val="auto"/>
          <w:highlight w:val="none"/>
        </w:rPr>
        <w:t>3.1信息监测</w:t>
      </w:r>
      <w:bookmarkEnd w:id="35"/>
      <w:bookmarkEnd w:id="36"/>
      <w:bookmarkEnd w:id="37"/>
      <w:bookmarkEnd w:id="38"/>
    </w:p>
    <w:p w14:paraId="56C54823">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区应急局负责对瑶海区行政区域内危险化学品安全工作实施综合监督管理，负责危险化学品生产、储存、经营和使用企业的重大事故隐患和重大危险源监管工作，建立危险化学品重大危险源数据库信息系统。公安交警部门</w:t>
      </w:r>
      <w:r>
        <w:rPr>
          <w:rFonts w:hint="eastAsia" w:ascii="仿宋" w:hAnsi="仿宋" w:eastAsia="仿宋" w:cs="仿宋"/>
          <w:color w:val="auto"/>
          <w:sz w:val="32"/>
          <w:szCs w:val="32"/>
          <w:highlight w:val="none"/>
          <w:lang w:val="en-US" w:eastAsia="zh-CN"/>
        </w:rPr>
        <w:t>负责</w:t>
      </w:r>
      <w:r>
        <w:rPr>
          <w:rFonts w:hint="eastAsia" w:ascii="仿宋" w:hAnsi="仿宋" w:eastAsia="仿宋" w:cs="仿宋"/>
          <w:color w:val="auto"/>
          <w:sz w:val="32"/>
          <w:szCs w:val="32"/>
          <w:highlight w:val="none"/>
        </w:rPr>
        <w:t>对本辖区道路上行驶的危险化学品运输车辆的监督检查。区其他负有</w:t>
      </w:r>
      <w:r>
        <w:rPr>
          <w:rFonts w:hint="eastAsia" w:ascii="仿宋" w:hAnsi="仿宋" w:eastAsia="仿宋" w:cs="仿宋"/>
          <w:color w:val="auto"/>
          <w:sz w:val="32"/>
          <w:szCs w:val="32"/>
          <w:highlight w:val="none"/>
          <w:lang w:val="en-US" w:eastAsia="zh-CN"/>
        </w:rPr>
        <w:t>行业</w:t>
      </w:r>
      <w:r>
        <w:rPr>
          <w:rFonts w:hint="eastAsia" w:ascii="仿宋" w:hAnsi="仿宋" w:eastAsia="仿宋" w:cs="仿宋"/>
          <w:color w:val="auto"/>
          <w:sz w:val="32"/>
          <w:szCs w:val="32"/>
          <w:highlight w:val="none"/>
        </w:rPr>
        <w:t>安全监管职责的部门，对本行业（领域）内</w:t>
      </w:r>
      <w:r>
        <w:rPr>
          <w:rFonts w:hint="eastAsia" w:ascii="仿宋" w:hAnsi="仿宋" w:eastAsia="仿宋" w:cs="仿宋"/>
          <w:color w:val="auto"/>
          <w:sz w:val="32"/>
          <w:szCs w:val="32"/>
          <w:highlight w:val="none"/>
          <w:lang w:val="en-US" w:eastAsia="zh-CN"/>
        </w:rPr>
        <w:t>涉及</w:t>
      </w:r>
      <w:r>
        <w:rPr>
          <w:rFonts w:hint="eastAsia" w:ascii="仿宋" w:hAnsi="仿宋" w:eastAsia="仿宋" w:cs="仿宋"/>
          <w:color w:val="auto"/>
          <w:sz w:val="32"/>
          <w:szCs w:val="32"/>
          <w:highlight w:val="none"/>
        </w:rPr>
        <w:t>的危险化学品事故隐患和危险源实施安全监管，建立危险化学品事故隐患和危险源监控数据库；各街镇</w:t>
      </w:r>
      <w:r>
        <w:rPr>
          <w:rFonts w:hint="eastAsia" w:ascii="仿宋" w:hAnsi="仿宋" w:eastAsia="仿宋" w:cs="仿宋"/>
          <w:color w:val="auto"/>
          <w:sz w:val="32"/>
          <w:szCs w:val="32"/>
          <w:highlight w:val="none"/>
          <w:lang w:val="en-US" w:eastAsia="zh-CN"/>
        </w:rPr>
        <w:t>办事处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筹备组）</w:t>
      </w:r>
      <w:r>
        <w:rPr>
          <w:rFonts w:hint="eastAsia" w:ascii="仿宋" w:hAnsi="仿宋" w:eastAsia="仿宋" w:cs="仿宋"/>
          <w:color w:val="auto"/>
          <w:sz w:val="32"/>
          <w:szCs w:val="32"/>
          <w:highlight w:val="none"/>
        </w:rPr>
        <w:t>按照职责，加强对本行政区域内危险化学品生产经营单位安全生产状况的监督检查，协助上级政府有关部门依法履行监管职责。</w:t>
      </w:r>
    </w:p>
    <w:p w14:paraId="0E1A3FF7">
      <w:pPr>
        <w:pStyle w:val="3"/>
        <w:shd w:val="clear"/>
        <w:spacing w:line="500" w:lineRule="exact"/>
        <w:ind w:firstLine="643"/>
        <w:rPr>
          <w:rFonts w:hint="eastAsia" w:ascii="仿宋" w:hAnsi="仿宋" w:eastAsia="仿宋" w:cs="仿宋"/>
          <w:color w:val="auto"/>
          <w:highlight w:val="none"/>
        </w:rPr>
      </w:pPr>
      <w:bookmarkStart w:id="39" w:name="_Toc15100"/>
      <w:bookmarkStart w:id="40" w:name="_Toc13855"/>
      <w:bookmarkStart w:id="41" w:name="_Toc13536"/>
      <w:bookmarkStart w:id="42" w:name="_Toc2231"/>
      <w:r>
        <w:rPr>
          <w:rFonts w:hint="eastAsia" w:ascii="仿宋" w:hAnsi="仿宋" w:eastAsia="仿宋" w:cs="仿宋"/>
          <w:color w:val="auto"/>
          <w:highlight w:val="none"/>
        </w:rPr>
        <w:t>3.2信息预警</w:t>
      </w:r>
      <w:bookmarkEnd w:id="39"/>
      <w:bookmarkEnd w:id="40"/>
      <w:bookmarkEnd w:id="41"/>
      <w:bookmarkEnd w:id="42"/>
    </w:p>
    <w:p w14:paraId="3B2ED090">
      <w:pPr>
        <w:shd w:val="clear"/>
        <w:spacing w:after="0" w:line="500" w:lineRule="exact"/>
        <w:ind w:firstLine="643"/>
        <w:jc w:val="both"/>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3.2.1预警分级</w:t>
      </w:r>
    </w:p>
    <w:p w14:paraId="7CF3B308">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危险化学品生产安全事故预警由高到低分为Ⅰ级预警、Ⅱ级预警、Ⅲ级预警、Ⅳ级预警共4个级别，依次用红色、橙色、黄色和蓝色标识，具体见下表。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559"/>
        <w:gridCol w:w="6316"/>
      </w:tblGrid>
      <w:tr w14:paraId="5CC8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6" w:type="dxa"/>
            <w:vAlign w:val="center"/>
          </w:tcPr>
          <w:p w14:paraId="741D022A">
            <w:pPr>
              <w:shd w:val="clear"/>
              <w:spacing w:after="0" w:line="440" w:lineRule="exact"/>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预警级别</w:t>
            </w:r>
          </w:p>
        </w:tc>
        <w:tc>
          <w:tcPr>
            <w:tcW w:w="1559" w:type="dxa"/>
            <w:vAlign w:val="center"/>
          </w:tcPr>
          <w:p w14:paraId="57EB410D">
            <w:pPr>
              <w:shd w:val="clear"/>
              <w:spacing w:after="0" w:line="440" w:lineRule="exact"/>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颜色标识</w:t>
            </w:r>
          </w:p>
        </w:tc>
        <w:tc>
          <w:tcPr>
            <w:tcW w:w="6316" w:type="dxa"/>
            <w:vAlign w:val="center"/>
          </w:tcPr>
          <w:p w14:paraId="6B374381">
            <w:pPr>
              <w:shd w:val="clear"/>
              <w:spacing w:after="0" w:line="440" w:lineRule="exact"/>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预警描述</w:t>
            </w:r>
          </w:p>
        </w:tc>
      </w:tr>
      <w:tr w14:paraId="2F4D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26" w:type="dxa"/>
            <w:vAlign w:val="center"/>
          </w:tcPr>
          <w:p w14:paraId="5E0D007E">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Ⅰ级</w:t>
            </w:r>
          </w:p>
        </w:tc>
        <w:tc>
          <w:tcPr>
            <w:tcW w:w="1559" w:type="dxa"/>
            <w:vAlign w:val="center"/>
          </w:tcPr>
          <w:p w14:paraId="624D30D9">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红</w:t>
            </w:r>
          </w:p>
        </w:tc>
        <w:tc>
          <w:tcPr>
            <w:tcW w:w="6316" w:type="dxa"/>
            <w:vAlign w:val="center"/>
          </w:tcPr>
          <w:p w14:paraId="284E0209">
            <w:pPr>
              <w:shd w:val="clear"/>
              <w:spacing w:after="0" w:line="3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预计要发生特别重大</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以上危险化学品生产安全事故，事故会随时发生，事态正在不断蔓延。</w:t>
            </w:r>
          </w:p>
        </w:tc>
      </w:tr>
      <w:tr w14:paraId="598A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6" w:type="dxa"/>
            <w:vAlign w:val="center"/>
          </w:tcPr>
          <w:p w14:paraId="1C72BAFE">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Ⅱ级</w:t>
            </w:r>
          </w:p>
        </w:tc>
        <w:tc>
          <w:tcPr>
            <w:tcW w:w="1559" w:type="dxa"/>
            <w:vAlign w:val="center"/>
          </w:tcPr>
          <w:p w14:paraId="13116A29">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橙</w:t>
            </w:r>
          </w:p>
        </w:tc>
        <w:tc>
          <w:tcPr>
            <w:tcW w:w="6316" w:type="dxa"/>
            <w:vAlign w:val="center"/>
          </w:tcPr>
          <w:p w14:paraId="0074AA24">
            <w:pPr>
              <w:shd w:val="clear"/>
              <w:spacing w:after="0" w:line="3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预计要发生重大</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以上危险化学品生产安全事故，事故即将发生，事态正在逐步扩大。</w:t>
            </w:r>
          </w:p>
        </w:tc>
      </w:tr>
      <w:tr w14:paraId="2BF4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26" w:type="dxa"/>
            <w:vAlign w:val="center"/>
          </w:tcPr>
          <w:p w14:paraId="34C2C679">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Ⅲ级</w:t>
            </w:r>
          </w:p>
        </w:tc>
        <w:tc>
          <w:tcPr>
            <w:tcW w:w="1559" w:type="dxa"/>
            <w:vAlign w:val="center"/>
          </w:tcPr>
          <w:p w14:paraId="58FDC59B">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黄</w:t>
            </w:r>
          </w:p>
        </w:tc>
        <w:tc>
          <w:tcPr>
            <w:tcW w:w="6316" w:type="dxa"/>
            <w:vAlign w:val="center"/>
          </w:tcPr>
          <w:p w14:paraId="7D667076">
            <w:pPr>
              <w:shd w:val="clear"/>
              <w:spacing w:after="0" w:line="3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预计要发生较大</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以上危险化学品生产安全事故，事故已经临近，事态有扩大趋势。</w:t>
            </w:r>
          </w:p>
        </w:tc>
      </w:tr>
      <w:tr w14:paraId="0E6E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26" w:type="dxa"/>
            <w:vAlign w:val="center"/>
          </w:tcPr>
          <w:p w14:paraId="1E06C802">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Ⅳ级</w:t>
            </w:r>
          </w:p>
        </w:tc>
        <w:tc>
          <w:tcPr>
            <w:tcW w:w="1559" w:type="dxa"/>
            <w:vAlign w:val="center"/>
          </w:tcPr>
          <w:p w14:paraId="5D60E0D2">
            <w:pPr>
              <w:shd w:val="clear"/>
              <w:spacing w:after="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蓝</w:t>
            </w:r>
          </w:p>
        </w:tc>
        <w:tc>
          <w:tcPr>
            <w:tcW w:w="6316" w:type="dxa"/>
            <w:vAlign w:val="center"/>
          </w:tcPr>
          <w:p w14:paraId="2048F631">
            <w:pPr>
              <w:shd w:val="clear"/>
              <w:spacing w:after="0" w:line="3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预计要发生一般</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以上危险化学品生产安全事故，事故即将临近，事态可能会扩展。</w:t>
            </w:r>
          </w:p>
        </w:tc>
      </w:tr>
    </w:tbl>
    <w:p w14:paraId="0FE5274E">
      <w:pPr>
        <w:pStyle w:val="4"/>
        <w:shd w:val="clear"/>
        <w:spacing w:line="500" w:lineRule="exact"/>
        <w:ind w:firstLine="643"/>
        <w:outlineLvl w:val="2"/>
        <w:rPr>
          <w:rFonts w:hint="eastAsia" w:ascii="仿宋" w:hAnsi="仿宋" w:eastAsia="仿宋" w:cs="仿宋"/>
          <w:color w:val="auto"/>
          <w:highlight w:val="none"/>
        </w:rPr>
      </w:pPr>
      <w:bookmarkStart w:id="43" w:name="_Toc30782"/>
      <w:bookmarkStart w:id="44" w:name="_Toc32641"/>
      <w:r>
        <w:rPr>
          <w:rFonts w:hint="eastAsia" w:ascii="仿宋" w:hAnsi="仿宋" w:eastAsia="仿宋" w:cs="仿宋"/>
          <w:color w:val="auto"/>
          <w:highlight w:val="none"/>
        </w:rPr>
        <w:t>3.2.2预警发布及解除</w:t>
      </w:r>
      <w:bookmarkEnd w:id="43"/>
      <w:bookmarkEnd w:id="44"/>
    </w:p>
    <w:p w14:paraId="26F65316">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区危险化学品生产安全事故应急指挥部办公室负责预警信息的发布、上报、调整和解除。</w:t>
      </w:r>
    </w:p>
    <w:p w14:paraId="269014DD">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区应急局要密切关注高温、台风、暴雨、地震、地质灾害及交通事故等突发事件对全区危险化学品企业的生产经营或人民群众生产生活可能造成的危害性、紧张程度和影响范围，结合技术专家建议，按照预警级别，及时向区政府报告。</w:t>
      </w:r>
    </w:p>
    <w:p w14:paraId="661AAC52">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对于Ⅳ级预警信息，经区长签发，或分管副区长请示区长签发后，由区指挥部办公室发布并上报市政府。Ⅲ级以上预警信息由区指挥部办公室上报上级政府，按照相关</w:t>
      </w:r>
      <w:r>
        <w:rPr>
          <w:rFonts w:hint="eastAsia" w:ascii="仿宋" w:hAnsi="仿宋" w:eastAsia="仿宋" w:cs="仿宋"/>
          <w:color w:val="auto"/>
          <w:sz w:val="32"/>
          <w:szCs w:val="32"/>
          <w:highlight w:val="none"/>
          <w:lang w:eastAsia="zh-CN"/>
        </w:rPr>
        <w:t>法律法规</w:t>
      </w:r>
      <w:r>
        <w:rPr>
          <w:rFonts w:hint="eastAsia" w:ascii="仿宋" w:hAnsi="仿宋" w:eastAsia="仿宋" w:cs="仿宋"/>
          <w:color w:val="auto"/>
          <w:sz w:val="32"/>
          <w:szCs w:val="32"/>
          <w:highlight w:val="none"/>
        </w:rPr>
        <w:t>的规定由上级政府发布。</w:t>
      </w:r>
    </w:p>
    <w:p w14:paraId="4D2F3998">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预警发布的内容包括事件类别、预警级别、预警起始时间、警示事项、发布机关、发布时间等。预警可通过报纸、广播、电视、短信发布平台等方式发布。</w:t>
      </w:r>
    </w:p>
    <w:p w14:paraId="55CEF3AB">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预警发布后，确认不会发生危险化学品事故，区指挥部办公室应请示总指挥后发布预警解除信息或转发上级部门的预警解除信息；</w:t>
      </w:r>
      <w:r>
        <w:rPr>
          <w:rFonts w:hint="eastAsia" w:ascii="仿宋" w:hAnsi="仿宋" w:eastAsia="仿宋" w:cs="仿宋"/>
          <w:color w:val="auto"/>
          <w:sz w:val="32"/>
          <w:szCs w:val="32"/>
          <w:highlight w:val="none"/>
        </w:rPr>
        <w:t>在应急响应启动后，应急响应终止</w:t>
      </w:r>
      <w:r>
        <w:rPr>
          <w:rFonts w:hint="eastAsia" w:ascii="仿宋" w:hAnsi="仿宋" w:eastAsia="仿宋" w:cs="仿宋"/>
          <w:color w:val="auto"/>
          <w:sz w:val="32"/>
          <w:szCs w:val="32"/>
          <w:highlight w:val="none"/>
          <w:lang w:val="en-US" w:eastAsia="zh-CN"/>
        </w:rPr>
        <w:t>即为</w:t>
      </w:r>
      <w:r>
        <w:rPr>
          <w:rFonts w:hint="eastAsia" w:ascii="仿宋" w:hAnsi="仿宋" w:eastAsia="仿宋" w:cs="仿宋"/>
          <w:color w:val="auto"/>
          <w:sz w:val="32"/>
          <w:szCs w:val="32"/>
          <w:highlight w:val="none"/>
        </w:rPr>
        <w:t>预警解除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不再单独启动预警解除程序。</w:t>
      </w:r>
    </w:p>
    <w:p w14:paraId="094781A1">
      <w:pPr>
        <w:pStyle w:val="4"/>
        <w:shd w:val="clear"/>
        <w:spacing w:line="500" w:lineRule="exact"/>
        <w:ind w:firstLine="643"/>
        <w:outlineLvl w:val="2"/>
        <w:rPr>
          <w:rFonts w:hint="eastAsia" w:ascii="仿宋" w:hAnsi="仿宋" w:eastAsia="仿宋" w:cs="仿宋"/>
          <w:color w:val="auto"/>
          <w:highlight w:val="none"/>
        </w:rPr>
      </w:pPr>
      <w:bookmarkStart w:id="45" w:name="_Toc260"/>
      <w:bookmarkStart w:id="46" w:name="_Toc29817"/>
      <w:r>
        <w:rPr>
          <w:rFonts w:hint="eastAsia" w:ascii="仿宋" w:hAnsi="仿宋" w:eastAsia="仿宋" w:cs="仿宋"/>
          <w:color w:val="auto"/>
          <w:highlight w:val="none"/>
        </w:rPr>
        <w:t>3.2.3预警行动</w:t>
      </w:r>
      <w:bookmarkEnd w:id="45"/>
      <w:bookmarkEnd w:id="46"/>
    </w:p>
    <w:p w14:paraId="565443DA">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预警信息发布后，各相关部门应采取以下措施，并做好相关信息跟踪监测：</w:t>
      </w:r>
    </w:p>
    <w:p w14:paraId="00F36CA4">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（1）及时向公众、企业发布可能受到事故危害的警告或者劝告，宣传应急和防止、减轻危害的常识；</w:t>
      </w:r>
    </w:p>
    <w:p w14:paraId="264D7736">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（2）转移、撤离或者疏散容易受到事故影响的人员和重要财产并进行妥善安置；</w:t>
      </w:r>
    </w:p>
    <w:p w14:paraId="0D44C4C6">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（3）要求参与处置危险化学品事故的队伍和人员进入待命状态，并按需要动员后备人员；</w:t>
      </w:r>
    </w:p>
    <w:p w14:paraId="2A94543C">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检查</w:t>
      </w:r>
      <w:r>
        <w:rPr>
          <w:rFonts w:hint="eastAsia" w:ascii="仿宋" w:hAnsi="仿宋" w:eastAsia="仿宋" w:cs="仿宋"/>
          <w:color w:val="auto"/>
          <w:sz w:val="32"/>
          <w:szCs w:val="32"/>
          <w:highlight w:val="none"/>
        </w:rPr>
        <w:t>通讯、交通、供水、供电、供气等公共设施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发现隐患及时采取措施消除</w:t>
      </w:r>
      <w:r>
        <w:rPr>
          <w:rFonts w:hint="eastAsia" w:ascii="仿宋" w:hAnsi="仿宋" w:eastAsia="仿宋" w:cs="仿宋"/>
          <w:color w:val="auto"/>
          <w:sz w:val="32"/>
          <w:szCs w:val="32"/>
          <w:highlight w:val="none"/>
        </w:rPr>
        <w:t>；</w:t>
      </w:r>
    </w:p>
    <w:p w14:paraId="5E20759C">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（5）调集所需物资和设备；</w:t>
      </w:r>
    </w:p>
    <w:p w14:paraId="6364C2DC">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（6）法律、行政法规规定的其他措施。</w:t>
      </w:r>
    </w:p>
    <w:p w14:paraId="7BE840C6">
      <w:pPr>
        <w:pStyle w:val="3"/>
        <w:shd w:val="clear"/>
        <w:spacing w:line="500" w:lineRule="exact"/>
        <w:ind w:firstLine="643"/>
        <w:rPr>
          <w:rFonts w:hint="eastAsia" w:ascii="仿宋" w:hAnsi="仿宋" w:eastAsia="仿宋" w:cs="仿宋"/>
          <w:color w:val="auto"/>
          <w:highlight w:val="none"/>
        </w:rPr>
      </w:pPr>
      <w:bookmarkStart w:id="47" w:name="_Toc29766"/>
      <w:bookmarkStart w:id="48" w:name="_Toc13619"/>
      <w:bookmarkStart w:id="49" w:name="_Toc8997"/>
      <w:bookmarkStart w:id="50" w:name="_Toc11284"/>
      <w:r>
        <w:rPr>
          <w:rFonts w:hint="eastAsia" w:ascii="仿宋" w:hAnsi="仿宋" w:eastAsia="仿宋" w:cs="仿宋"/>
          <w:color w:val="auto"/>
          <w:highlight w:val="none"/>
          <w:lang w:val="zh-CN"/>
        </w:rPr>
        <w:t>3.</w:t>
      </w:r>
      <w:r>
        <w:rPr>
          <w:rFonts w:hint="eastAsia" w:ascii="仿宋" w:hAnsi="仿宋" w:eastAsia="仿宋" w:cs="仿宋"/>
          <w:color w:val="auto"/>
          <w:highlight w:val="none"/>
        </w:rPr>
        <w:t>3信息报告</w:t>
      </w:r>
      <w:bookmarkEnd w:id="47"/>
      <w:bookmarkEnd w:id="48"/>
      <w:bookmarkEnd w:id="49"/>
      <w:bookmarkEnd w:id="50"/>
    </w:p>
    <w:p w14:paraId="32C0C5AA">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瑶海区行政区域内发生危险化学品事故，</w:t>
      </w:r>
      <w:r>
        <w:rPr>
          <w:rFonts w:hint="eastAsia" w:ascii="仿宋" w:hAnsi="仿宋" w:eastAsia="仿宋" w:cs="仿宋"/>
          <w:color w:val="auto"/>
          <w:sz w:val="32"/>
          <w:szCs w:val="32"/>
          <w:highlight w:val="none"/>
          <w:lang w:val="en-US" w:eastAsia="zh-CN"/>
        </w:rPr>
        <w:t>区应急办（</w:t>
      </w:r>
      <w:r>
        <w:rPr>
          <w:rFonts w:hint="eastAsia" w:ascii="仿宋" w:hAnsi="仿宋" w:eastAsia="仿宋" w:cs="仿宋"/>
          <w:color w:val="auto"/>
          <w:sz w:val="32"/>
          <w:szCs w:val="32"/>
          <w:highlight w:val="none"/>
        </w:rPr>
        <w:t>区应急局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应在接报后立即报告</w:t>
      </w:r>
      <w:r>
        <w:rPr>
          <w:rFonts w:hint="eastAsia" w:ascii="仿宋" w:hAnsi="仿宋" w:eastAsia="仿宋" w:cs="仿宋"/>
          <w:color w:val="auto"/>
          <w:sz w:val="32"/>
          <w:szCs w:val="32"/>
          <w:highlight w:val="none"/>
          <w:lang w:val="zh-CN"/>
        </w:rPr>
        <w:t>指挥长，</w:t>
      </w:r>
      <w:r>
        <w:rPr>
          <w:rFonts w:hint="eastAsia" w:ascii="仿宋" w:hAnsi="仿宋" w:eastAsia="仿宋" w:cs="仿宋"/>
          <w:color w:val="auto"/>
          <w:sz w:val="32"/>
          <w:szCs w:val="32"/>
          <w:highlight w:val="none"/>
          <w:lang w:val="en-US" w:eastAsia="zh-CN"/>
        </w:rPr>
        <w:t>指挥长立即报告区政府</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区政府组织核实事故情况后，事故等级达到一般及以上的，应在接到事故报告后2小时内</w:t>
      </w:r>
      <w:r>
        <w:rPr>
          <w:rFonts w:hint="eastAsia" w:ascii="仿宋" w:hAnsi="仿宋" w:eastAsia="仿宋" w:cs="仿宋"/>
          <w:color w:val="auto"/>
          <w:sz w:val="32"/>
          <w:szCs w:val="32"/>
          <w:highlight w:val="none"/>
        </w:rPr>
        <w:t>报</w:t>
      </w:r>
      <w:r>
        <w:rPr>
          <w:rFonts w:hint="eastAsia" w:ascii="仿宋" w:hAnsi="仿宋" w:eastAsia="仿宋" w:cs="仿宋"/>
          <w:color w:val="auto"/>
          <w:sz w:val="32"/>
          <w:szCs w:val="32"/>
          <w:highlight w:val="none"/>
          <w:lang w:val="en-US" w:eastAsia="zh-CN"/>
        </w:rPr>
        <w:t>告至</w:t>
      </w:r>
      <w:r>
        <w:rPr>
          <w:rFonts w:hint="eastAsia" w:ascii="仿宋" w:hAnsi="仿宋" w:eastAsia="仿宋" w:cs="仿宋"/>
          <w:color w:val="auto"/>
          <w:sz w:val="32"/>
          <w:szCs w:val="32"/>
          <w:highlight w:val="none"/>
        </w:rPr>
        <w:t>市应急管理局</w:t>
      </w:r>
      <w:r>
        <w:rPr>
          <w:rFonts w:hint="eastAsia" w:ascii="仿宋" w:hAnsi="仿宋" w:eastAsia="仿宋" w:cs="仿宋"/>
          <w:color w:val="auto"/>
          <w:sz w:val="32"/>
          <w:szCs w:val="32"/>
          <w:highlight w:val="none"/>
          <w:lang w:eastAsia="zh-CN"/>
        </w:rPr>
        <w:t>，自事故发生之日起30日内（</w:t>
      </w:r>
      <w:r>
        <w:rPr>
          <w:rFonts w:hint="eastAsia" w:ascii="仿宋" w:hAnsi="仿宋" w:eastAsia="仿宋" w:cs="仿宋"/>
          <w:color w:val="auto"/>
          <w:sz w:val="32"/>
          <w:szCs w:val="32"/>
          <w:highlight w:val="none"/>
          <w:lang w:val="en-US" w:eastAsia="zh-CN"/>
        </w:rPr>
        <w:t>火灾事故</w:t>
      </w:r>
      <w:r>
        <w:rPr>
          <w:rFonts w:hint="eastAsia" w:ascii="仿宋" w:hAnsi="仿宋" w:eastAsia="仿宋" w:cs="仿宋"/>
          <w:color w:val="auto"/>
          <w:sz w:val="32"/>
          <w:szCs w:val="32"/>
          <w:highlight w:val="none"/>
          <w:lang w:eastAsia="zh-CN"/>
        </w:rPr>
        <w:t>自事故发生之日起</w:t>
      </w:r>
      <w:r>
        <w:rPr>
          <w:rFonts w:hint="eastAsia" w:ascii="仿宋" w:hAnsi="仿宋" w:eastAsia="仿宋" w:cs="仿宋"/>
          <w:color w:val="auto"/>
          <w:sz w:val="32"/>
          <w:szCs w:val="32"/>
          <w:highlight w:val="none"/>
          <w:lang w:val="en-US" w:eastAsia="zh-CN"/>
        </w:rPr>
        <w:t>7日内）</w:t>
      </w:r>
      <w:r>
        <w:rPr>
          <w:rFonts w:hint="eastAsia" w:ascii="仿宋" w:hAnsi="仿宋" w:eastAsia="仿宋" w:cs="仿宋"/>
          <w:color w:val="auto"/>
          <w:sz w:val="32"/>
          <w:szCs w:val="32"/>
          <w:highlight w:val="none"/>
          <w:lang w:eastAsia="zh-CN"/>
        </w:rPr>
        <w:t>，事故造成的伤亡人数发生变化的，应当及时补报</w:t>
      </w:r>
      <w:r>
        <w:rPr>
          <w:rFonts w:hint="eastAsia" w:ascii="仿宋" w:hAnsi="仿宋" w:eastAsia="仿宋" w:cs="仿宋"/>
          <w:color w:val="auto"/>
          <w:sz w:val="32"/>
          <w:szCs w:val="32"/>
          <w:highlight w:val="none"/>
        </w:rPr>
        <w:t>。</w:t>
      </w:r>
    </w:p>
    <w:p w14:paraId="02E84C0D">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信息报告内容：</w:t>
      </w:r>
    </w:p>
    <w:p w14:paraId="3EF8A124">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）事故发生单位概况</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包括</w:t>
      </w:r>
      <w:r>
        <w:rPr>
          <w:rFonts w:hint="eastAsia" w:ascii="仿宋" w:hAnsi="仿宋" w:eastAsia="仿宋" w:cs="仿宋"/>
          <w:color w:val="auto"/>
          <w:sz w:val="32"/>
          <w:szCs w:val="32"/>
          <w:highlight w:val="none"/>
        </w:rPr>
        <w:t>名称、地址、性质</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w:t>
      </w:r>
    </w:p>
    <w:p w14:paraId="1C83FA7A">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）事故发生的时间、地点以及事故现场情况；</w:t>
      </w:r>
    </w:p>
    <w:p w14:paraId="671ECE81">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）事故的简要经过；</w:t>
      </w:r>
    </w:p>
    <w:p w14:paraId="769ADA76">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）事故已经造成或者可能造成的伤亡人数（包括下落不明的人数）和初步估计的直接经济损失；</w:t>
      </w:r>
    </w:p>
    <w:p w14:paraId="71B35374">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）已经采取的措施；</w:t>
      </w:r>
    </w:p>
    <w:p w14:paraId="7EC8F795">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）其他应当报告的情况。</w:t>
      </w:r>
    </w:p>
    <w:p w14:paraId="0C90BD4D">
      <w:pPr>
        <w:shd w:val="clear"/>
        <w:spacing w:after="0" w:line="500" w:lineRule="exact"/>
        <w:ind w:firstLine="640"/>
        <w:rPr>
          <w:rFonts w:hint="eastAsia" w:ascii="仿宋" w:hAnsi="仿宋" w:eastAsia="仿宋" w:cs="仿宋"/>
          <w:color w:val="auto"/>
          <w:sz w:val="32"/>
          <w:szCs w:val="32"/>
          <w:highlight w:val="none"/>
        </w:rPr>
        <w:sectPr>
          <w:pgSz w:w="11906" w:h="16838"/>
          <w:pgMar w:top="1440" w:right="1247" w:bottom="1247" w:left="1474" w:header="851" w:footer="992" w:gutter="0"/>
          <w:pgNumType w:fmt="decimal" w:start="1"/>
          <w:cols w:space="720" w:num="1"/>
          <w:docGrid w:type="lines" w:linePitch="312" w:charSpace="0"/>
        </w:sectPr>
      </w:pPr>
      <w:bookmarkStart w:id="51" w:name="_Toc22675"/>
    </w:p>
    <w:p w14:paraId="35A6162A">
      <w:pPr>
        <w:pStyle w:val="2"/>
        <w:shd w:val="clear"/>
        <w:spacing w:line="500" w:lineRule="exact"/>
        <w:ind w:firstLine="0" w:firstLineChars="0"/>
        <w:jc w:val="center"/>
        <w:rPr>
          <w:rFonts w:hint="eastAsia" w:ascii="仿宋" w:hAnsi="仿宋" w:eastAsia="仿宋" w:cs="仿宋"/>
          <w:b/>
          <w:bCs w:val="0"/>
          <w:color w:val="auto"/>
          <w:sz w:val="36"/>
          <w:szCs w:val="36"/>
          <w:highlight w:val="none"/>
        </w:rPr>
      </w:pPr>
      <w:bookmarkStart w:id="52" w:name="_Toc20419"/>
      <w:bookmarkStart w:id="53" w:name="_Toc6681"/>
      <w:r>
        <w:rPr>
          <w:rFonts w:hint="eastAsia" w:ascii="仿宋" w:hAnsi="仿宋" w:eastAsia="仿宋" w:cs="仿宋"/>
          <w:b/>
          <w:bCs w:val="0"/>
          <w:color w:val="auto"/>
          <w:sz w:val="36"/>
          <w:szCs w:val="36"/>
          <w:highlight w:val="none"/>
        </w:rPr>
        <w:t>4应急响应</w:t>
      </w:r>
      <w:bookmarkEnd w:id="51"/>
      <w:bookmarkEnd w:id="52"/>
      <w:bookmarkEnd w:id="53"/>
    </w:p>
    <w:p w14:paraId="2DAC4043">
      <w:pPr>
        <w:pStyle w:val="3"/>
        <w:shd w:val="clear"/>
        <w:spacing w:line="500" w:lineRule="exact"/>
        <w:ind w:firstLine="643"/>
        <w:rPr>
          <w:rFonts w:hint="default" w:ascii="仿宋" w:hAnsi="仿宋" w:eastAsia="仿宋" w:cs="仿宋"/>
          <w:color w:val="auto"/>
          <w:highlight w:val="none"/>
          <w:lang w:val="en-US" w:eastAsia="zh-CN"/>
        </w:rPr>
      </w:pPr>
      <w:bookmarkStart w:id="54" w:name="_Toc29409"/>
      <w:bookmarkStart w:id="55" w:name="_Toc31171"/>
      <w:bookmarkStart w:id="56" w:name="_Toc32000"/>
      <w:r>
        <w:rPr>
          <w:rFonts w:hint="eastAsia" w:ascii="仿宋" w:hAnsi="仿宋" w:eastAsia="仿宋" w:cs="仿宋"/>
          <w:color w:val="auto"/>
          <w:highlight w:val="none"/>
          <w:lang w:val="en-US" w:eastAsia="zh-CN"/>
        </w:rPr>
        <w:t>4.1先期处置</w:t>
      </w:r>
      <w:bookmarkEnd w:id="54"/>
    </w:p>
    <w:p w14:paraId="7E3E32AB">
      <w:pPr>
        <w:shd w:val="clear"/>
        <w:spacing w:after="0" w:line="500" w:lineRule="exact"/>
        <w:ind w:firstLine="643"/>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4.1.1事发单位初期处置</w:t>
      </w:r>
    </w:p>
    <w:p w14:paraId="47EF664D">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事故发生后,事发单位要立即启动应急预案,在确保应急救援人员人身安全和避免发生次生生产安全事故的前提下,立即组织开展关阀泄压断料、灭火控火防爆、紧急疏散人员、集结专业救援力量等初期应急处置。</w:t>
      </w:r>
    </w:p>
    <w:p w14:paraId="526F9E56">
      <w:pPr>
        <w:shd w:val="clear"/>
        <w:spacing w:after="0" w:line="500" w:lineRule="exact"/>
        <w:ind w:firstLine="643"/>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4.1.2 属地</w:t>
      </w:r>
      <w:r>
        <w:rPr>
          <w:rFonts w:hint="eastAsia" w:ascii="仿宋" w:hAnsi="仿宋" w:eastAsia="仿宋" w:cs="仿宋"/>
          <w:b/>
          <w:color w:val="auto"/>
          <w:sz w:val="32"/>
          <w:szCs w:val="32"/>
          <w:highlight w:val="none"/>
          <w:lang w:val="en-US" w:eastAsia="zh-CN"/>
        </w:rPr>
        <w:t>政府</w:t>
      </w:r>
      <w:r>
        <w:rPr>
          <w:rFonts w:hint="eastAsia" w:ascii="仿宋" w:hAnsi="仿宋" w:eastAsia="仿宋" w:cs="仿宋"/>
          <w:b/>
          <w:color w:val="auto"/>
          <w:sz w:val="32"/>
          <w:szCs w:val="32"/>
          <w:highlight w:val="none"/>
        </w:rPr>
        <w:t>先期处置</w:t>
      </w:r>
    </w:p>
    <w:p w14:paraId="08761281">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属地镇政府、街道办事处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筹备组）政府接到事故报告后,立即启动相应级别应急预案,开展应急处置:</w:t>
      </w:r>
    </w:p>
    <w:p w14:paraId="3EED4C2D">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(1)核心区警戒隔离。根据化学品特性和泄漏、扩散的情况及火灾、爆炸所涉及的范围设立警戒区,疏散事故核心区人员，对核心区警戒隔离。</w:t>
      </w:r>
    </w:p>
    <w:p w14:paraId="63746B8B">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(2)现场处置。配合事故企业开展应急抢险，协调应急救援所需的人员和物资，现场救援人员应根据事故危险特性和危险化学品处置方式,采取有效的防护措施。</w:t>
      </w:r>
    </w:p>
    <w:p w14:paraId="4045333F">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(3)人员撤离与安置。根据事故可能波及范围,立即组织可能受到威胁的人员有秩序地向上风、侧风向避难场所或安全地带撤离。</w:t>
      </w:r>
    </w:p>
    <w:p w14:paraId="636C69AD">
      <w:pPr>
        <w:pStyle w:val="3"/>
        <w:shd w:val="clear"/>
        <w:spacing w:line="500" w:lineRule="exact"/>
        <w:ind w:firstLine="643"/>
        <w:rPr>
          <w:rFonts w:hint="eastAsia" w:ascii="仿宋" w:hAnsi="仿宋" w:eastAsia="仿宋" w:cs="仿宋"/>
          <w:color w:val="auto"/>
          <w:highlight w:val="none"/>
        </w:rPr>
      </w:pPr>
      <w:bookmarkStart w:id="57" w:name="_Toc26318"/>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分级响应</w:t>
      </w:r>
      <w:bookmarkEnd w:id="55"/>
      <w:bookmarkEnd w:id="56"/>
      <w:bookmarkEnd w:id="57"/>
    </w:p>
    <w:p w14:paraId="2C93ED51">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当</w:t>
      </w:r>
      <w:r>
        <w:rPr>
          <w:rFonts w:hint="eastAsia" w:ascii="仿宋" w:hAnsi="仿宋" w:eastAsia="仿宋" w:cs="仿宋"/>
          <w:color w:val="auto"/>
          <w:sz w:val="32"/>
          <w:szCs w:val="32"/>
          <w:highlight w:val="none"/>
        </w:rPr>
        <w:t>危险化学品</w:t>
      </w:r>
      <w:r>
        <w:rPr>
          <w:rFonts w:hint="eastAsia" w:ascii="仿宋" w:hAnsi="仿宋" w:eastAsia="仿宋" w:cs="仿宋"/>
          <w:color w:val="auto"/>
          <w:sz w:val="32"/>
          <w:szCs w:val="32"/>
          <w:highlight w:val="none"/>
          <w:lang w:val="en-US" w:eastAsia="zh-CN"/>
        </w:rPr>
        <w:t>事故未造成人员死亡、重伤，未发生火灾爆炸事故，由企业和</w:t>
      </w:r>
      <w:r>
        <w:rPr>
          <w:rFonts w:hint="eastAsia" w:ascii="仿宋" w:hAnsi="仿宋" w:eastAsia="仿宋" w:cs="仿宋"/>
          <w:color w:val="auto"/>
          <w:sz w:val="32"/>
          <w:szCs w:val="32"/>
          <w:highlight w:val="none"/>
        </w:rPr>
        <w:t>属地镇政府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街道办事处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筹备组）应急</w:t>
      </w:r>
      <w:r>
        <w:rPr>
          <w:rFonts w:hint="eastAsia" w:ascii="仿宋" w:hAnsi="仿宋" w:eastAsia="仿宋" w:cs="仿宋"/>
          <w:color w:val="auto"/>
          <w:sz w:val="32"/>
          <w:szCs w:val="32"/>
          <w:highlight w:val="none"/>
        </w:rPr>
        <w:t>处置，区</w:t>
      </w:r>
      <w:r>
        <w:rPr>
          <w:rFonts w:hint="eastAsia" w:ascii="仿宋" w:hAnsi="仿宋" w:eastAsia="仿宋" w:cs="仿宋"/>
          <w:color w:val="auto"/>
          <w:sz w:val="32"/>
          <w:szCs w:val="32"/>
          <w:highlight w:val="none"/>
          <w:lang w:val="en-US" w:eastAsia="zh-CN"/>
        </w:rPr>
        <w:t>指挥部视情</w:t>
      </w:r>
      <w:r>
        <w:rPr>
          <w:rFonts w:hint="eastAsia" w:ascii="仿宋" w:hAnsi="仿宋" w:eastAsia="仿宋" w:cs="仿宋"/>
          <w:color w:val="auto"/>
          <w:sz w:val="32"/>
          <w:szCs w:val="32"/>
          <w:highlight w:val="none"/>
        </w:rPr>
        <w:t>予以人员、装备和技术支持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区指挥部办公室决定启动三级响应</w:t>
      </w:r>
      <w:r>
        <w:rPr>
          <w:rFonts w:hint="eastAsia" w:ascii="仿宋" w:hAnsi="仿宋" w:eastAsia="仿宋" w:cs="仿宋"/>
          <w:color w:val="auto"/>
          <w:sz w:val="32"/>
          <w:szCs w:val="32"/>
          <w:highlight w:val="none"/>
        </w:rPr>
        <w:t>。</w:t>
      </w:r>
    </w:p>
    <w:p w14:paraId="500F3CE3">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当</w:t>
      </w:r>
      <w:r>
        <w:rPr>
          <w:rFonts w:hint="eastAsia" w:ascii="仿宋" w:hAnsi="仿宋" w:eastAsia="仿宋" w:cs="仿宋"/>
          <w:color w:val="auto"/>
          <w:sz w:val="32"/>
          <w:szCs w:val="32"/>
          <w:highlight w:val="none"/>
        </w:rPr>
        <w:t>危险化学品</w:t>
      </w:r>
      <w:r>
        <w:rPr>
          <w:rFonts w:hint="eastAsia" w:ascii="仿宋" w:hAnsi="仿宋" w:eastAsia="仿宋" w:cs="仿宋"/>
          <w:color w:val="auto"/>
          <w:sz w:val="32"/>
          <w:szCs w:val="32"/>
          <w:highlight w:val="none"/>
          <w:lang w:val="en-US" w:eastAsia="zh-CN"/>
        </w:rPr>
        <w:t>事故未超过一般等级，已造成人员死亡（或失踪）、重伤、发生火灾或爆炸或属地</w:t>
      </w:r>
      <w:r>
        <w:rPr>
          <w:rFonts w:hint="eastAsia" w:ascii="仿宋" w:hAnsi="仿宋" w:eastAsia="仿宋" w:cs="仿宋"/>
          <w:color w:val="auto"/>
          <w:sz w:val="32"/>
          <w:szCs w:val="32"/>
          <w:highlight w:val="none"/>
        </w:rPr>
        <w:t>镇政府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街道办事处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筹备组）先期处置不当</w:t>
      </w:r>
      <w:r>
        <w:rPr>
          <w:rFonts w:hint="eastAsia" w:ascii="仿宋" w:hAnsi="仿宋" w:eastAsia="仿宋" w:cs="仿宋"/>
          <w:color w:val="auto"/>
          <w:sz w:val="32"/>
          <w:szCs w:val="32"/>
          <w:highlight w:val="none"/>
        </w:rPr>
        <w:t>时，区指挥部</w:t>
      </w:r>
      <w:r>
        <w:rPr>
          <w:rFonts w:hint="eastAsia" w:ascii="仿宋" w:hAnsi="仿宋" w:eastAsia="仿宋" w:cs="仿宋"/>
          <w:color w:val="auto"/>
          <w:sz w:val="32"/>
          <w:szCs w:val="32"/>
          <w:highlight w:val="none"/>
          <w:lang w:val="en-US" w:eastAsia="zh-CN"/>
        </w:rPr>
        <w:t>总指挥决定启动二级响应，并</w:t>
      </w:r>
      <w:r>
        <w:rPr>
          <w:rFonts w:hint="eastAsia" w:ascii="仿宋" w:hAnsi="仿宋" w:eastAsia="仿宋" w:cs="仿宋"/>
          <w:color w:val="auto"/>
          <w:sz w:val="32"/>
          <w:szCs w:val="32"/>
          <w:highlight w:val="none"/>
        </w:rPr>
        <w:t>视情成立现场指挥部</w:t>
      </w:r>
      <w:r>
        <w:rPr>
          <w:rFonts w:hint="eastAsia" w:ascii="仿宋" w:hAnsi="仿宋" w:eastAsia="仿宋" w:cs="仿宋"/>
          <w:color w:val="auto"/>
          <w:sz w:val="32"/>
          <w:szCs w:val="32"/>
          <w:highlight w:val="none"/>
          <w:lang w:val="en-US" w:eastAsia="zh-CN"/>
        </w:rPr>
        <w:t>赴事故地</w:t>
      </w:r>
      <w:r>
        <w:rPr>
          <w:rFonts w:hint="eastAsia" w:ascii="仿宋" w:hAnsi="仿宋" w:eastAsia="仿宋" w:cs="仿宋"/>
          <w:color w:val="auto"/>
          <w:sz w:val="32"/>
          <w:szCs w:val="32"/>
          <w:highlight w:val="none"/>
        </w:rPr>
        <w:t>开展应急救援工作。</w:t>
      </w:r>
    </w:p>
    <w:p w14:paraId="7A9F7CDF">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当</w:t>
      </w:r>
      <w:r>
        <w:rPr>
          <w:rFonts w:hint="eastAsia" w:ascii="仿宋" w:hAnsi="仿宋" w:eastAsia="仿宋" w:cs="仿宋"/>
          <w:color w:val="auto"/>
          <w:sz w:val="32"/>
          <w:szCs w:val="32"/>
          <w:highlight w:val="none"/>
        </w:rPr>
        <w:t>危险化学品</w:t>
      </w:r>
      <w:r>
        <w:rPr>
          <w:rFonts w:hint="eastAsia" w:ascii="仿宋" w:hAnsi="仿宋" w:eastAsia="仿宋" w:cs="仿宋"/>
          <w:color w:val="auto"/>
          <w:sz w:val="32"/>
          <w:szCs w:val="32"/>
          <w:highlight w:val="none"/>
          <w:lang w:val="en-US" w:eastAsia="zh-CN"/>
        </w:rPr>
        <w:t>事故等级达到较大及以上事故</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瑶海区政府决定启动一级响应，组建现场指挥部</w:t>
      </w:r>
      <w:r>
        <w:rPr>
          <w:rFonts w:hint="eastAsia" w:ascii="仿宋" w:hAnsi="仿宋" w:eastAsia="仿宋" w:cs="仿宋"/>
          <w:color w:val="auto"/>
          <w:sz w:val="32"/>
          <w:szCs w:val="32"/>
          <w:highlight w:val="none"/>
        </w:rPr>
        <w:t>立即赶赴现场组织实施事故</w:t>
      </w:r>
      <w:r>
        <w:rPr>
          <w:rFonts w:hint="eastAsia" w:ascii="仿宋" w:hAnsi="仿宋" w:eastAsia="仿宋" w:cs="仿宋"/>
          <w:color w:val="auto"/>
          <w:sz w:val="32"/>
          <w:szCs w:val="32"/>
          <w:highlight w:val="none"/>
          <w:lang w:val="en-US" w:eastAsia="zh-CN"/>
        </w:rPr>
        <w:t>初期处置</w:t>
      </w:r>
      <w:r>
        <w:rPr>
          <w:rFonts w:hint="eastAsia" w:ascii="仿宋" w:hAnsi="仿宋" w:eastAsia="仿宋" w:cs="仿宋"/>
          <w:color w:val="auto"/>
          <w:sz w:val="32"/>
          <w:szCs w:val="32"/>
          <w:highlight w:val="none"/>
        </w:rPr>
        <w:t>工作，</w:t>
      </w:r>
      <w:r>
        <w:rPr>
          <w:rFonts w:hint="eastAsia" w:ascii="仿宋" w:hAnsi="仿宋" w:eastAsia="仿宋" w:cs="仿宋"/>
          <w:color w:val="auto"/>
          <w:sz w:val="32"/>
          <w:szCs w:val="32"/>
          <w:highlight w:val="none"/>
          <w:lang w:val="en-US" w:eastAsia="zh-CN"/>
        </w:rPr>
        <w:t>及时</w:t>
      </w:r>
      <w:r>
        <w:rPr>
          <w:rFonts w:hint="eastAsia" w:ascii="仿宋" w:hAnsi="仿宋" w:eastAsia="仿宋" w:cs="仿宋"/>
          <w:color w:val="auto"/>
          <w:sz w:val="32"/>
          <w:szCs w:val="32"/>
          <w:highlight w:val="none"/>
        </w:rPr>
        <w:t>向市应急管理局上报信息，并在</w:t>
      </w:r>
      <w:r>
        <w:rPr>
          <w:rFonts w:hint="eastAsia" w:ascii="仿宋" w:hAnsi="仿宋" w:eastAsia="仿宋" w:cs="仿宋"/>
          <w:color w:val="auto"/>
          <w:sz w:val="32"/>
          <w:szCs w:val="32"/>
          <w:highlight w:val="none"/>
          <w:lang w:val="en-US" w:eastAsia="zh-CN"/>
        </w:rPr>
        <w:t>上级</w:t>
      </w:r>
      <w:r>
        <w:rPr>
          <w:rFonts w:hint="eastAsia" w:ascii="仿宋" w:hAnsi="仿宋" w:eastAsia="仿宋" w:cs="仿宋"/>
          <w:color w:val="auto"/>
          <w:sz w:val="32"/>
          <w:szCs w:val="32"/>
          <w:highlight w:val="none"/>
        </w:rPr>
        <w:t>应急指挥机构指导下开展处置工作。</w:t>
      </w:r>
    </w:p>
    <w:p w14:paraId="04DE89AA">
      <w:pPr>
        <w:pStyle w:val="3"/>
        <w:shd w:val="clear"/>
        <w:spacing w:line="500" w:lineRule="exact"/>
        <w:ind w:firstLine="643"/>
        <w:outlineLvl w:val="1"/>
        <w:rPr>
          <w:rFonts w:hint="eastAsia" w:ascii="仿宋" w:hAnsi="仿宋" w:eastAsia="仿宋" w:cs="仿宋"/>
          <w:color w:val="auto"/>
          <w:highlight w:val="none"/>
        </w:rPr>
      </w:pPr>
      <w:bookmarkStart w:id="58" w:name="_Toc10924"/>
      <w:bookmarkStart w:id="59" w:name="_Toc26223"/>
      <w:bookmarkStart w:id="60" w:name="_Toc3782"/>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响应程序</w:t>
      </w:r>
      <w:bookmarkEnd w:id="58"/>
      <w:bookmarkEnd w:id="59"/>
      <w:bookmarkEnd w:id="60"/>
    </w:p>
    <w:p w14:paraId="50D5189D">
      <w:pPr>
        <w:shd w:val="clear"/>
        <w:spacing w:after="0" w:line="500" w:lineRule="exact"/>
        <w:ind w:firstLine="643"/>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.1基本应急程序</w:t>
      </w:r>
    </w:p>
    <w:p w14:paraId="46340225">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先期处置：危险化学品事故发生后，事故单位要立即启动本单位预案抢险处置，采取有效措施第一时间抢救伤员，疏散被困人员，控制事态发展，同时向110（119、120）报警，向属地镇政府</w:t>
      </w:r>
      <w:r>
        <w:rPr>
          <w:rFonts w:hint="eastAsia" w:ascii="仿宋" w:hAnsi="仿宋" w:eastAsia="仿宋" w:cs="仿宋"/>
          <w:color w:val="auto"/>
          <w:sz w:val="32"/>
          <w:szCs w:val="32"/>
          <w:highlight w:val="none"/>
          <w:lang w:val="en-US" w:eastAsia="zh-CN"/>
        </w:rPr>
        <w:t>或</w:t>
      </w:r>
      <w:r>
        <w:rPr>
          <w:rFonts w:hint="eastAsia" w:ascii="仿宋" w:hAnsi="仿宋" w:eastAsia="仿宋" w:cs="仿宋"/>
          <w:color w:val="auto"/>
          <w:sz w:val="32"/>
          <w:szCs w:val="32"/>
          <w:highlight w:val="none"/>
        </w:rPr>
        <w:t>街道办事处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筹备组）</w:t>
      </w:r>
      <w:r>
        <w:rPr>
          <w:rFonts w:hint="eastAsia" w:ascii="仿宋" w:hAnsi="仿宋" w:eastAsia="仿宋" w:cs="仿宋"/>
          <w:color w:val="auto"/>
          <w:sz w:val="32"/>
          <w:szCs w:val="32"/>
          <w:highlight w:val="none"/>
        </w:rPr>
        <w:t>、区应急局报告事故信息。</w:t>
      </w:r>
    </w:p>
    <w:p w14:paraId="7C03A101">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启动响应：应急、公安、属地镇政府</w:t>
      </w:r>
      <w:r>
        <w:rPr>
          <w:rFonts w:hint="eastAsia" w:ascii="仿宋" w:hAnsi="仿宋" w:eastAsia="仿宋" w:cs="仿宋"/>
          <w:color w:val="auto"/>
          <w:sz w:val="32"/>
          <w:szCs w:val="32"/>
          <w:highlight w:val="none"/>
          <w:lang w:val="en-US" w:eastAsia="zh-CN"/>
        </w:rPr>
        <w:t>或</w:t>
      </w:r>
      <w:r>
        <w:rPr>
          <w:rFonts w:hint="eastAsia" w:ascii="仿宋" w:hAnsi="仿宋" w:eastAsia="仿宋" w:cs="仿宋"/>
          <w:color w:val="auto"/>
          <w:sz w:val="32"/>
          <w:szCs w:val="32"/>
          <w:highlight w:val="none"/>
        </w:rPr>
        <w:t>街道办事处</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筹备组）</w:t>
      </w:r>
      <w:r>
        <w:rPr>
          <w:rFonts w:hint="eastAsia" w:ascii="仿宋" w:hAnsi="仿宋" w:eastAsia="仿宋" w:cs="仿宋"/>
          <w:color w:val="auto"/>
          <w:sz w:val="32"/>
          <w:szCs w:val="32"/>
          <w:highlight w:val="none"/>
        </w:rPr>
        <w:t>等部门接到事故信息报告后，</w:t>
      </w:r>
      <w:r>
        <w:rPr>
          <w:rFonts w:hint="eastAsia" w:ascii="仿宋" w:hAnsi="仿宋" w:eastAsia="仿宋" w:cs="仿宋"/>
          <w:color w:val="auto"/>
          <w:sz w:val="32"/>
          <w:szCs w:val="32"/>
          <w:highlight w:val="none"/>
          <w:lang w:val="en-US" w:eastAsia="zh-CN"/>
        </w:rPr>
        <w:t>应启动相应应急响应，</w:t>
      </w:r>
      <w:r>
        <w:rPr>
          <w:rFonts w:hint="eastAsia" w:ascii="仿宋" w:hAnsi="仿宋" w:eastAsia="仿宋" w:cs="仿宋"/>
          <w:color w:val="auto"/>
          <w:sz w:val="32"/>
          <w:szCs w:val="32"/>
          <w:highlight w:val="none"/>
        </w:rPr>
        <w:t>开展应急处置工作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必要时报告市应急管理局请求支援。</w:t>
      </w:r>
    </w:p>
    <w:p w14:paraId="7B8A16E4">
      <w:pPr>
        <w:shd w:val="clear"/>
        <w:spacing w:after="0" w:line="500" w:lineRule="exact"/>
        <w:ind w:firstLine="643"/>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.2应急响应</w:t>
      </w:r>
    </w:p>
    <w:p w14:paraId="52C2177D">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根据现场危险化学品事故危害大小和可控情况，区指挥部办公室按照相关规定及时发布预警信息。</w:t>
      </w:r>
    </w:p>
    <w:p w14:paraId="6FC968C1">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对于先期处置未能有效控制事态发展，发生或可能发生一般以上危险化学品事故，</w:t>
      </w:r>
      <w:r>
        <w:rPr>
          <w:rFonts w:hint="eastAsia" w:ascii="仿宋" w:hAnsi="仿宋" w:eastAsia="仿宋" w:cs="仿宋"/>
          <w:color w:val="auto"/>
          <w:sz w:val="32"/>
          <w:szCs w:val="32"/>
          <w:highlight w:val="none"/>
          <w:lang w:val="en-US" w:eastAsia="zh-CN"/>
        </w:rPr>
        <w:t>区指挥部</w:t>
      </w:r>
      <w:r>
        <w:rPr>
          <w:rFonts w:hint="eastAsia" w:ascii="仿宋" w:hAnsi="仿宋" w:eastAsia="仿宋" w:cs="仿宋"/>
          <w:color w:val="auto"/>
          <w:sz w:val="32"/>
          <w:szCs w:val="32"/>
          <w:highlight w:val="none"/>
        </w:rPr>
        <w:t>立即采取下列措施：</w:t>
      </w:r>
    </w:p>
    <w:p w14:paraId="4F1A60DB">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（1）核心区控制：对事故</w:t>
      </w:r>
      <w:r>
        <w:rPr>
          <w:rFonts w:hint="eastAsia" w:ascii="仿宋" w:hAnsi="仿宋" w:eastAsia="仿宋" w:cs="仿宋"/>
          <w:color w:val="auto"/>
          <w:sz w:val="32"/>
          <w:szCs w:val="32"/>
          <w:highlight w:val="none"/>
        </w:rPr>
        <w:t>相关责任人实施现场控制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对事故核心区实施控制</w:t>
      </w:r>
      <w:r>
        <w:rPr>
          <w:rFonts w:hint="eastAsia" w:ascii="仿宋" w:hAnsi="仿宋" w:eastAsia="仿宋" w:cs="仿宋"/>
          <w:color w:val="auto"/>
          <w:sz w:val="32"/>
          <w:szCs w:val="32"/>
          <w:highlight w:val="none"/>
        </w:rPr>
        <w:t>。</w:t>
      </w:r>
    </w:p>
    <w:p w14:paraId="45F2D069">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）警戒隔离：根据现场危险化学品自身及燃烧产物的毒害性、扩散趋势、火焰辐射热、爆炸所</w:t>
      </w:r>
      <w:r>
        <w:rPr>
          <w:rFonts w:hint="eastAsia" w:ascii="仿宋" w:hAnsi="仿宋" w:eastAsia="仿宋" w:cs="仿宋"/>
          <w:color w:val="auto"/>
          <w:sz w:val="32"/>
          <w:szCs w:val="32"/>
          <w:highlight w:val="none"/>
          <w:lang w:eastAsia="zh-CN"/>
        </w:rPr>
        <w:t>涉及的</w:t>
      </w:r>
      <w:r>
        <w:rPr>
          <w:rFonts w:hint="eastAsia" w:ascii="仿宋" w:hAnsi="仿宋" w:eastAsia="仿宋" w:cs="仿宋"/>
          <w:color w:val="auto"/>
          <w:sz w:val="32"/>
          <w:szCs w:val="32"/>
          <w:highlight w:val="none"/>
        </w:rPr>
        <w:t>范围，设立隔离区，并实施</w:t>
      </w:r>
      <w:r>
        <w:rPr>
          <w:rFonts w:hint="eastAsia" w:ascii="仿宋" w:hAnsi="仿宋" w:eastAsia="仿宋" w:cs="仿宋"/>
          <w:color w:val="auto"/>
          <w:sz w:val="32"/>
          <w:szCs w:val="32"/>
          <w:highlight w:val="none"/>
          <w:lang w:val="en-US" w:eastAsia="zh-CN"/>
        </w:rPr>
        <w:t>扩大</w:t>
      </w:r>
      <w:r>
        <w:rPr>
          <w:rFonts w:hint="eastAsia" w:ascii="仿宋" w:hAnsi="仿宋" w:eastAsia="仿宋" w:cs="仿宋"/>
          <w:color w:val="auto"/>
          <w:sz w:val="32"/>
          <w:szCs w:val="32"/>
          <w:highlight w:val="none"/>
        </w:rPr>
        <w:t>警戒。</w:t>
      </w:r>
    </w:p>
    <w:p w14:paraId="7E44F626">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）应急疏散：撤离隔离警戒区内与事故应急无关人员，组织疏散区域内的群众到应急避难场所等安全区域，妥善安置。</w:t>
      </w:r>
    </w:p>
    <w:p w14:paraId="5BA4AECA">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）人员救护：在危险区与安全区交界处的安全地点设立现场医疗急救站或临时救护点，对救出的伤病员进行现场急救和登记后，由医务人员进行检伤分类，抢救后转送专业医疗卫生机构。</w:t>
      </w:r>
    </w:p>
    <w:p w14:paraId="12D02685">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）现场处置：根据现场危险化学品危险特性和事故类型，参照《危险化学品事故应急处置措施》（</w:t>
      </w:r>
      <w:r>
        <w:rPr>
          <w:rFonts w:hint="eastAsia" w:ascii="仿宋" w:hAnsi="仿宋" w:eastAsia="仿宋" w:cs="仿宋"/>
          <w:color w:val="auto"/>
          <w:sz w:val="32"/>
          <w:szCs w:val="32"/>
          <w:highlight w:val="none"/>
          <w:lang w:val="en-US" w:eastAsia="zh-CN"/>
        </w:rPr>
        <w:t>见附件8.6</w:t>
      </w:r>
      <w:r>
        <w:rPr>
          <w:rFonts w:hint="eastAsia" w:ascii="仿宋" w:hAnsi="仿宋" w:eastAsia="仿宋" w:cs="仿宋"/>
          <w:color w:val="auto"/>
          <w:sz w:val="32"/>
          <w:szCs w:val="32"/>
          <w:highlight w:val="none"/>
        </w:rPr>
        <w:t>），在指挥部协调安排下，由事故发生单位和外部救援力量合力实施现场处置。</w:t>
      </w:r>
    </w:p>
    <w:p w14:paraId="11AC5B1D">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现场监测：对现场有害危险化学品浓度、扩散等情况进行动态监测；确认装置、设施、建（构）筑物已经受到的破坏或潜在的威胁；监测现场及周边污染情况。指挥部根据现场动态监测信息，适时调整救援行动方案。</w:t>
      </w:r>
    </w:p>
    <w:p w14:paraId="71AC985F">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）现场恢复：现场应急处置、调查结束后，对危险化学品</w:t>
      </w:r>
      <w:r>
        <w:rPr>
          <w:rFonts w:hint="eastAsia" w:ascii="仿宋" w:hAnsi="仿宋" w:eastAsia="仿宋" w:cs="仿宋"/>
          <w:color w:val="auto"/>
          <w:sz w:val="32"/>
          <w:szCs w:val="32"/>
          <w:highlight w:val="none"/>
          <w:lang w:val="en-US" w:eastAsia="zh-CN"/>
        </w:rPr>
        <w:t>事故造成的土壤污染、毒物扩散等后果进行治理，治理应委托专业机构，最大限度恢复原状</w:t>
      </w:r>
      <w:r>
        <w:rPr>
          <w:rFonts w:hint="eastAsia" w:ascii="仿宋" w:hAnsi="仿宋" w:eastAsia="仿宋" w:cs="仿宋"/>
          <w:color w:val="auto"/>
          <w:sz w:val="32"/>
          <w:szCs w:val="32"/>
          <w:highlight w:val="none"/>
        </w:rPr>
        <w:t>。</w:t>
      </w:r>
    </w:p>
    <w:p w14:paraId="1DBBF945">
      <w:pPr>
        <w:shd w:val="clear"/>
        <w:spacing w:after="0" w:line="500" w:lineRule="exact"/>
        <w:ind w:firstLine="643"/>
        <w:jc w:val="both"/>
        <w:outlineLvl w:val="1"/>
        <w:rPr>
          <w:rFonts w:hint="eastAsia" w:ascii="仿宋" w:hAnsi="仿宋" w:eastAsia="仿宋" w:cs="仿宋"/>
          <w:b/>
          <w:color w:val="auto"/>
          <w:sz w:val="32"/>
          <w:szCs w:val="32"/>
          <w:highlight w:val="none"/>
        </w:rPr>
      </w:pPr>
      <w:bookmarkStart w:id="61" w:name="_Toc24611"/>
      <w:bookmarkStart w:id="62" w:name="_Toc28885"/>
      <w:r>
        <w:rPr>
          <w:rFonts w:hint="eastAsia" w:ascii="仿宋" w:hAnsi="仿宋" w:eastAsia="仿宋" w:cs="仿宋"/>
          <w:b/>
          <w:color w:val="auto"/>
          <w:sz w:val="32"/>
          <w:szCs w:val="32"/>
          <w:highlight w:val="none"/>
        </w:rPr>
        <w:t>4.</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扩大应急</w:t>
      </w:r>
      <w:bookmarkEnd w:id="61"/>
      <w:bookmarkEnd w:id="62"/>
    </w:p>
    <w:p w14:paraId="270D4204">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当事态有扩大、发展趋势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区指挥部应急处置能力不足</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应采取措施尽量控制事故发展，同时报请上级应急指挥机构给予救援</w:t>
      </w:r>
      <w:r>
        <w:rPr>
          <w:rFonts w:hint="eastAsia" w:ascii="仿宋" w:hAnsi="仿宋" w:eastAsia="仿宋" w:cs="仿宋"/>
          <w:color w:val="auto"/>
          <w:sz w:val="32"/>
          <w:szCs w:val="32"/>
          <w:highlight w:val="none"/>
        </w:rPr>
        <w:t>。</w:t>
      </w:r>
    </w:p>
    <w:p w14:paraId="5FC94047">
      <w:pPr>
        <w:shd w:val="clear"/>
        <w:spacing w:after="0" w:line="500" w:lineRule="exact"/>
        <w:ind w:firstLine="643"/>
        <w:jc w:val="both"/>
        <w:outlineLvl w:val="1"/>
        <w:rPr>
          <w:rFonts w:hint="eastAsia" w:ascii="仿宋" w:hAnsi="仿宋" w:eastAsia="仿宋" w:cs="仿宋"/>
          <w:b/>
          <w:color w:val="auto"/>
          <w:sz w:val="32"/>
          <w:szCs w:val="32"/>
          <w:highlight w:val="none"/>
          <w:lang w:val="en-US" w:eastAsia="zh-CN"/>
        </w:rPr>
      </w:pPr>
      <w:bookmarkStart w:id="63" w:name="_Toc7820"/>
      <w:bookmarkStart w:id="64" w:name="_Toc22272"/>
      <w:bookmarkStart w:id="65" w:name="_Toc13381"/>
      <w:r>
        <w:rPr>
          <w:rFonts w:hint="eastAsia" w:ascii="仿宋" w:hAnsi="仿宋" w:eastAsia="仿宋" w:cs="仿宋"/>
          <w:b/>
          <w:color w:val="auto"/>
          <w:sz w:val="32"/>
          <w:szCs w:val="32"/>
          <w:highlight w:val="none"/>
          <w:lang w:val="en-US" w:eastAsia="zh-CN"/>
        </w:rPr>
        <w:t>4.5</w:t>
      </w:r>
      <w:r>
        <w:rPr>
          <w:rFonts w:hint="eastAsia" w:ascii="仿宋" w:hAnsi="仿宋" w:eastAsia="仿宋" w:cs="仿宋"/>
          <w:b/>
          <w:color w:val="auto"/>
          <w:sz w:val="32"/>
          <w:szCs w:val="32"/>
          <w:highlight w:val="none"/>
        </w:rPr>
        <w:t>信息发布</w:t>
      </w:r>
      <w:r>
        <w:rPr>
          <w:rFonts w:hint="eastAsia" w:ascii="仿宋" w:hAnsi="仿宋" w:eastAsia="仿宋" w:cs="仿宋"/>
          <w:b/>
          <w:color w:val="auto"/>
          <w:sz w:val="32"/>
          <w:szCs w:val="32"/>
          <w:highlight w:val="none"/>
          <w:lang w:val="en-US" w:eastAsia="zh-CN"/>
        </w:rPr>
        <w:t>和新闻报道</w:t>
      </w:r>
      <w:bookmarkEnd w:id="63"/>
      <w:bookmarkEnd w:id="64"/>
    </w:p>
    <w:p w14:paraId="45F583C8">
      <w:pPr>
        <w:shd w:val="clear"/>
        <w:spacing w:after="0" w:line="500" w:lineRule="exact"/>
        <w:ind w:firstLine="640"/>
        <w:jc w:val="both"/>
        <w:rPr>
          <w:rFonts w:hint="eastAsia" w:ascii="仿宋" w:hAnsi="仿宋" w:eastAsia="仿宋" w:cs="仿宋"/>
          <w:b w:val="0"/>
          <w:bCs w:val="0"/>
          <w:color w:val="auto"/>
          <w:kern w:val="0"/>
          <w:sz w:val="32"/>
          <w:szCs w:val="32"/>
          <w:highlight w:val="none"/>
          <w:lang w:val="zh-CN" w:eastAsia="zh-CN" w:bidi="ar-SA"/>
        </w:rPr>
      </w:pPr>
      <w:r>
        <w:rPr>
          <w:rFonts w:hint="eastAsia" w:ascii="仿宋" w:hAnsi="仿宋" w:eastAsia="仿宋" w:cs="仿宋"/>
          <w:color w:val="auto"/>
          <w:sz w:val="32"/>
          <w:szCs w:val="32"/>
          <w:highlight w:val="none"/>
          <w:lang w:val="zh-CN"/>
        </w:rPr>
        <w:t>危险化学品事故及应急处置信息</w:t>
      </w:r>
      <w:r>
        <w:rPr>
          <w:rFonts w:hint="eastAsia" w:ascii="仿宋" w:hAnsi="仿宋" w:eastAsia="仿宋" w:cs="仿宋"/>
          <w:color w:val="auto"/>
          <w:sz w:val="32"/>
          <w:szCs w:val="32"/>
          <w:highlight w:val="none"/>
          <w:lang w:val="en-US" w:eastAsia="zh-CN"/>
        </w:rPr>
        <w:t>发布按照瑶海区新闻发布相关要求进行，有关事故报道</w:t>
      </w:r>
      <w:r>
        <w:rPr>
          <w:rFonts w:hint="eastAsia" w:ascii="仿宋" w:hAnsi="仿宋" w:eastAsia="仿宋" w:cs="仿宋"/>
          <w:b w:val="0"/>
          <w:bCs w:val="0"/>
          <w:color w:val="auto"/>
          <w:kern w:val="0"/>
          <w:sz w:val="32"/>
          <w:szCs w:val="32"/>
          <w:highlight w:val="none"/>
          <w:lang w:val="zh-CN" w:eastAsia="zh-CN" w:bidi="ar-SA"/>
        </w:rPr>
        <w:t>应按程序送审后</w:t>
      </w:r>
      <w:r>
        <w:rPr>
          <w:rFonts w:hint="eastAsia" w:ascii="仿宋" w:hAnsi="仿宋" w:eastAsia="仿宋" w:cs="仿宋"/>
          <w:b w:val="0"/>
          <w:bCs w:val="0"/>
          <w:color w:val="auto"/>
          <w:kern w:val="0"/>
          <w:sz w:val="32"/>
          <w:szCs w:val="32"/>
          <w:highlight w:val="none"/>
          <w:lang w:val="en-US" w:eastAsia="zh-CN" w:bidi="ar-SA"/>
        </w:rPr>
        <w:t>与有关媒体对接</w:t>
      </w:r>
      <w:r>
        <w:rPr>
          <w:rFonts w:hint="eastAsia" w:ascii="仿宋" w:hAnsi="仿宋" w:eastAsia="仿宋" w:cs="仿宋"/>
          <w:b w:val="0"/>
          <w:bCs w:val="0"/>
          <w:color w:val="auto"/>
          <w:kern w:val="0"/>
          <w:sz w:val="32"/>
          <w:szCs w:val="32"/>
          <w:highlight w:val="none"/>
          <w:lang w:val="zh-CN" w:eastAsia="zh-CN" w:bidi="ar-SA"/>
        </w:rPr>
        <w:t>。</w:t>
      </w:r>
    </w:p>
    <w:p w14:paraId="5E3C6B18">
      <w:pPr>
        <w:pStyle w:val="3"/>
        <w:shd w:val="clear"/>
        <w:spacing w:line="500" w:lineRule="exact"/>
        <w:ind w:firstLine="643"/>
        <w:rPr>
          <w:rFonts w:hint="eastAsia" w:ascii="仿宋" w:hAnsi="仿宋" w:eastAsia="仿宋" w:cs="仿宋"/>
          <w:color w:val="auto"/>
          <w:highlight w:val="none"/>
        </w:rPr>
      </w:pPr>
      <w:bookmarkStart w:id="66" w:name="_Toc28856"/>
      <w:bookmarkStart w:id="67" w:name="_Toc24769"/>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应急结束</w:t>
      </w:r>
      <w:bookmarkEnd w:id="65"/>
      <w:bookmarkEnd w:id="66"/>
      <w:bookmarkEnd w:id="67"/>
    </w:p>
    <w:p w14:paraId="501C425C">
      <w:pPr>
        <w:shd w:val="clear"/>
        <w:spacing w:after="0" w:line="50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现场指挥部确认事故得到有效控制，危险已消除，环境符合有关标准，导致次生、衍生事故因素消除，伤亡人员已经查清，受伤人员得到救治后，现场指挥部向区危险化学品事故应急救援指挥部及上级监管部门提出应急结束的报告，经批准后由现场总指挥部宣布现场应急处置工作结束，应急救援队伍撤离现场。</w:t>
      </w:r>
    </w:p>
    <w:p w14:paraId="6AC7B245">
      <w:pPr>
        <w:shd w:val="clear"/>
        <w:spacing w:after="0" w:line="500" w:lineRule="exact"/>
        <w:ind w:firstLine="64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当事故由上级指挥机构指挥救援时，上级指挥机构宣布事故应急结束后，区指挥部按照上级指挥机构指示结束响应，并做好相关后期工作。</w:t>
      </w:r>
    </w:p>
    <w:p w14:paraId="06ED73CA">
      <w:pPr>
        <w:shd w:val="clear"/>
        <w:spacing w:after="0" w:line="500" w:lineRule="exact"/>
        <w:ind w:firstLine="643"/>
        <w:jc w:val="both"/>
        <w:outlineLvl w:val="1"/>
        <w:rPr>
          <w:rFonts w:hint="eastAsia" w:ascii="仿宋" w:hAnsi="仿宋" w:eastAsia="仿宋" w:cs="仿宋"/>
          <w:b/>
          <w:color w:val="auto"/>
          <w:sz w:val="32"/>
          <w:szCs w:val="32"/>
          <w:highlight w:val="none"/>
          <w:lang w:val="zh-CN"/>
        </w:rPr>
      </w:pPr>
      <w:bookmarkStart w:id="68" w:name="_Toc7256"/>
      <w:bookmarkStart w:id="69" w:name="_Toc8967"/>
      <w:r>
        <w:rPr>
          <w:rFonts w:hint="eastAsia" w:ascii="仿宋" w:hAnsi="仿宋" w:eastAsia="仿宋" w:cs="仿宋"/>
          <w:b/>
          <w:color w:val="auto"/>
          <w:sz w:val="32"/>
          <w:szCs w:val="32"/>
          <w:highlight w:val="none"/>
          <w:lang w:val="zh-CN"/>
        </w:rPr>
        <w:t>4.</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lang w:val="zh-CN"/>
        </w:rPr>
        <w:t>应急响应程序图</w:t>
      </w:r>
      <w:bookmarkEnd w:id="68"/>
      <w:bookmarkEnd w:id="69"/>
    </w:p>
    <w:p w14:paraId="519FF97C">
      <w:pPr>
        <w:shd w:val="clear"/>
        <w:spacing w:line="560" w:lineRule="exact"/>
        <w:ind w:firstLine="643"/>
        <w:outlineLvl w:val="9"/>
        <w:rPr>
          <w:rFonts w:hint="eastAsia" w:ascii="仿宋" w:hAnsi="仿宋" w:eastAsia="仿宋" w:cs="仿宋"/>
          <w:color w:val="auto"/>
          <w:highlight w:val="none"/>
        </w:rPr>
      </w:pPr>
      <w:bookmarkStart w:id="70" w:name="_Toc25143"/>
      <w:bookmarkStart w:id="71" w:name="_Toc18246"/>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1026160</wp:posOffset>
                </wp:positionH>
                <wp:positionV relativeFrom="paragraph">
                  <wp:posOffset>191770</wp:posOffset>
                </wp:positionV>
                <wp:extent cx="1800225" cy="389255"/>
                <wp:effectExtent l="7620" t="7620" r="20955" b="9525"/>
                <wp:wrapNone/>
                <wp:docPr id="1" name="自选图形 2"/>
                <wp:cNvGraphicFramePr/>
                <a:graphic xmlns:a="http://schemas.openxmlformats.org/drawingml/2006/main">
                  <a:graphicData uri="http://schemas.microsoft.com/office/word/2010/wordprocessingShape">
                    <wps:wsp>
                      <wps:cNvSpPr/>
                      <wps:spPr>
                        <a:xfrm>
                          <a:off x="0" y="0"/>
                          <a:ext cx="1800225" cy="38925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589C8343">
                            <w:pPr>
                              <w:spacing w:after="0" w:line="320" w:lineRule="exact"/>
                              <w:jc w:val="center"/>
                              <w:rPr>
                                <w:rFonts w:ascii="仿宋_GB2312" w:eastAsia="仿宋_GB2312"/>
                                <w:sz w:val="24"/>
                              </w:rPr>
                            </w:pPr>
                            <w:r>
                              <w:rPr>
                                <w:rFonts w:hint="eastAsia" w:ascii="仿宋_GB2312" w:eastAsia="仿宋_GB2312"/>
                                <w:sz w:val="24"/>
                              </w:rPr>
                              <w:t>危险化学品事故发生</w:t>
                            </w:r>
                          </w:p>
                        </w:txbxContent>
                      </wps:txbx>
                      <wps:bodyPr upright="1"/>
                    </wps:wsp>
                  </a:graphicData>
                </a:graphic>
              </wp:anchor>
            </w:drawing>
          </mc:Choice>
          <mc:Fallback>
            <w:pict>
              <v:roundrect id="自选图形 2" o:spid="_x0000_s1026" o:spt="2" style="position:absolute;left:0pt;margin-left:80.8pt;margin-top:15.1pt;height:30.65pt;width:141.75pt;z-index:251660288;mso-width-relative:page;mso-height-relative:page;" fillcolor="#FFFFFF" filled="t" stroked="t" coordsize="21600,21600" arcsize="0.166666666666667" o:gfxdata="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wV&#10;r9cAAAAJAQAADwAAAAAAAAABACAAAAAiAAAAZHJzL2Rvd25yZXYueG1sUEsBAhQAFAAAAAgAh07i&#10;QPl/KSlcAgAA3gQAAA4AAAAAAAAAAQAgAAAAJgEAAGRycy9lMm9Eb2MueG1sUEsFBgAAAAAGAAYA&#10;WQEAAPQFAAAAAA==&#10;">
                <v:fill type="gradient" on="t" color2="#FFFFFF" angle="90" focus="100%" focussize="0,0">
                  <o:fill type="gradientUnscaled" v:ext="backwardCompatible"/>
                </v:fill>
                <v:stroke weight="1.25pt" color="#000000" joinstyle="round"/>
                <v:imagedata o:title=""/>
                <o:lock v:ext="edit" aspectratio="f"/>
                <v:textbox>
                  <w:txbxContent>
                    <w:p w14:paraId="589C8343">
                      <w:pPr>
                        <w:spacing w:after="0" w:line="320" w:lineRule="exact"/>
                        <w:jc w:val="center"/>
                        <w:rPr>
                          <w:rFonts w:ascii="仿宋_GB2312" w:eastAsia="仿宋_GB2312"/>
                          <w:sz w:val="24"/>
                        </w:rPr>
                      </w:pPr>
                      <w:r>
                        <w:rPr>
                          <w:rFonts w:hint="eastAsia" w:ascii="仿宋_GB2312" w:eastAsia="仿宋_GB2312"/>
                          <w:sz w:val="24"/>
                        </w:rPr>
                        <w:t>危险化学品事故发生</w:t>
                      </w:r>
                    </w:p>
                  </w:txbxContent>
                </v:textbox>
              </v:roundrect>
            </w:pict>
          </mc:Fallback>
        </mc:AlternateContent>
      </w:r>
    </w:p>
    <w:p w14:paraId="453B266D">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1026795</wp:posOffset>
                </wp:positionH>
                <wp:positionV relativeFrom="paragraph">
                  <wp:posOffset>400050</wp:posOffset>
                </wp:positionV>
                <wp:extent cx="1800225" cy="542925"/>
                <wp:effectExtent l="7620" t="7620" r="20955" b="8255"/>
                <wp:wrapNone/>
                <wp:docPr id="2" name="自选图形 3"/>
                <wp:cNvGraphicFramePr/>
                <a:graphic xmlns:a="http://schemas.openxmlformats.org/drawingml/2006/main">
                  <a:graphicData uri="http://schemas.microsoft.com/office/word/2010/wordprocessingShape">
                    <wps:wsp>
                      <wps:cNvSpPr/>
                      <wps:spPr>
                        <a:xfrm>
                          <a:off x="0" y="0"/>
                          <a:ext cx="1800225" cy="54292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3741C9DC">
                            <w:pPr>
                              <w:spacing w:after="0" w:line="320" w:lineRule="exact"/>
                              <w:jc w:val="center"/>
                              <w:rPr>
                                <w:rFonts w:hint="default" w:ascii="仿宋_GB2312" w:eastAsia="仿宋_GB2312"/>
                                <w:sz w:val="24"/>
                                <w:lang w:val="en-US" w:eastAsia="zh-CN"/>
                              </w:rPr>
                            </w:pPr>
                            <w:r>
                              <w:rPr>
                                <w:rFonts w:hint="eastAsia" w:ascii="仿宋_GB2312" w:eastAsia="仿宋_GB2312"/>
                                <w:sz w:val="24"/>
                                <w:lang w:val="en-US" w:eastAsia="zh-CN"/>
                              </w:rPr>
                              <w:t>区指挥部接报</w:t>
                            </w:r>
                          </w:p>
                        </w:txbxContent>
                      </wps:txbx>
                      <wps:bodyPr upright="1"/>
                    </wps:wsp>
                  </a:graphicData>
                </a:graphic>
              </wp:anchor>
            </w:drawing>
          </mc:Choice>
          <mc:Fallback>
            <w:pict>
              <v:roundrect id="自选图形 3" o:spid="_x0000_s1026" o:spt="2" style="position:absolute;left:0pt;margin-left:80.85pt;margin-top:31.5pt;height:42.75pt;width:141.75pt;z-index:251661312;mso-width-relative:page;mso-height-relative:page;" fillcolor="#FFFFFF" filled="t" stroked="t" coordsize="21600,21600" arcsize="0.166666666666667" o:gfxdata="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hYT&#10;DdcAAAAKAQAADwAAAAAAAAABACAAAAAiAAAAZHJzL2Rvd25yZXYueG1sUEsBAhQAFAAAAAgAh07i&#10;QPfOF7hcAgAA3gQAAA4AAAAAAAAAAQAgAAAAJgEAAGRycy9lMm9Eb2MueG1sUEsFBgAAAAAGAAYA&#10;WQEAAPQFAAAAAA==&#10;">
                <v:fill type="gradient" on="t" color2="#FFFFFF" angle="90" focus="100%" focussize="0,0">
                  <o:fill type="gradientUnscaled" v:ext="backwardCompatible"/>
                </v:fill>
                <v:stroke weight="1.25pt" color="#000000" joinstyle="round"/>
                <v:imagedata o:title=""/>
                <o:lock v:ext="edit" aspectratio="f"/>
                <v:textbox>
                  <w:txbxContent>
                    <w:p w14:paraId="3741C9DC">
                      <w:pPr>
                        <w:spacing w:after="0" w:line="320" w:lineRule="exact"/>
                        <w:jc w:val="center"/>
                        <w:rPr>
                          <w:rFonts w:hint="default" w:ascii="仿宋_GB2312" w:eastAsia="仿宋_GB2312"/>
                          <w:sz w:val="24"/>
                          <w:lang w:val="en-US" w:eastAsia="zh-CN"/>
                        </w:rPr>
                      </w:pPr>
                      <w:r>
                        <w:rPr>
                          <w:rFonts w:hint="eastAsia" w:ascii="仿宋_GB2312" w:eastAsia="仿宋_GB2312"/>
                          <w:sz w:val="24"/>
                          <w:lang w:val="en-US" w:eastAsia="zh-CN"/>
                        </w:rPr>
                        <w:t>区指挥部接报</w:t>
                      </w: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1877695</wp:posOffset>
                </wp:positionH>
                <wp:positionV relativeFrom="paragraph">
                  <wp:posOffset>108585</wp:posOffset>
                </wp:positionV>
                <wp:extent cx="635" cy="285750"/>
                <wp:effectExtent l="37465" t="0" r="38100" b="19050"/>
                <wp:wrapNone/>
                <wp:docPr id="9" name="自选图形 11"/>
                <wp:cNvGraphicFramePr/>
                <a:graphic xmlns:a="http://schemas.openxmlformats.org/drawingml/2006/main">
                  <a:graphicData uri="http://schemas.microsoft.com/office/word/2010/wordprocessingShape">
                    <wps:wsp>
                      <wps:cNvCnPr/>
                      <wps:spPr>
                        <a:xfrm>
                          <a:off x="0" y="0"/>
                          <a:ext cx="635" cy="2857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147.85pt;margin-top:8.55pt;height:22.5pt;width:0.05pt;z-index:251668480;mso-width-relative:page;mso-height-relative:page;" filled="f" stroked="t" coordsize="21600,21600" o:gfxdata="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iN6g2AAAAAkBAAAPAAAAAAAAAAEAIAAAACIAAABkcnMvZG93&#10;bnJldi54bWxQSwECFAAUAAAACACHTuJAJwXp+wACAADqAwAADgAAAAAAAAABACAAAAAnAQAAZHJz&#10;L2Uyb0RvYy54bWxQSwUGAAAAAAYABgBZAQAAmQUAAAAA&#10;">
                <v:fill on="f" focussize="0,0"/>
                <v:stroke weight="1.25pt" color="#000000" joinstyle="round" endarrow="block"/>
                <v:imagedata o:title=""/>
                <o:lock v:ext="edit" aspectratio="f"/>
              </v:shape>
            </w:pict>
          </mc:Fallback>
        </mc:AlternateContent>
      </w:r>
    </w:p>
    <w:p w14:paraId="17FFB2AD">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460375</wp:posOffset>
                </wp:positionV>
                <wp:extent cx="635" cy="285750"/>
                <wp:effectExtent l="37465" t="0" r="38100" b="19050"/>
                <wp:wrapNone/>
                <wp:docPr id="10" name="自选图形 12"/>
                <wp:cNvGraphicFramePr/>
                <a:graphic xmlns:a="http://schemas.openxmlformats.org/drawingml/2006/main">
                  <a:graphicData uri="http://schemas.microsoft.com/office/word/2010/wordprocessingShape">
                    <wps:wsp>
                      <wps:cNvCnPr/>
                      <wps:spPr>
                        <a:xfrm>
                          <a:off x="0" y="0"/>
                          <a:ext cx="635" cy="2857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49.5pt;margin-top:36.25pt;height:22.5pt;width:0.05pt;z-index:251669504;mso-width-relative:page;mso-height-relative:page;" filled="f" stroked="t" coordsize="21600,21600" o:gfxdata="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FzjwtkAAAAKAQAADwAAAAAAAAABACAAAAAiAAAAZHJzL2Rv&#10;d25yZXYueG1sUEsBAhQAFAAAAAgAh07iQNWOFRoAAgAA6wMAAA4AAAAAAAAAAQAgAAAAKAEAAGRy&#10;cy9lMm9Eb2MueG1sUEsFBgAAAAAGAAYAWQEAAJoFAAAAAA==&#10;">
                <v:fill on="f" focussize="0,0"/>
                <v:stroke weight="1.25pt" color="#000000" joinstyle="round" endarrow="block"/>
                <v:imagedata o:title=""/>
                <o:lock v:ext="edit" aspectratio="f"/>
              </v:shape>
            </w:pict>
          </mc:Fallback>
        </mc:AlternateContent>
      </w:r>
    </w:p>
    <w:p w14:paraId="75DEAEE6">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3085465</wp:posOffset>
                </wp:positionH>
                <wp:positionV relativeFrom="paragraph">
                  <wp:posOffset>276225</wp:posOffset>
                </wp:positionV>
                <wp:extent cx="541020" cy="266700"/>
                <wp:effectExtent l="0" t="0" r="0" b="0"/>
                <wp:wrapNone/>
                <wp:docPr id="16" name="文本框 23"/>
                <wp:cNvGraphicFramePr/>
                <a:graphic xmlns:a="http://schemas.openxmlformats.org/drawingml/2006/main">
                  <a:graphicData uri="http://schemas.microsoft.com/office/word/2010/wordprocessingShape">
                    <wps:wsp>
                      <wps:cNvSpPr txBox="1"/>
                      <wps:spPr>
                        <a:xfrm>
                          <a:off x="0" y="0"/>
                          <a:ext cx="541020" cy="266700"/>
                        </a:xfrm>
                        <a:prstGeom prst="rect">
                          <a:avLst/>
                        </a:prstGeom>
                        <a:noFill/>
                        <a:ln>
                          <a:noFill/>
                        </a:ln>
                      </wps:spPr>
                      <wps:txbx>
                        <w:txbxContent>
                          <w:p w14:paraId="3FEA7F0F">
                            <w:pPr>
                              <w:spacing w:after="0" w:line="320" w:lineRule="exact"/>
                              <w:jc w:val="center"/>
                              <w:rPr>
                                <w:rFonts w:ascii="仿宋_GB2312" w:eastAsia="仿宋_GB2312"/>
                                <w:sz w:val="24"/>
                              </w:rPr>
                            </w:pPr>
                            <w:r>
                              <w:rPr>
                                <w:rFonts w:hint="eastAsia" w:ascii="仿宋_GB2312" w:eastAsia="仿宋_GB2312"/>
                                <w:sz w:val="24"/>
                              </w:rPr>
                              <w:t>上报</w:t>
                            </w:r>
                          </w:p>
                        </w:txbxContent>
                      </wps:txbx>
                      <wps:bodyPr upright="1"/>
                    </wps:wsp>
                  </a:graphicData>
                </a:graphic>
              </wp:anchor>
            </w:drawing>
          </mc:Choice>
          <mc:Fallback>
            <w:pict>
              <v:shape id="文本框 23" o:spid="_x0000_s1026" o:spt="202" type="#_x0000_t202" style="position:absolute;left:0pt;margin-left:242.95pt;margin-top:21.75pt;height:21pt;width:42.6pt;z-index:251675648;mso-width-relative:page;mso-height-relative:page;" filled="f" stroked="f" coordsize="21600,21600" o:gfxdata="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iC3rrWAAAA&#10;CQEAAA8AAAAAAAAAAQAgAAAAIgAAAGRycy9kb3ducmV2LnhtbFBLAQIUABQAAAAIAIdO4kA9ECgu&#10;rQEAAE8DAAAOAAAAAAAAAAEAIAAAACUBAABkcnMvZTJvRG9jLnhtbFBLBQYAAAAABgAGAFkBAABE&#10;BQAAAAA=&#10;">
                <v:fill on="f" focussize="0,0"/>
                <v:stroke on="f"/>
                <v:imagedata o:title=""/>
                <o:lock v:ext="edit" aspectratio="f"/>
                <v:textbox>
                  <w:txbxContent>
                    <w:p w14:paraId="3FEA7F0F">
                      <w:pPr>
                        <w:spacing w:after="0" w:line="320" w:lineRule="exact"/>
                        <w:jc w:val="center"/>
                        <w:rPr>
                          <w:rFonts w:ascii="仿宋_GB2312" w:eastAsia="仿宋_GB2312"/>
                          <w:sz w:val="24"/>
                        </w:rPr>
                      </w:pPr>
                      <w:r>
                        <w:rPr>
                          <w:rFonts w:hint="eastAsia" w:ascii="仿宋_GB2312" w:eastAsia="仿宋_GB2312"/>
                          <w:sz w:val="24"/>
                        </w:rPr>
                        <w:t>上报</w:t>
                      </w:r>
                    </w:p>
                  </w:txbxContent>
                </v:textbox>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3893185</wp:posOffset>
                </wp:positionH>
                <wp:positionV relativeFrom="paragraph">
                  <wp:posOffset>260350</wp:posOffset>
                </wp:positionV>
                <wp:extent cx="1647825" cy="514350"/>
                <wp:effectExtent l="7620" t="7620" r="20955" b="11430"/>
                <wp:wrapNone/>
                <wp:docPr id="7" name="自选图形 9"/>
                <wp:cNvGraphicFramePr/>
                <a:graphic xmlns:a="http://schemas.openxmlformats.org/drawingml/2006/main">
                  <a:graphicData uri="http://schemas.microsoft.com/office/word/2010/wordprocessingShape">
                    <wps:wsp>
                      <wps:cNvSpPr/>
                      <wps:spPr>
                        <a:xfrm>
                          <a:off x="0" y="0"/>
                          <a:ext cx="1647825" cy="514350"/>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2D2363FF">
                            <w:pPr>
                              <w:spacing w:after="0" w:line="500" w:lineRule="exact"/>
                              <w:jc w:val="center"/>
                              <w:rPr>
                                <w:rFonts w:ascii="仿宋_GB2312" w:eastAsia="仿宋_GB2312"/>
                                <w:sz w:val="24"/>
                              </w:rPr>
                            </w:pPr>
                            <w:r>
                              <w:rPr>
                                <w:rFonts w:hint="eastAsia" w:ascii="仿宋_GB2312" w:eastAsia="仿宋_GB2312"/>
                                <w:sz w:val="24"/>
                              </w:rPr>
                              <w:t>合肥市应急管理局</w:t>
                            </w:r>
                          </w:p>
                        </w:txbxContent>
                      </wps:txbx>
                      <wps:bodyPr upright="1"/>
                    </wps:wsp>
                  </a:graphicData>
                </a:graphic>
              </wp:anchor>
            </w:drawing>
          </mc:Choice>
          <mc:Fallback>
            <w:pict>
              <v:roundrect id="自选图形 9" o:spid="_x0000_s1026" o:spt="2" style="position:absolute;left:0pt;margin-left:306.55pt;margin-top:20.5pt;height:40.5pt;width:129.75pt;z-index:251666432;mso-width-relative:page;mso-height-relative:page;" fillcolor="#FFFFFF" filled="t" stroked="t" coordsize="21600,21600" arcsize="0.166666666666667" o:gfxdata="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CT&#10;fcbYAAAACgEAAA8AAAAAAAAAAQAgAAAAIgAAAGRycy9kb3ducmV2LnhtbFBLAQIUABQAAAAIAIdO&#10;4kDrLuNxXAIAAN4EAAAOAAAAAAAAAAEAIAAAACcBAABkcnMvZTJvRG9jLnhtbFBLBQYAAAAABgAG&#10;AFkBAAD1BQAAAAA=&#10;">
                <v:fill type="gradient" on="t" color2="#FFFFFF" angle="90" focus="100%" focussize="0,0">
                  <o:fill type="gradientUnscaled" v:ext="backwardCompatible"/>
                </v:fill>
                <v:stroke weight="1.25pt" color="#000000" joinstyle="round"/>
                <v:imagedata o:title=""/>
                <o:lock v:ext="edit" aspectratio="f"/>
                <v:textbox>
                  <w:txbxContent>
                    <w:p w14:paraId="2D2363FF">
                      <w:pPr>
                        <w:spacing w:after="0" w:line="500" w:lineRule="exact"/>
                        <w:jc w:val="center"/>
                        <w:rPr>
                          <w:rFonts w:ascii="仿宋_GB2312" w:eastAsia="仿宋_GB2312"/>
                          <w:sz w:val="24"/>
                        </w:rPr>
                      </w:pPr>
                      <w:r>
                        <w:rPr>
                          <w:rFonts w:hint="eastAsia" w:ascii="仿宋_GB2312" w:eastAsia="仿宋_GB2312"/>
                          <w:sz w:val="24"/>
                        </w:rPr>
                        <w:t>合肥市应急管理局</w:t>
                      </w: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1031875</wp:posOffset>
                </wp:positionH>
                <wp:positionV relativeFrom="paragraph">
                  <wp:posOffset>263525</wp:posOffset>
                </wp:positionV>
                <wp:extent cx="1800225" cy="542925"/>
                <wp:effectExtent l="7620" t="7620" r="20955" b="8255"/>
                <wp:wrapNone/>
                <wp:docPr id="3" name="自选图形 4"/>
                <wp:cNvGraphicFramePr/>
                <a:graphic xmlns:a="http://schemas.openxmlformats.org/drawingml/2006/main">
                  <a:graphicData uri="http://schemas.microsoft.com/office/word/2010/wordprocessingShape">
                    <wps:wsp>
                      <wps:cNvSpPr/>
                      <wps:spPr>
                        <a:xfrm>
                          <a:off x="0" y="0"/>
                          <a:ext cx="1800225" cy="54292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6F2107C1">
                            <w:pPr>
                              <w:spacing w:after="0" w:line="320" w:lineRule="exact"/>
                              <w:jc w:val="center"/>
                              <w:rPr>
                                <w:rFonts w:ascii="仿宋_GB2312" w:eastAsia="仿宋_GB2312"/>
                                <w:sz w:val="24"/>
                              </w:rPr>
                            </w:pPr>
                            <w:r>
                              <w:rPr>
                                <w:rFonts w:hint="eastAsia" w:ascii="仿宋_GB2312" w:eastAsia="仿宋_GB2312"/>
                                <w:sz w:val="24"/>
                                <w:lang w:val="en-US" w:eastAsia="zh-CN"/>
                              </w:rPr>
                              <w:t>确认事故、启动预案并组建现场</w:t>
                            </w:r>
                            <w:r>
                              <w:rPr>
                                <w:rFonts w:hint="eastAsia" w:ascii="仿宋_GB2312" w:eastAsia="仿宋_GB2312"/>
                                <w:sz w:val="24"/>
                              </w:rPr>
                              <w:t>应急指挥部</w:t>
                            </w:r>
                          </w:p>
                        </w:txbxContent>
                      </wps:txbx>
                      <wps:bodyPr upright="1"/>
                    </wps:wsp>
                  </a:graphicData>
                </a:graphic>
              </wp:anchor>
            </w:drawing>
          </mc:Choice>
          <mc:Fallback>
            <w:pict>
              <v:roundrect id="自选图形 4" o:spid="_x0000_s1026" o:spt="2" style="position:absolute;left:0pt;margin-left:81.25pt;margin-top:20.75pt;height:42.75pt;width:141.75pt;z-index:251662336;mso-width-relative:page;mso-height-relative:page;" fillcolor="#FFFFFF" filled="t" stroked="t" coordsize="21600,21600" arcsize="0.166666666666667" o:gfxdata="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ou&#10;jrDXAAAACgEAAA8AAAAAAAAAAQAgAAAAIgAAAGRycy9kb3ducmV2LnhtbFBLAQIUABQAAAAIAIdO&#10;4kAsUgJYXQIAAN4EAAAOAAAAAAAAAAEAIAAAACYBAABkcnMvZTJvRG9jLnhtbFBLBQYAAAAABgAG&#10;AFkBAAD1BQAAAAA=&#10;">
                <v:fill type="gradient" on="t" color2="#FFFFFF" angle="90" focus="100%" focussize="0,0">
                  <o:fill type="gradientUnscaled" v:ext="backwardCompatible"/>
                </v:fill>
                <v:stroke weight="1.25pt" color="#000000" joinstyle="round"/>
                <v:imagedata o:title=""/>
                <o:lock v:ext="edit" aspectratio="f"/>
                <v:textbox>
                  <w:txbxContent>
                    <w:p w14:paraId="6F2107C1">
                      <w:pPr>
                        <w:spacing w:after="0" w:line="320" w:lineRule="exact"/>
                        <w:jc w:val="center"/>
                        <w:rPr>
                          <w:rFonts w:ascii="仿宋_GB2312" w:eastAsia="仿宋_GB2312"/>
                          <w:sz w:val="24"/>
                        </w:rPr>
                      </w:pPr>
                      <w:r>
                        <w:rPr>
                          <w:rFonts w:hint="eastAsia" w:ascii="仿宋_GB2312" w:eastAsia="仿宋_GB2312"/>
                          <w:sz w:val="24"/>
                          <w:lang w:val="en-US" w:eastAsia="zh-CN"/>
                        </w:rPr>
                        <w:t>确认事故、启动预案并组建现场</w:t>
                      </w:r>
                      <w:r>
                        <w:rPr>
                          <w:rFonts w:hint="eastAsia" w:ascii="仿宋_GB2312" w:eastAsia="仿宋_GB2312"/>
                          <w:sz w:val="24"/>
                        </w:rPr>
                        <w:t>应急指挥部</w:t>
                      </w:r>
                    </w:p>
                  </w:txbxContent>
                </v:textbox>
              </v:roundrect>
            </w:pict>
          </mc:Fallback>
        </mc:AlternateContent>
      </w:r>
    </w:p>
    <w:p w14:paraId="0EBDE53F">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1947545</wp:posOffset>
                </wp:positionH>
                <wp:positionV relativeFrom="paragraph">
                  <wp:posOffset>329565</wp:posOffset>
                </wp:positionV>
                <wp:extent cx="635" cy="285750"/>
                <wp:effectExtent l="37465" t="0" r="38100" b="19050"/>
                <wp:wrapNone/>
                <wp:docPr id="11" name="自选图形 13"/>
                <wp:cNvGraphicFramePr/>
                <a:graphic xmlns:a="http://schemas.openxmlformats.org/drawingml/2006/main">
                  <a:graphicData uri="http://schemas.microsoft.com/office/word/2010/wordprocessingShape">
                    <wps:wsp>
                      <wps:cNvCnPr/>
                      <wps:spPr>
                        <a:xfrm>
                          <a:off x="0" y="0"/>
                          <a:ext cx="635" cy="2857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153.35pt;margin-top:25.95pt;height:22.5pt;width:0.05pt;z-index:251670528;mso-width-relative:page;mso-height-relative:page;" filled="f" stroked="t" coordsize="21600,21600" o:gfxdata="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BeWm2AAAAAkBAAAPAAAAAAAAAAEAIAAAACIAAABkcnMvZG93&#10;bnJldi54bWxQSwECFAAUAAAACACHTuJA6UPz5QACAADrAwAADgAAAAAAAAABACAAAAAnAQAAZHJz&#10;L2Uyb0RvYy54bWxQSwUGAAAAAAYABgBZAQAAmQUAAAAA&#10;">
                <v:fill on="f" focussize="0,0"/>
                <v:stroke weight="1.25pt" color="#000000" joinstyle="round" endarrow="block"/>
                <v:imagedata o:title=""/>
                <o:lock v:ext="edit" aspectratio="f"/>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2826385</wp:posOffset>
                </wp:positionH>
                <wp:positionV relativeFrom="paragraph">
                  <wp:posOffset>39370</wp:posOffset>
                </wp:positionV>
                <wp:extent cx="1066800" cy="0"/>
                <wp:effectExtent l="0" t="38100" r="0" b="38100"/>
                <wp:wrapNone/>
                <wp:docPr id="14" name="自选图形 19"/>
                <wp:cNvGraphicFramePr/>
                <a:graphic xmlns:a="http://schemas.openxmlformats.org/drawingml/2006/main">
                  <a:graphicData uri="http://schemas.microsoft.com/office/word/2010/wordprocessingShape">
                    <wps:wsp>
                      <wps:cNvCnPr/>
                      <wps:spPr>
                        <a:xfrm>
                          <a:off x="0" y="0"/>
                          <a:ext cx="106680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222.55pt;margin-top:3.1pt;height:0pt;width:84pt;z-index:251673600;mso-width-relative:page;mso-height-relative:page;" filled="f" stroked="t" coordsize="21600,21600" o:gfxdata="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GS+1QAAAAcBAAAPAAAAAAAAAAEAIAAAACIAAABkcnMvZG93bnJldi54&#10;bWxQSwECFAAUAAAACACHTuJAcemsAP0BAADqAwAADgAAAAAAAAABACAAAAAkAQAAZHJzL2Uyb0Rv&#10;Yy54bWxQSwUGAAAAAAYABgBZAQAAkwUAAAAA&#10;">
                <v:fill on="f" focussize="0,0"/>
                <v:stroke weight="1.25pt" color="#000000" joinstyle="round" endarrow="block"/>
                <v:imagedata o:title=""/>
                <o:lock v:ext="edit" aspectratio="f"/>
              </v:shape>
            </w:pict>
          </mc:Fallback>
        </mc:AlternateContent>
      </w:r>
    </w:p>
    <w:p w14:paraId="350AA9F4">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975995</wp:posOffset>
                </wp:positionH>
                <wp:positionV relativeFrom="paragraph">
                  <wp:posOffset>127000</wp:posOffset>
                </wp:positionV>
                <wp:extent cx="2002790" cy="314325"/>
                <wp:effectExtent l="7620" t="7620" r="21590" b="8255"/>
                <wp:wrapNone/>
                <wp:docPr id="4" name="自选图形 5"/>
                <wp:cNvGraphicFramePr/>
                <a:graphic xmlns:a="http://schemas.openxmlformats.org/drawingml/2006/main">
                  <a:graphicData uri="http://schemas.microsoft.com/office/word/2010/wordprocessingShape">
                    <wps:wsp>
                      <wps:cNvSpPr/>
                      <wps:spPr>
                        <a:xfrm>
                          <a:off x="0" y="0"/>
                          <a:ext cx="2002790" cy="31432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14C7F40A">
                            <w:pPr>
                              <w:spacing w:line="320" w:lineRule="exact"/>
                              <w:jc w:val="center"/>
                              <w:rPr>
                                <w:sz w:val="24"/>
                              </w:rPr>
                            </w:pPr>
                            <w:r>
                              <w:rPr>
                                <w:rFonts w:hint="eastAsia" w:ascii="仿宋_GB2312" w:eastAsia="仿宋_GB2312"/>
                                <w:spacing w:val="-20"/>
                                <w:sz w:val="24"/>
                              </w:rPr>
                              <w:t>调配物资，</w:t>
                            </w:r>
                            <w:r>
                              <w:rPr>
                                <w:rFonts w:hint="eastAsia" w:ascii="仿宋_GB2312" w:eastAsia="仿宋_GB2312"/>
                                <w:spacing w:val="-20"/>
                                <w:sz w:val="24"/>
                                <w:lang w:val="en-US" w:eastAsia="zh-CN"/>
                              </w:rPr>
                              <w:t>工作组</w:t>
                            </w:r>
                            <w:r>
                              <w:rPr>
                                <w:rFonts w:hint="eastAsia" w:ascii="仿宋_GB2312" w:eastAsia="仿宋_GB2312"/>
                                <w:spacing w:val="-20"/>
                                <w:sz w:val="24"/>
                              </w:rPr>
                              <w:t>赶赴现场</w:t>
                            </w:r>
                          </w:p>
                        </w:txbxContent>
                      </wps:txbx>
                      <wps:bodyPr upright="1"/>
                    </wps:wsp>
                  </a:graphicData>
                </a:graphic>
              </wp:anchor>
            </w:drawing>
          </mc:Choice>
          <mc:Fallback>
            <w:pict>
              <v:roundrect id="自选图形 5" o:spid="_x0000_s1026" o:spt="2" style="position:absolute;left:0pt;margin-left:76.85pt;margin-top:10pt;height:24.75pt;width:157.7pt;z-index:251663360;mso-width-relative:page;mso-height-relative:page;" fillcolor="#FFFFFF" filled="t" stroked="t" coordsize="21600,21600" arcsize="0.166666666666667" o:gfxdata="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b&#10;m/nWAAAACQEAAA8AAAAAAAAAAQAgAAAAIgAAAGRycy9kb3ducmV2LnhtbFBLAQIUABQAAAAIAIdO&#10;4kCxljMvXgIAAN4EAAAOAAAAAAAAAAEAIAAAACUBAABkcnMvZTJvRG9jLnhtbFBLBQYAAAAABgAG&#10;AFkBAAD1BQAAAAA=&#10;">
                <v:fill type="gradient" on="t" color2="#FFFFFF" angle="90" focus="100%" focussize="0,0">
                  <o:fill type="gradientUnscaled" v:ext="backwardCompatible"/>
                </v:fill>
                <v:stroke weight="1.25pt" color="#000000" joinstyle="round"/>
                <v:imagedata o:title=""/>
                <o:lock v:ext="edit" aspectratio="f"/>
                <v:textbox>
                  <w:txbxContent>
                    <w:p w14:paraId="14C7F40A">
                      <w:pPr>
                        <w:spacing w:line="320" w:lineRule="exact"/>
                        <w:jc w:val="center"/>
                        <w:rPr>
                          <w:sz w:val="24"/>
                        </w:rPr>
                      </w:pPr>
                      <w:r>
                        <w:rPr>
                          <w:rFonts w:hint="eastAsia" w:ascii="仿宋_GB2312" w:eastAsia="仿宋_GB2312"/>
                          <w:spacing w:val="-20"/>
                          <w:sz w:val="24"/>
                        </w:rPr>
                        <w:t>调配物资，</w:t>
                      </w:r>
                      <w:r>
                        <w:rPr>
                          <w:rFonts w:hint="eastAsia" w:ascii="仿宋_GB2312" w:eastAsia="仿宋_GB2312"/>
                          <w:spacing w:val="-20"/>
                          <w:sz w:val="24"/>
                          <w:lang w:val="en-US" w:eastAsia="zh-CN"/>
                        </w:rPr>
                        <w:t>工作组</w:t>
                      </w:r>
                      <w:r>
                        <w:rPr>
                          <w:rFonts w:hint="eastAsia" w:ascii="仿宋_GB2312" w:eastAsia="仿宋_GB2312"/>
                          <w:spacing w:val="-20"/>
                          <w:sz w:val="24"/>
                        </w:rPr>
                        <w:t>赶赴现场</w:t>
                      </w: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1927860</wp:posOffset>
                </wp:positionH>
                <wp:positionV relativeFrom="paragraph">
                  <wp:posOffset>445770</wp:posOffset>
                </wp:positionV>
                <wp:extent cx="0" cy="1009650"/>
                <wp:effectExtent l="38100" t="0" r="38100" b="6350"/>
                <wp:wrapNone/>
                <wp:docPr id="12" name="自选图形 15"/>
                <wp:cNvGraphicFramePr/>
                <a:graphic xmlns:a="http://schemas.openxmlformats.org/drawingml/2006/main">
                  <a:graphicData uri="http://schemas.microsoft.com/office/word/2010/wordprocessingShape">
                    <wps:wsp>
                      <wps:cNvCnPr/>
                      <wps:spPr>
                        <a:xfrm>
                          <a:off x="0" y="0"/>
                          <a:ext cx="0" cy="10096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151.8pt;margin-top:35.1pt;height:79.5pt;width:0pt;z-index:251671552;mso-width-relative:page;mso-height-relative:page;" filled="f" stroked="t" coordsize="21600,21600" o:gfxdata="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HHMg2AAAAAoBAAAPAAAAAAAAAAEAIAAAACIAAABkcnMvZG93bnJl&#10;di54bWxQSwECFAAUAAAACACHTuJAzwRtEP0BAADqAwAADgAAAAAAAAABACAAAAAnAQAAZHJzL2Uy&#10;b0RvYy54bWxQSwUGAAAAAAYABgBZAQAAlgUAAAAA&#10;">
                <v:fill on="f" focussize="0,0"/>
                <v:stroke weight="1.25pt" color="#000000" joinstyle="round" endarrow="block"/>
                <v:imagedata o:title=""/>
                <o:lock v:ext="edit" aspectratio="f"/>
              </v:shape>
            </w:pict>
          </mc:Fallback>
        </mc:AlternateContent>
      </w:r>
    </w:p>
    <w:p w14:paraId="65A79633">
      <w:pPr>
        <w:shd w:val="clear"/>
        <w:spacing w:line="560" w:lineRule="exact"/>
        <w:ind w:firstLine="643"/>
        <w:outlineLvl w:val="9"/>
        <w:rPr>
          <w:rFonts w:hint="eastAsia" w:ascii="仿宋" w:hAnsi="仿宋" w:eastAsia="仿宋" w:cs="仿宋"/>
          <w:color w:val="auto"/>
          <w:highlight w:val="none"/>
        </w:rPr>
      </w:pPr>
    </w:p>
    <w:p w14:paraId="4F77115A">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3739515</wp:posOffset>
                </wp:positionH>
                <wp:positionV relativeFrom="paragraph">
                  <wp:posOffset>421005</wp:posOffset>
                </wp:positionV>
                <wp:extent cx="1905000" cy="415925"/>
                <wp:effectExtent l="7620" t="7620" r="17780" b="8255"/>
                <wp:wrapNone/>
                <wp:docPr id="8" name="自选图形 10"/>
                <wp:cNvGraphicFramePr/>
                <a:graphic xmlns:a="http://schemas.openxmlformats.org/drawingml/2006/main">
                  <a:graphicData uri="http://schemas.microsoft.com/office/word/2010/wordprocessingShape">
                    <wps:wsp>
                      <wps:cNvSpPr/>
                      <wps:spPr>
                        <a:xfrm>
                          <a:off x="0" y="0"/>
                          <a:ext cx="1905000" cy="41592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3C3F0145">
                            <w:pPr>
                              <w:spacing w:after="0" w:line="320" w:lineRule="exact"/>
                              <w:jc w:val="center"/>
                              <w:rPr>
                                <w:rFonts w:hint="eastAsia" w:ascii="仿宋_GB2312" w:eastAsia="仿宋_GB2312"/>
                                <w:sz w:val="24"/>
                                <w:lang w:val="en-US" w:eastAsia="zh-CN"/>
                              </w:rPr>
                            </w:pPr>
                            <w:r>
                              <w:rPr>
                                <w:rFonts w:hint="eastAsia" w:ascii="仿宋_GB2312" w:eastAsia="仿宋_GB2312"/>
                                <w:sz w:val="24"/>
                                <w:lang w:val="en-US" w:eastAsia="zh-CN"/>
                              </w:rPr>
                              <w:t>上级指挥机构</w:t>
                            </w:r>
                          </w:p>
                        </w:txbxContent>
                      </wps:txbx>
                      <wps:bodyPr upright="1"/>
                    </wps:wsp>
                  </a:graphicData>
                </a:graphic>
              </wp:anchor>
            </w:drawing>
          </mc:Choice>
          <mc:Fallback>
            <w:pict>
              <v:roundrect id="自选图形 10" o:spid="_x0000_s1026" o:spt="2" style="position:absolute;left:0pt;margin-left:294.45pt;margin-top:33.15pt;height:32.75pt;width:150pt;z-index:251667456;mso-width-relative:page;mso-height-relative:page;" fillcolor="#FFFFFF" filled="t" stroked="t" coordsize="21600,21600" arcsize="0.166666666666667" o:gfxdata="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Ao2&#10;xNYAAAAKAQAADwAAAAAAAAABACAAAAAiAAAAZHJzL2Rvd25yZXYueG1sUEsBAhQAFAAAAAgAh07i&#10;QIwLlgldAgAA3wQAAA4AAAAAAAAAAQAgAAAAJQEAAGRycy9lMm9Eb2MueG1sUEsFBgAAAAAGAAYA&#10;WQEAAPQFAAAAAA==&#10;">
                <v:fill type="gradient" on="t" color2="#FFFFFF" angle="90" focus="100%" focussize="0,0">
                  <o:fill type="gradientUnscaled" v:ext="backwardCompatible"/>
                </v:fill>
                <v:stroke weight="1.25pt" color="#000000" joinstyle="round"/>
                <v:imagedata o:title=""/>
                <o:lock v:ext="edit" aspectratio="f"/>
                <v:textbox>
                  <w:txbxContent>
                    <w:p w14:paraId="3C3F0145">
                      <w:pPr>
                        <w:spacing w:after="0" w:line="320" w:lineRule="exact"/>
                        <w:jc w:val="center"/>
                        <w:rPr>
                          <w:rFonts w:hint="eastAsia" w:ascii="仿宋_GB2312" w:eastAsia="仿宋_GB2312"/>
                          <w:sz w:val="24"/>
                          <w:lang w:val="en-US" w:eastAsia="zh-CN"/>
                        </w:rPr>
                      </w:pPr>
                      <w:r>
                        <w:rPr>
                          <w:rFonts w:hint="eastAsia" w:ascii="仿宋_GB2312" w:eastAsia="仿宋_GB2312"/>
                          <w:sz w:val="24"/>
                          <w:lang w:val="en-US" w:eastAsia="zh-CN"/>
                        </w:rPr>
                        <w:t>上级指挥机构</w:t>
                      </w: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2800350</wp:posOffset>
                </wp:positionH>
                <wp:positionV relativeFrom="paragraph">
                  <wp:posOffset>375285</wp:posOffset>
                </wp:positionV>
                <wp:extent cx="925830" cy="365125"/>
                <wp:effectExtent l="0" t="0" r="0" b="0"/>
                <wp:wrapNone/>
                <wp:docPr id="17" name="文本框 24"/>
                <wp:cNvGraphicFramePr/>
                <a:graphic xmlns:a="http://schemas.openxmlformats.org/drawingml/2006/main">
                  <a:graphicData uri="http://schemas.microsoft.com/office/word/2010/wordprocessingShape">
                    <wps:wsp>
                      <wps:cNvSpPr txBox="1"/>
                      <wps:spPr>
                        <a:xfrm>
                          <a:off x="0" y="0"/>
                          <a:ext cx="925830" cy="365125"/>
                        </a:xfrm>
                        <a:prstGeom prst="rect">
                          <a:avLst/>
                        </a:prstGeom>
                        <a:noFill/>
                        <a:ln>
                          <a:noFill/>
                        </a:ln>
                      </wps:spPr>
                      <wps:txbx>
                        <w:txbxContent>
                          <w:p w14:paraId="3CB1FA15">
                            <w:pPr>
                              <w:spacing w:after="0" w:line="320" w:lineRule="exact"/>
                              <w:jc w:val="center"/>
                              <w:rPr>
                                <w:rFonts w:ascii="仿宋_GB2312" w:eastAsia="仿宋_GB2312"/>
                                <w:sz w:val="24"/>
                              </w:rPr>
                            </w:pPr>
                            <w:r>
                              <w:rPr>
                                <w:rFonts w:hint="eastAsia" w:ascii="仿宋_GB2312" w:eastAsia="仿宋_GB2312"/>
                                <w:sz w:val="24"/>
                              </w:rPr>
                              <w:t>扩大应急</w:t>
                            </w:r>
                          </w:p>
                        </w:txbxContent>
                      </wps:txbx>
                      <wps:bodyPr upright="1"/>
                    </wps:wsp>
                  </a:graphicData>
                </a:graphic>
              </wp:anchor>
            </w:drawing>
          </mc:Choice>
          <mc:Fallback>
            <w:pict>
              <v:shape id="文本框 24" o:spid="_x0000_s1026" o:spt="202" type="#_x0000_t202" style="position:absolute;left:0pt;margin-left:220.5pt;margin-top:29.55pt;height:28.75pt;width:72.9pt;z-index:251676672;mso-width-relative:page;mso-height-relative:page;" filled="f" stroked="f" coordsize="21600,21600" o:gfxdata="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TiypNcA&#10;AAAKAQAADwAAAAAAAAABACAAAAAiAAAAZHJzL2Rvd25yZXYueG1sUEsBAhQAFAAAAAgAh07iQHkt&#10;AD2uAQAATwMAAA4AAAAAAAAAAQAgAAAAJgEAAGRycy9lMm9Eb2MueG1sUEsFBgAAAAAGAAYAWQEA&#10;AEYFAAAAAA==&#10;">
                <v:fill on="f" focussize="0,0"/>
                <v:stroke on="f"/>
                <v:imagedata o:title=""/>
                <o:lock v:ext="edit" aspectratio="f"/>
                <v:textbox>
                  <w:txbxContent>
                    <w:p w14:paraId="3CB1FA15">
                      <w:pPr>
                        <w:spacing w:after="0" w:line="320" w:lineRule="exact"/>
                        <w:jc w:val="center"/>
                        <w:rPr>
                          <w:rFonts w:ascii="仿宋_GB2312" w:eastAsia="仿宋_GB2312"/>
                          <w:sz w:val="24"/>
                        </w:rPr>
                      </w:pPr>
                      <w:r>
                        <w:rPr>
                          <w:rFonts w:hint="eastAsia" w:ascii="仿宋_GB2312" w:eastAsia="仿宋_GB2312"/>
                          <w:sz w:val="24"/>
                        </w:rPr>
                        <w:t>扩大应急</w:t>
                      </w:r>
                    </w:p>
                  </w:txbxContent>
                </v:textbox>
              </v:shape>
            </w:pict>
          </mc:Fallback>
        </mc:AlternateContent>
      </w:r>
    </w:p>
    <w:p w14:paraId="4DC8D3A7">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1924685</wp:posOffset>
                </wp:positionH>
                <wp:positionV relativeFrom="paragraph">
                  <wp:posOffset>322580</wp:posOffset>
                </wp:positionV>
                <wp:extent cx="635" cy="285750"/>
                <wp:effectExtent l="37465" t="0" r="38100" b="19050"/>
                <wp:wrapNone/>
                <wp:docPr id="13" name="自选图形 17"/>
                <wp:cNvGraphicFramePr/>
                <a:graphic xmlns:a="http://schemas.openxmlformats.org/drawingml/2006/main">
                  <a:graphicData uri="http://schemas.microsoft.com/office/word/2010/wordprocessingShape">
                    <wps:wsp>
                      <wps:cNvCnPr/>
                      <wps:spPr>
                        <a:xfrm>
                          <a:off x="0" y="0"/>
                          <a:ext cx="635" cy="2857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151.55pt;margin-top:25.4pt;height:22.5pt;width:0.05pt;z-index:251672576;mso-width-relative:page;mso-height-relative:page;" filled="f" stroked="t" coordsize="21600,21600" o:gfxdata="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8Htv2AAAAAkBAAAPAAAAAAAAAAEAIAAAACIAAABkcnMvZG93&#10;bnJldi54bWxQSwECFAAUAAAACACHTuJAhcUU7wACAADrAwAADgAAAAAAAAABACAAAAAnAQAAZHJz&#10;L2Uyb0RvYy54bWxQSwUGAAAAAAYABgBZAQAAmQUAAAAA&#10;">
                <v:fill on="f" focussize="0,0"/>
                <v:stroke weight="1.25pt" color="#000000" joinstyle="round" endarrow="block"/>
                <v:imagedata o:title=""/>
                <o:lock v:ext="edit" aspectratio="f"/>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2773680</wp:posOffset>
                </wp:positionH>
                <wp:positionV relativeFrom="paragraph">
                  <wp:posOffset>161925</wp:posOffset>
                </wp:positionV>
                <wp:extent cx="971550" cy="0"/>
                <wp:effectExtent l="0" t="38100" r="19050" b="38100"/>
                <wp:wrapNone/>
                <wp:docPr id="15" name="自选图形 20"/>
                <wp:cNvGraphicFramePr/>
                <a:graphic xmlns:a="http://schemas.openxmlformats.org/drawingml/2006/main">
                  <a:graphicData uri="http://schemas.microsoft.com/office/word/2010/wordprocessingShape">
                    <wps:wsp>
                      <wps:cNvCnPr/>
                      <wps:spPr>
                        <a:xfrm>
                          <a:off x="0" y="0"/>
                          <a:ext cx="971550"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218.4pt;margin-top:12.75pt;height:0pt;width:76.5pt;z-index:251674624;mso-width-relative:page;mso-height-relative:page;" filled="f" stroked="t" coordsize="21600,21600" o:gfxdata="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8waw2AAAAAkBAAAPAAAAAAAAAAEAIAAAACIAAABkcnMvZG93bnJldi54&#10;bWxQSwECFAAUAAAACACHTuJA1onbSfoBAADpAwAADgAAAAAAAAABACAAAAAnAQAAZHJzL2Uyb0Rv&#10;Yy54bWxQSwUGAAAAAAYABgBZAQAAkwUAAAAA&#10;">
                <v:fill on="f" focussize="0,0"/>
                <v:stroke weight="1.25pt" color="#000000" joinstyle="round" endarrow="block"/>
                <v:imagedata o:title=""/>
                <o:lock v:ext="edit" aspectratio="f"/>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13335</wp:posOffset>
                </wp:positionV>
                <wp:extent cx="1676400" cy="314325"/>
                <wp:effectExtent l="7620" t="7620" r="17780" b="8255"/>
                <wp:wrapNone/>
                <wp:docPr id="5" name="自选图形 6"/>
                <wp:cNvGraphicFramePr/>
                <a:graphic xmlns:a="http://schemas.openxmlformats.org/drawingml/2006/main">
                  <a:graphicData uri="http://schemas.microsoft.com/office/word/2010/wordprocessingShape">
                    <wps:wsp>
                      <wps:cNvSpPr/>
                      <wps:spPr>
                        <a:xfrm>
                          <a:off x="0" y="0"/>
                          <a:ext cx="1676400" cy="31432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244137F1">
                            <w:pPr>
                              <w:spacing w:after="0" w:line="320" w:lineRule="exact"/>
                              <w:jc w:val="center"/>
                              <w:rPr>
                                <w:rFonts w:ascii="仿宋_GB2312" w:eastAsia="仿宋_GB2312"/>
                                <w:sz w:val="24"/>
                              </w:rPr>
                            </w:pPr>
                            <w:r>
                              <w:rPr>
                                <w:rFonts w:hint="eastAsia" w:ascii="仿宋_GB2312" w:eastAsia="仿宋_GB2312"/>
                                <w:sz w:val="24"/>
                              </w:rPr>
                              <w:t>现场处置</w:t>
                            </w:r>
                          </w:p>
                        </w:txbxContent>
                      </wps:txbx>
                      <wps:bodyPr upright="1"/>
                    </wps:wsp>
                  </a:graphicData>
                </a:graphic>
              </wp:anchor>
            </w:drawing>
          </mc:Choice>
          <mc:Fallback>
            <w:pict>
              <v:roundrect id="自选图形 6" o:spid="_x0000_s1026" o:spt="2" style="position:absolute;left:0pt;margin-left:86.2pt;margin-top:1.05pt;height:24.75pt;width:132pt;z-index:251664384;mso-width-relative:page;mso-height-relative:page;" fillcolor="#FFFFFF" filled="t" stroked="t" coordsize="21600,21600" arcsize="0.166666666666667" o:gfxdata="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5R1&#10;CtYAAAAIAQAADwAAAAAAAAABACAAAAAiAAAAZHJzL2Rvd25yZXYueG1sUEsBAhQAFAAAAAgAh07i&#10;QMCARz1dAgAA3gQAAA4AAAAAAAAAAQAgAAAAJQEAAGRycy9lMm9Eb2MueG1sUEsFBgAAAAAGAAYA&#10;WQEAAPQFAAAAAA==&#10;">
                <v:fill type="gradient" on="t" color2="#FFFFFF" angle="90" focus="100%" focussize="0,0">
                  <o:fill type="gradientUnscaled" v:ext="backwardCompatible"/>
                </v:fill>
                <v:stroke weight="1.25pt" color="#000000" joinstyle="round"/>
                <v:imagedata o:title=""/>
                <o:lock v:ext="edit" aspectratio="f"/>
                <v:textbox>
                  <w:txbxContent>
                    <w:p w14:paraId="244137F1">
                      <w:pPr>
                        <w:spacing w:after="0" w:line="320" w:lineRule="exact"/>
                        <w:jc w:val="center"/>
                        <w:rPr>
                          <w:rFonts w:ascii="仿宋_GB2312" w:eastAsia="仿宋_GB2312"/>
                          <w:sz w:val="24"/>
                        </w:rPr>
                      </w:pPr>
                      <w:r>
                        <w:rPr>
                          <w:rFonts w:hint="eastAsia" w:ascii="仿宋_GB2312" w:eastAsia="仿宋_GB2312"/>
                          <w:sz w:val="24"/>
                        </w:rPr>
                        <w:t>现场处置</w:t>
                      </w:r>
                    </w:p>
                  </w:txbxContent>
                </v:textbox>
              </v:roundrect>
            </w:pict>
          </mc:Fallback>
        </mc:AlternateContent>
      </w:r>
    </w:p>
    <w:p w14:paraId="47542A77">
      <w:pPr>
        <w:shd w:val="clear"/>
        <w:spacing w:line="560" w:lineRule="exact"/>
        <w:ind w:firstLine="643"/>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1105535</wp:posOffset>
                </wp:positionH>
                <wp:positionV relativeFrom="paragraph">
                  <wp:posOffset>120650</wp:posOffset>
                </wp:positionV>
                <wp:extent cx="1676400" cy="355600"/>
                <wp:effectExtent l="7620" t="7620" r="17780" b="17780"/>
                <wp:wrapNone/>
                <wp:docPr id="6" name="自选图形 7"/>
                <wp:cNvGraphicFramePr/>
                <a:graphic xmlns:a="http://schemas.openxmlformats.org/drawingml/2006/main">
                  <a:graphicData uri="http://schemas.microsoft.com/office/word/2010/wordprocessingShape">
                    <wps:wsp>
                      <wps:cNvSpPr/>
                      <wps:spPr>
                        <a:xfrm>
                          <a:off x="0" y="0"/>
                          <a:ext cx="1676400" cy="355600"/>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txbx>
                        <w:txbxContent>
                          <w:p w14:paraId="25D3C7B4">
                            <w:pPr>
                              <w:spacing w:after="0" w:line="320" w:lineRule="exact"/>
                              <w:jc w:val="center"/>
                              <w:rPr>
                                <w:rFonts w:ascii="仿宋_GB2312" w:eastAsia="仿宋_GB2312"/>
                                <w:sz w:val="24"/>
                              </w:rPr>
                            </w:pPr>
                            <w:r>
                              <w:rPr>
                                <w:rFonts w:hint="eastAsia" w:ascii="仿宋_GB2312" w:eastAsia="仿宋_GB2312"/>
                                <w:sz w:val="24"/>
                              </w:rPr>
                              <w:t>应急结束</w:t>
                            </w:r>
                          </w:p>
                        </w:txbxContent>
                      </wps:txbx>
                      <wps:bodyPr upright="1"/>
                    </wps:wsp>
                  </a:graphicData>
                </a:graphic>
              </wp:anchor>
            </w:drawing>
          </mc:Choice>
          <mc:Fallback>
            <w:pict>
              <v:roundrect id="自选图形 7" o:spid="_x0000_s1026" o:spt="2" style="position:absolute;left:0pt;margin-left:87.05pt;margin-top:9.5pt;height:28pt;width:132pt;z-index:251665408;mso-width-relative:page;mso-height-relative:page;" fillcolor="#FFFFFF" filled="t" stroked="t" coordsize="21600,21600" arcsize="0.166666666666667" o:gfxdata="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NJ/xw&#10;1gAAAAkBAAAPAAAAAAAAAAEAIAAAACIAAABkcnMvZG93bnJldi54bWxQSwECFAAUAAAACACHTuJA&#10;jb8fk1wCAADeBAAADgAAAAAAAAABACAAAAAlAQAAZHJzL2Uyb0RvYy54bWxQSwUGAAAAAAYABgBZ&#10;AQAA8wUAAAAA&#10;">
                <v:fill type="gradient" on="t" color2="#FFFFFF" angle="90" focus="100%" focussize="0,0">
                  <o:fill type="gradientUnscaled" v:ext="backwardCompatible"/>
                </v:fill>
                <v:stroke weight="1.25pt" color="#000000" joinstyle="round"/>
                <v:imagedata o:title=""/>
                <o:lock v:ext="edit" aspectratio="f"/>
                <v:textbox>
                  <w:txbxContent>
                    <w:p w14:paraId="25D3C7B4">
                      <w:pPr>
                        <w:spacing w:after="0" w:line="320" w:lineRule="exact"/>
                        <w:jc w:val="center"/>
                        <w:rPr>
                          <w:rFonts w:ascii="仿宋_GB2312" w:eastAsia="仿宋_GB2312"/>
                          <w:sz w:val="24"/>
                        </w:rPr>
                      </w:pPr>
                      <w:r>
                        <w:rPr>
                          <w:rFonts w:hint="eastAsia" w:ascii="仿宋_GB2312" w:eastAsia="仿宋_GB2312"/>
                          <w:sz w:val="24"/>
                        </w:rPr>
                        <w:t>应急结束</w:t>
                      </w:r>
                    </w:p>
                  </w:txbxContent>
                </v:textbox>
              </v:roundrect>
            </w:pict>
          </mc:Fallback>
        </mc:AlternateContent>
      </w:r>
    </w:p>
    <w:p w14:paraId="440813C0">
      <w:pPr>
        <w:shd w:val="clear"/>
        <w:spacing w:line="560" w:lineRule="exact"/>
        <w:rPr>
          <w:rFonts w:hint="eastAsia" w:ascii="仿宋" w:hAnsi="仿宋" w:eastAsia="仿宋" w:cs="仿宋"/>
          <w:color w:val="auto"/>
          <w:highlight w:val="none"/>
        </w:rPr>
      </w:pPr>
    </w:p>
    <w:p w14:paraId="6C197CBC">
      <w:pPr>
        <w:shd w:val="clear"/>
        <w:ind w:firstLine="640"/>
        <w:rPr>
          <w:rFonts w:hint="eastAsia" w:ascii="仿宋" w:hAnsi="仿宋" w:eastAsia="仿宋" w:cs="仿宋"/>
          <w:color w:val="auto"/>
          <w:highlight w:val="none"/>
        </w:rPr>
        <w:sectPr>
          <w:pgSz w:w="11906" w:h="16838"/>
          <w:pgMar w:top="1440" w:right="1247" w:bottom="1247" w:left="1474" w:header="851" w:footer="992" w:gutter="0"/>
          <w:pgNumType w:fmt="decimal"/>
          <w:cols w:space="720" w:num="1"/>
          <w:docGrid w:type="lines" w:linePitch="312" w:charSpace="0"/>
        </w:sectPr>
      </w:pPr>
    </w:p>
    <w:bookmarkEnd w:id="70"/>
    <w:bookmarkEnd w:id="71"/>
    <w:p w14:paraId="4D54254C">
      <w:pPr>
        <w:pStyle w:val="2"/>
        <w:shd w:val="clear"/>
        <w:spacing w:line="500" w:lineRule="exact"/>
        <w:ind w:firstLine="0" w:firstLineChars="0"/>
        <w:jc w:val="center"/>
        <w:rPr>
          <w:rFonts w:hint="eastAsia" w:ascii="仿宋" w:hAnsi="仿宋" w:eastAsia="仿宋" w:cs="仿宋"/>
          <w:b/>
          <w:bCs w:val="0"/>
          <w:color w:val="auto"/>
          <w:sz w:val="36"/>
          <w:szCs w:val="36"/>
          <w:highlight w:val="none"/>
          <w:lang w:val="en-US" w:eastAsia="zh-CN"/>
        </w:rPr>
        <w:sectPr>
          <w:type w:val="continuous"/>
          <w:pgSz w:w="11906" w:h="16838"/>
          <w:pgMar w:top="1247" w:right="1474" w:bottom="1440" w:left="1247" w:header="851" w:footer="992" w:gutter="0"/>
          <w:pgNumType w:fmt="decimal"/>
          <w:cols w:space="720" w:num="1"/>
          <w:docGrid w:type="linesAndChars" w:linePitch="435" w:charSpace="0"/>
        </w:sectPr>
      </w:pPr>
      <w:bookmarkStart w:id="72" w:name="_Toc20251"/>
      <w:bookmarkStart w:id="73" w:name="_Toc14369"/>
      <w:bookmarkStart w:id="74" w:name="_Toc32248"/>
    </w:p>
    <w:p w14:paraId="0A255BB8">
      <w:pPr>
        <w:pStyle w:val="2"/>
        <w:shd w:val="clear"/>
        <w:spacing w:line="500" w:lineRule="exact"/>
        <w:ind w:firstLine="0" w:firstLineChars="0"/>
        <w:jc w:val="center"/>
        <w:rPr>
          <w:rFonts w:hint="eastAsia" w:ascii="仿宋" w:hAnsi="仿宋" w:eastAsia="仿宋" w:cs="仿宋"/>
          <w:b/>
          <w:bCs w:val="0"/>
          <w:color w:val="auto"/>
          <w:sz w:val="36"/>
          <w:szCs w:val="36"/>
          <w:highlight w:val="none"/>
          <w:lang w:eastAsia="zh-CN"/>
        </w:rPr>
      </w:pPr>
      <w:bookmarkStart w:id="75" w:name="_Toc22228"/>
      <w:r>
        <w:rPr>
          <w:rFonts w:hint="eastAsia" w:ascii="仿宋" w:hAnsi="仿宋" w:eastAsia="仿宋" w:cs="仿宋"/>
          <w:b/>
          <w:bCs w:val="0"/>
          <w:color w:val="auto"/>
          <w:sz w:val="36"/>
          <w:szCs w:val="36"/>
          <w:highlight w:val="none"/>
          <w:lang w:val="en-US" w:eastAsia="zh-CN"/>
        </w:rPr>
        <w:t>5</w:t>
      </w:r>
      <w:bookmarkEnd w:id="72"/>
      <w:bookmarkEnd w:id="73"/>
      <w:r>
        <w:rPr>
          <w:rFonts w:hint="eastAsia" w:ascii="仿宋" w:hAnsi="仿宋" w:eastAsia="仿宋" w:cs="仿宋"/>
          <w:b/>
          <w:bCs w:val="0"/>
          <w:color w:val="auto"/>
          <w:sz w:val="36"/>
          <w:szCs w:val="36"/>
          <w:highlight w:val="none"/>
          <w:lang w:val="en-US" w:eastAsia="zh-CN"/>
        </w:rPr>
        <w:t>善后恢复</w:t>
      </w:r>
      <w:bookmarkEnd w:id="74"/>
      <w:bookmarkEnd w:id="75"/>
    </w:p>
    <w:p w14:paraId="7B6FB8ED">
      <w:pPr>
        <w:pStyle w:val="3"/>
        <w:shd w:val="clear"/>
        <w:spacing w:line="500" w:lineRule="exact"/>
        <w:ind w:firstLine="643"/>
        <w:outlineLvl w:val="1"/>
        <w:rPr>
          <w:rFonts w:hint="eastAsia" w:ascii="仿宋" w:hAnsi="仿宋" w:eastAsia="仿宋" w:cs="仿宋"/>
          <w:color w:val="auto"/>
          <w:highlight w:val="none"/>
          <w:lang w:val="zh-CN"/>
        </w:rPr>
      </w:pPr>
      <w:bookmarkStart w:id="76" w:name="_Toc14391"/>
      <w:bookmarkStart w:id="77" w:name="_Toc32562"/>
      <w:bookmarkStart w:id="78" w:name="_Toc4747"/>
      <w:bookmarkStart w:id="79" w:name="_Toc21280"/>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rPr>
        <w:t>.1</w:t>
      </w:r>
      <w:r>
        <w:rPr>
          <w:rFonts w:hint="eastAsia" w:ascii="仿宋" w:hAnsi="仿宋" w:eastAsia="仿宋" w:cs="仿宋"/>
          <w:color w:val="auto"/>
          <w:highlight w:val="none"/>
          <w:lang w:val="en-US" w:eastAsia="zh-CN"/>
        </w:rPr>
        <w:t>后期</w:t>
      </w:r>
      <w:r>
        <w:rPr>
          <w:rFonts w:hint="eastAsia" w:ascii="仿宋" w:hAnsi="仿宋" w:eastAsia="仿宋" w:cs="仿宋"/>
          <w:color w:val="auto"/>
          <w:highlight w:val="none"/>
          <w:lang w:val="zh-CN"/>
        </w:rPr>
        <w:t>处置</w:t>
      </w:r>
      <w:bookmarkEnd w:id="76"/>
      <w:bookmarkEnd w:id="77"/>
      <w:bookmarkEnd w:id="78"/>
      <w:bookmarkEnd w:id="79"/>
    </w:p>
    <w:p w14:paraId="6D08863D">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事故应急救援结束，在上级部门指挥下，瑶海区政府相关部门与</w:t>
      </w:r>
      <w:r>
        <w:rPr>
          <w:rFonts w:hint="eastAsia" w:ascii="仿宋" w:hAnsi="仿宋" w:eastAsia="仿宋" w:cs="仿宋"/>
          <w:color w:val="auto"/>
          <w:sz w:val="32"/>
          <w:szCs w:val="32"/>
          <w:highlight w:val="none"/>
          <w:lang w:val="zh-CN"/>
        </w:rPr>
        <w:t>属地镇政府</w:t>
      </w:r>
      <w:r>
        <w:rPr>
          <w:rFonts w:hint="eastAsia" w:ascii="仿宋" w:hAnsi="仿宋" w:eastAsia="仿宋" w:cs="仿宋"/>
          <w:color w:val="auto"/>
          <w:sz w:val="32"/>
          <w:szCs w:val="32"/>
          <w:highlight w:val="none"/>
          <w:lang w:val="en-US" w:eastAsia="zh-CN"/>
        </w:rPr>
        <w:t>或</w:t>
      </w:r>
      <w:r>
        <w:rPr>
          <w:rFonts w:hint="eastAsia" w:ascii="仿宋" w:hAnsi="仿宋" w:eastAsia="仿宋" w:cs="仿宋"/>
          <w:color w:val="auto"/>
          <w:sz w:val="32"/>
          <w:szCs w:val="32"/>
          <w:highlight w:val="none"/>
          <w:lang w:val="zh-CN"/>
        </w:rPr>
        <w:t>街道办事处（</w:t>
      </w:r>
      <w:r>
        <w:rPr>
          <w:rFonts w:hint="eastAsia" w:ascii="仿宋" w:hAnsi="仿宋" w:eastAsia="仿宋" w:cs="仿宋"/>
          <w:color w:val="auto"/>
          <w:sz w:val="32"/>
          <w:szCs w:val="32"/>
          <w:highlight w:val="none"/>
          <w:lang w:val="en-US" w:eastAsia="zh-CN"/>
        </w:rPr>
        <w:t>筹备组）配合做好</w:t>
      </w:r>
      <w:r>
        <w:rPr>
          <w:rFonts w:hint="eastAsia" w:ascii="仿宋" w:hAnsi="仿宋" w:eastAsia="仿宋" w:cs="仿宋"/>
          <w:color w:val="auto"/>
          <w:sz w:val="32"/>
          <w:szCs w:val="32"/>
          <w:highlight w:val="none"/>
          <w:lang w:val="zh-CN"/>
        </w:rPr>
        <w:t>善后处置工作，包括人员安置、抚恤补偿、保险理赔、征用补偿、环境污染消除、灾后重建、危险源监控和治理等，防止事故造成次生、衍生危害，尽快恢复正常秩序，确保社会稳定。</w:t>
      </w:r>
    </w:p>
    <w:p w14:paraId="10D42F30">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区应急局会同有关部门、属地政府组织开展事故损失评估核定工作；</w:t>
      </w:r>
      <w:r>
        <w:rPr>
          <w:rFonts w:hint="eastAsia" w:ascii="仿宋" w:hAnsi="仿宋" w:eastAsia="仿宋" w:cs="仿宋"/>
          <w:color w:val="auto"/>
          <w:sz w:val="32"/>
          <w:szCs w:val="32"/>
          <w:highlight w:val="none"/>
        </w:rPr>
        <w:t>区生态环境分局</w:t>
      </w:r>
      <w:r>
        <w:rPr>
          <w:rFonts w:hint="eastAsia" w:ascii="仿宋" w:hAnsi="仿宋" w:eastAsia="仿宋" w:cs="仿宋"/>
          <w:color w:val="auto"/>
          <w:sz w:val="32"/>
          <w:szCs w:val="32"/>
          <w:highlight w:val="none"/>
          <w:lang w:val="zh-CN"/>
        </w:rPr>
        <w:t>提出事故污染处置建议；区财政局</w:t>
      </w:r>
      <w:r>
        <w:rPr>
          <w:rFonts w:hint="eastAsia" w:ascii="仿宋" w:hAnsi="仿宋" w:eastAsia="仿宋" w:cs="仿宋"/>
          <w:color w:val="auto"/>
          <w:sz w:val="32"/>
          <w:szCs w:val="32"/>
          <w:highlight w:val="none"/>
          <w:lang w:val="en-US" w:eastAsia="zh-CN"/>
        </w:rPr>
        <w:t>按照相关规定统计补偿数额，无补偿标准的提出补偿标准建议报请上级部门</w:t>
      </w:r>
      <w:r>
        <w:rPr>
          <w:rFonts w:hint="eastAsia" w:ascii="仿宋" w:hAnsi="仿宋" w:eastAsia="仿宋" w:cs="仿宋"/>
          <w:color w:val="auto"/>
          <w:sz w:val="32"/>
          <w:szCs w:val="32"/>
          <w:highlight w:val="none"/>
          <w:lang w:val="zh-CN"/>
        </w:rPr>
        <w:t>。</w:t>
      </w:r>
    </w:p>
    <w:p w14:paraId="3BB10DDF">
      <w:pPr>
        <w:pStyle w:val="3"/>
        <w:shd w:val="clear"/>
        <w:spacing w:line="500" w:lineRule="exact"/>
        <w:ind w:firstLine="643"/>
        <w:rPr>
          <w:rFonts w:hint="eastAsia" w:ascii="仿宋" w:hAnsi="仿宋" w:eastAsia="仿宋" w:cs="仿宋"/>
          <w:color w:val="auto"/>
          <w:highlight w:val="none"/>
          <w:lang w:val="zh-CN" w:eastAsia="zh-CN"/>
        </w:rPr>
      </w:pPr>
      <w:bookmarkStart w:id="80" w:name="_Toc14808"/>
      <w:bookmarkStart w:id="81" w:name="_Toc19044"/>
      <w:bookmarkStart w:id="82" w:name="_Toc1164"/>
      <w:bookmarkStart w:id="83" w:name="_Toc18105"/>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rPr>
        <w:t>.2</w:t>
      </w:r>
      <w:bookmarkEnd w:id="80"/>
      <w:bookmarkEnd w:id="81"/>
      <w:r>
        <w:rPr>
          <w:rFonts w:hint="eastAsia" w:ascii="仿宋" w:hAnsi="仿宋" w:eastAsia="仿宋" w:cs="仿宋"/>
          <w:color w:val="auto"/>
          <w:highlight w:val="none"/>
          <w:lang w:val="en-US" w:eastAsia="zh-CN"/>
        </w:rPr>
        <w:t>事故调查</w:t>
      </w:r>
      <w:bookmarkEnd w:id="82"/>
      <w:bookmarkEnd w:id="83"/>
    </w:p>
    <w:p w14:paraId="1846333D">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事故</w:t>
      </w:r>
      <w:r>
        <w:rPr>
          <w:rFonts w:hint="eastAsia" w:ascii="仿宋" w:hAnsi="仿宋" w:eastAsia="仿宋" w:cs="仿宋"/>
          <w:color w:val="auto"/>
          <w:sz w:val="32"/>
          <w:szCs w:val="32"/>
          <w:highlight w:val="none"/>
          <w:lang w:val="en-US" w:eastAsia="zh-CN"/>
        </w:rPr>
        <w:t>救援结束</w:t>
      </w:r>
      <w:r>
        <w:rPr>
          <w:rFonts w:hint="eastAsia" w:ascii="仿宋" w:hAnsi="仿宋" w:eastAsia="仿宋" w:cs="仿宋"/>
          <w:color w:val="auto"/>
          <w:sz w:val="32"/>
          <w:szCs w:val="32"/>
          <w:highlight w:val="none"/>
          <w:lang w:val="zh-CN"/>
        </w:rPr>
        <w:t>后，</w:t>
      </w:r>
      <w:r>
        <w:rPr>
          <w:rFonts w:hint="eastAsia" w:ascii="仿宋" w:hAnsi="仿宋" w:eastAsia="仿宋" w:cs="仿宋"/>
          <w:color w:val="auto"/>
          <w:sz w:val="32"/>
          <w:szCs w:val="32"/>
          <w:highlight w:val="none"/>
          <w:lang w:val="en-US" w:eastAsia="zh-CN"/>
        </w:rPr>
        <w:t>根据《生产安全事故报告和调查处理条例》规定，</w:t>
      </w:r>
      <w:r>
        <w:rPr>
          <w:rFonts w:hint="eastAsia" w:ascii="仿宋" w:hAnsi="仿宋" w:eastAsia="仿宋" w:cs="仿宋"/>
          <w:color w:val="auto"/>
          <w:sz w:val="32"/>
          <w:szCs w:val="32"/>
          <w:highlight w:val="none"/>
          <w:lang w:val="zh-CN"/>
        </w:rPr>
        <w:t>区</w:t>
      </w:r>
      <w:r>
        <w:rPr>
          <w:rFonts w:hint="eastAsia" w:ascii="仿宋" w:hAnsi="仿宋" w:eastAsia="仿宋" w:cs="仿宋"/>
          <w:color w:val="auto"/>
          <w:sz w:val="32"/>
          <w:szCs w:val="32"/>
          <w:highlight w:val="none"/>
          <w:lang w:val="en-US" w:eastAsia="zh-CN"/>
        </w:rPr>
        <w:t>政府组织或参与</w:t>
      </w:r>
      <w:r>
        <w:rPr>
          <w:rFonts w:hint="eastAsia" w:ascii="仿宋" w:hAnsi="仿宋" w:eastAsia="仿宋" w:cs="仿宋"/>
          <w:color w:val="auto"/>
          <w:sz w:val="32"/>
          <w:szCs w:val="32"/>
          <w:highlight w:val="none"/>
          <w:lang w:val="zh-CN"/>
        </w:rPr>
        <w:t>事故调查，查明事故原因，认定事故性质，提出处理意见和整改防范措施，并对应急救援工作进行评估、总结，提出改进措施的意见、建议，形成</w:t>
      </w:r>
      <w:r>
        <w:rPr>
          <w:rFonts w:hint="eastAsia" w:ascii="仿宋" w:hAnsi="仿宋" w:eastAsia="仿宋" w:cs="仿宋"/>
          <w:color w:val="auto"/>
          <w:sz w:val="32"/>
          <w:szCs w:val="32"/>
          <w:highlight w:val="none"/>
          <w:lang w:val="en-US" w:eastAsia="zh-CN"/>
        </w:rPr>
        <w:t>事故调查报告</w:t>
      </w:r>
      <w:r>
        <w:rPr>
          <w:rFonts w:hint="eastAsia" w:ascii="仿宋" w:hAnsi="仿宋" w:eastAsia="仿宋" w:cs="仿宋"/>
          <w:color w:val="auto"/>
          <w:sz w:val="32"/>
          <w:szCs w:val="32"/>
          <w:highlight w:val="none"/>
          <w:lang w:val="zh-CN"/>
        </w:rPr>
        <w:t>。</w:t>
      </w:r>
    </w:p>
    <w:p w14:paraId="57C96678">
      <w:pPr>
        <w:pStyle w:val="3"/>
        <w:shd w:val="clear"/>
        <w:spacing w:line="500" w:lineRule="exact"/>
        <w:ind w:firstLine="643"/>
        <w:rPr>
          <w:rFonts w:hint="eastAsia" w:ascii="仿宋" w:hAnsi="仿宋" w:eastAsia="仿宋" w:cs="仿宋"/>
          <w:color w:val="auto"/>
          <w:highlight w:val="none"/>
          <w:lang w:val="en-US" w:eastAsia="zh-CN"/>
        </w:rPr>
      </w:pPr>
      <w:bookmarkStart w:id="84" w:name="_Toc5031"/>
      <w:bookmarkStart w:id="85" w:name="_Toc32651"/>
      <w:r>
        <w:rPr>
          <w:rFonts w:hint="eastAsia" w:ascii="仿宋" w:hAnsi="仿宋" w:eastAsia="仿宋" w:cs="仿宋"/>
          <w:color w:val="auto"/>
          <w:highlight w:val="none"/>
          <w:lang w:val="en-US" w:eastAsia="zh-CN"/>
        </w:rPr>
        <w:t>5.3总结评估</w:t>
      </w:r>
      <w:bookmarkEnd w:id="84"/>
      <w:bookmarkEnd w:id="85"/>
    </w:p>
    <w:p w14:paraId="0910E946">
      <w:pPr>
        <w:shd w:val="clear"/>
        <w:spacing w:after="0" w:line="500" w:lineRule="exact"/>
        <w:ind w:firstLine="640"/>
        <w:jc w:val="both"/>
        <w:rPr>
          <w:rFonts w:hint="eastAsia" w:ascii="仿宋" w:hAnsi="仿宋" w:eastAsia="仿宋" w:cs="仿宋"/>
          <w:color w:val="auto"/>
          <w:sz w:val="32"/>
          <w:szCs w:val="32"/>
          <w:highlight w:val="none"/>
          <w:lang w:val="zh-CN"/>
        </w:rPr>
        <w:sectPr>
          <w:pgSz w:w="11906" w:h="16838"/>
          <w:pgMar w:top="1247" w:right="1474" w:bottom="1440" w:left="1247" w:header="851" w:footer="992" w:gutter="0"/>
          <w:pgNumType w:fmt="decimal"/>
          <w:cols w:space="720" w:num="1"/>
          <w:docGrid w:type="linesAndChars" w:linePitch="435" w:charSpace="0"/>
        </w:sectPr>
      </w:pPr>
      <w:r>
        <w:rPr>
          <w:rFonts w:hint="eastAsia" w:ascii="仿宋" w:hAnsi="仿宋" w:eastAsia="仿宋" w:cs="仿宋"/>
          <w:color w:val="auto"/>
          <w:sz w:val="32"/>
          <w:szCs w:val="32"/>
          <w:highlight w:val="none"/>
          <w:lang w:val="en-US" w:eastAsia="zh-CN"/>
        </w:rPr>
        <w:t>事故调查并整改结束后，</w:t>
      </w:r>
      <w:r>
        <w:rPr>
          <w:rFonts w:hint="eastAsia" w:ascii="仿宋" w:hAnsi="仿宋" w:eastAsia="仿宋" w:cs="仿宋"/>
          <w:color w:val="auto"/>
          <w:sz w:val="32"/>
          <w:szCs w:val="32"/>
          <w:highlight w:val="none"/>
          <w:lang w:val="zh-CN"/>
        </w:rPr>
        <w:t>按照《安徽省生产安全事故整改措施落实效果评估暂行办法》要求，区应急管理局</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lang w:val="zh-CN"/>
        </w:rPr>
        <w:t>牵头并邀请相关专家成立</w:t>
      </w:r>
      <w:r>
        <w:rPr>
          <w:rFonts w:hint="eastAsia" w:ascii="仿宋" w:hAnsi="仿宋" w:eastAsia="仿宋" w:cs="仿宋"/>
          <w:color w:val="auto"/>
          <w:sz w:val="32"/>
          <w:szCs w:val="32"/>
          <w:highlight w:val="none"/>
          <w:lang w:val="en-US" w:eastAsia="zh-CN"/>
        </w:rPr>
        <w:t>事故</w:t>
      </w:r>
      <w:r>
        <w:rPr>
          <w:rFonts w:hint="eastAsia" w:ascii="仿宋" w:hAnsi="仿宋" w:eastAsia="仿宋" w:cs="仿宋"/>
          <w:color w:val="auto"/>
          <w:sz w:val="32"/>
          <w:szCs w:val="32"/>
          <w:highlight w:val="none"/>
          <w:lang w:val="zh-CN"/>
        </w:rPr>
        <w:t>评估组，对事故整改措施落实效果进行评估。</w:t>
      </w:r>
    </w:p>
    <w:p w14:paraId="2CE65F7B">
      <w:pPr>
        <w:pStyle w:val="2"/>
        <w:shd w:val="clear"/>
        <w:spacing w:line="500" w:lineRule="exact"/>
        <w:ind w:firstLine="0" w:firstLineChars="0"/>
        <w:jc w:val="center"/>
        <w:rPr>
          <w:rFonts w:hint="eastAsia" w:ascii="仿宋" w:hAnsi="仿宋" w:eastAsia="仿宋" w:cs="仿宋"/>
          <w:b/>
          <w:bCs w:val="0"/>
          <w:color w:val="auto"/>
          <w:sz w:val="36"/>
          <w:szCs w:val="36"/>
          <w:highlight w:val="none"/>
        </w:rPr>
      </w:pPr>
      <w:bookmarkStart w:id="86" w:name="_Toc23448"/>
      <w:bookmarkStart w:id="87" w:name="_Toc21040"/>
      <w:bookmarkStart w:id="88" w:name="_Toc15099"/>
      <w:r>
        <w:rPr>
          <w:rFonts w:hint="eastAsia" w:ascii="仿宋" w:hAnsi="仿宋" w:eastAsia="仿宋" w:cs="仿宋"/>
          <w:b/>
          <w:bCs w:val="0"/>
          <w:color w:val="auto"/>
          <w:sz w:val="36"/>
          <w:szCs w:val="36"/>
          <w:highlight w:val="none"/>
          <w:lang w:val="en-US" w:eastAsia="zh-CN"/>
        </w:rPr>
        <w:t>6</w:t>
      </w:r>
      <w:r>
        <w:rPr>
          <w:rFonts w:hint="eastAsia" w:ascii="仿宋" w:hAnsi="仿宋" w:eastAsia="仿宋" w:cs="仿宋"/>
          <w:b/>
          <w:bCs w:val="0"/>
          <w:color w:val="auto"/>
          <w:sz w:val="36"/>
          <w:szCs w:val="36"/>
          <w:highlight w:val="none"/>
        </w:rPr>
        <w:t>保障措施</w:t>
      </w:r>
      <w:bookmarkEnd w:id="86"/>
      <w:bookmarkEnd w:id="87"/>
      <w:bookmarkEnd w:id="88"/>
    </w:p>
    <w:p w14:paraId="1AB21722">
      <w:pPr>
        <w:pStyle w:val="3"/>
        <w:shd w:val="clear"/>
        <w:spacing w:line="500" w:lineRule="exact"/>
        <w:ind w:firstLine="643"/>
        <w:rPr>
          <w:rFonts w:hint="eastAsia" w:ascii="仿宋" w:hAnsi="仿宋" w:eastAsia="仿宋" w:cs="仿宋"/>
          <w:color w:val="auto"/>
          <w:highlight w:val="none"/>
          <w:lang w:val="zh-CN"/>
        </w:rPr>
      </w:pPr>
      <w:bookmarkStart w:id="89" w:name="_Toc10736"/>
      <w:bookmarkStart w:id="90" w:name="_Toc25877"/>
      <w:bookmarkStart w:id="91" w:name="_Toc14984"/>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rPr>
        <w:t>.1</w:t>
      </w:r>
      <w:r>
        <w:rPr>
          <w:rFonts w:hint="eastAsia" w:ascii="仿宋" w:hAnsi="仿宋" w:eastAsia="仿宋" w:cs="仿宋"/>
          <w:color w:val="auto"/>
          <w:highlight w:val="none"/>
          <w:lang w:val="en-US" w:eastAsia="zh-CN"/>
        </w:rPr>
        <w:t>指挥系统</w:t>
      </w:r>
      <w:r>
        <w:rPr>
          <w:rFonts w:hint="eastAsia" w:ascii="仿宋" w:hAnsi="仿宋" w:eastAsia="仿宋" w:cs="仿宋"/>
          <w:color w:val="auto"/>
          <w:highlight w:val="none"/>
          <w:lang w:val="zh-CN"/>
        </w:rPr>
        <w:t>保障</w:t>
      </w:r>
      <w:bookmarkEnd w:id="89"/>
      <w:bookmarkEnd w:id="90"/>
      <w:bookmarkEnd w:id="91"/>
    </w:p>
    <w:p w14:paraId="0948270D">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区政府应加强指挥体系建设，建立完善有效地通信系统，加大科技投入，在传统通信手段的基础上运用视频监测、无人机等现代科技手段实现通信指挥系统更加畅通完善</w:t>
      </w:r>
      <w:r>
        <w:rPr>
          <w:rFonts w:hint="eastAsia" w:ascii="仿宋" w:hAnsi="仿宋" w:eastAsia="仿宋" w:cs="仿宋"/>
          <w:color w:val="auto"/>
          <w:sz w:val="32"/>
          <w:szCs w:val="32"/>
          <w:highlight w:val="none"/>
          <w:lang w:val="zh-CN"/>
        </w:rPr>
        <w:t>。</w:t>
      </w:r>
    </w:p>
    <w:p w14:paraId="507CC913">
      <w:pPr>
        <w:pStyle w:val="3"/>
        <w:shd w:val="clear"/>
        <w:spacing w:line="500" w:lineRule="exact"/>
        <w:ind w:firstLine="643"/>
        <w:rPr>
          <w:rFonts w:hint="eastAsia" w:ascii="仿宋" w:hAnsi="仿宋" w:eastAsia="仿宋" w:cs="仿宋"/>
          <w:color w:val="auto"/>
          <w:highlight w:val="none"/>
          <w:lang w:val="zh-CN"/>
        </w:rPr>
      </w:pPr>
      <w:bookmarkStart w:id="92" w:name="_Toc6613"/>
      <w:bookmarkStart w:id="93" w:name="_Toc27767"/>
      <w:bookmarkStart w:id="94" w:name="_Toc27150"/>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zh-CN"/>
        </w:rPr>
        <w:t>.2队伍保障</w:t>
      </w:r>
      <w:bookmarkEnd w:id="92"/>
      <w:bookmarkEnd w:id="93"/>
      <w:bookmarkEnd w:id="94"/>
    </w:p>
    <w:p w14:paraId="7F56A00E">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瑶海区消防救援局是</w:t>
      </w:r>
      <w:r>
        <w:rPr>
          <w:rFonts w:hint="eastAsia" w:ascii="仿宋" w:hAnsi="仿宋" w:eastAsia="仿宋" w:cs="仿宋"/>
          <w:color w:val="auto"/>
          <w:sz w:val="32"/>
          <w:szCs w:val="32"/>
          <w:highlight w:val="none"/>
          <w:lang w:val="en-US" w:eastAsia="zh-CN"/>
        </w:rPr>
        <w:t>处置本辖区</w:t>
      </w:r>
      <w:r>
        <w:rPr>
          <w:rFonts w:hint="eastAsia" w:ascii="仿宋" w:hAnsi="仿宋" w:eastAsia="仿宋" w:cs="仿宋"/>
          <w:color w:val="auto"/>
          <w:sz w:val="32"/>
          <w:szCs w:val="32"/>
          <w:highlight w:val="none"/>
          <w:lang w:val="zh-CN"/>
        </w:rPr>
        <w:t>危险化学品事故的</w:t>
      </w:r>
      <w:r>
        <w:rPr>
          <w:rFonts w:hint="eastAsia" w:ascii="仿宋" w:hAnsi="仿宋" w:eastAsia="仿宋" w:cs="仿宋"/>
          <w:color w:val="auto"/>
          <w:sz w:val="32"/>
          <w:szCs w:val="32"/>
          <w:highlight w:val="none"/>
          <w:lang w:val="en-US" w:eastAsia="zh-CN"/>
        </w:rPr>
        <w:t>首要</w:t>
      </w:r>
      <w:r>
        <w:rPr>
          <w:rFonts w:hint="eastAsia" w:ascii="仿宋" w:hAnsi="仿宋" w:eastAsia="仿宋" w:cs="仿宋"/>
          <w:color w:val="auto"/>
          <w:sz w:val="32"/>
          <w:szCs w:val="32"/>
          <w:highlight w:val="none"/>
          <w:lang w:val="zh-CN"/>
        </w:rPr>
        <w:t>抢险救援队伍，瑶海公安分局、交警支队瑶海大队、区应急局、区卫健委等为事故救援队伍保障部门。同时依靠合肥市危险化学品应急救援队，以及辖区重点企业救援队伍，充分发挥企业专业应急救援队在救援中的强力后援作用。区应急局应加强对各联动单位的组织协调和沟通，保障应急工作的有效进行。</w:t>
      </w:r>
    </w:p>
    <w:p w14:paraId="3D8E536C">
      <w:pPr>
        <w:pStyle w:val="3"/>
        <w:shd w:val="clear"/>
        <w:spacing w:line="500" w:lineRule="exact"/>
        <w:ind w:firstLine="643"/>
        <w:rPr>
          <w:rFonts w:hint="eastAsia" w:ascii="仿宋" w:hAnsi="仿宋" w:eastAsia="仿宋" w:cs="仿宋"/>
          <w:color w:val="auto"/>
          <w:highlight w:val="none"/>
          <w:lang w:val="zh-CN"/>
        </w:rPr>
      </w:pPr>
      <w:bookmarkStart w:id="95" w:name="_Toc26205"/>
      <w:bookmarkStart w:id="96" w:name="_Toc13420"/>
      <w:bookmarkStart w:id="97" w:name="_Toc5748"/>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w:t>
      </w:r>
      <w:r>
        <w:rPr>
          <w:rFonts w:hint="eastAsia" w:ascii="仿宋" w:hAnsi="仿宋" w:eastAsia="仿宋" w:cs="仿宋"/>
          <w:color w:val="auto"/>
          <w:highlight w:val="none"/>
          <w:lang w:val="zh-CN"/>
        </w:rPr>
        <w:t>物资保障</w:t>
      </w:r>
      <w:bookmarkEnd w:id="95"/>
      <w:bookmarkEnd w:id="96"/>
      <w:bookmarkEnd w:id="97"/>
    </w:p>
    <w:p w14:paraId="03A02F93">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公安、应急、环保、卫生、民政、消防等部门在加强自身危险化学品应急处置专业装备和物资储备的同时，应广泛与社会单位签订合作协议，确保能及时调用相关装备和物资。</w:t>
      </w:r>
    </w:p>
    <w:p w14:paraId="6D8D9610">
      <w:pPr>
        <w:pStyle w:val="3"/>
        <w:shd w:val="clear"/>
        <w:spacing w:line="500" w:lineRule="exact"/>
        <w:ind w:firstLine="643"/>
        <w:rPr>
          <w:rFonts w:hint="eastAsia" w:ascii="仿宋" w:hAnsi="仿宋" w:eastAsia="仿宋" w:cs="仿宋"/>
          <w:color w:val="auto"/>
          <w:highlight w:val="none"/>
          <w:lang w:val="zh-CN"/>
        </w:rPr>
      </w:pPr>
      <w:bookmarkStart w:id="98" w:name="_Toc16502"/>
      <w:bookmarkStart w:id="99" w:name="_Toc26412"/>
      <w:bookmarkStart w:id="100" w:name="_Toc13488"/>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w:t>
      </w:r>
      <w:r>
        <w:rPr>
          <w:rFonts w:hint="eastAsia" w:ascii="仿宋" w:hAnsi="仿宋" w:eastAsia="仿宋" w:cs="仿宋"/>
          <w:color w:val="auto"/>
          <w:highlight w:val="none"/>
          <w:lang w:val="zh-CN"/>
        </w:rPr>
        <w:t>经费保障</w:t>
      </w:r>
      <w:bookmarkEnd w:id="98"/>
      <w:bookmarkEnd w:id="99"/>
      <w:bookmarkEnd w:id="100"/>
    </w:p>
    <w:p w14:paraId="44473677">
      <w:pPr>
        <w:shd w:val="clear"/>
        <w:spacing w:after="0" w:line="500" w:lineRule="exact"/>
        <w:ind w:firstLine="640"/>
        <w:jc w:val="both"/>
        <w:rPr>
          <w:rFonts w:hint="eastAsia" w:ascii="仿宋" w:hAnsi="仿宋" w:eastAsia="仿宋" w:cs="仿宋"/>
          <w:color w:val="auto"/>
          <w:sz w:val="32"/>
          <w:szCs w:val="32"/>
          <w:highlight w:val="none"/>
          <w:lang w:val="en-US" w:eastAsia="zh-CN"/>
        </w:rPr>
        <w:sectPr>
          <w:pgSz w:w="11906" w:h="16838"/>
          <w:pgMar w:top="1247" w:right="1474" w:bottom="1440" w:left="1247" w:header="851" w:footer="992" w:gutter="0"/>
          <w:pgNumType w:fmt="decimal"/>
          <w:cols w:space="720" w:num="1"/>
          <w:docGrid w:type="linesAndChars" w:linePitch="435" w:charSpace="0"/>
        </w:sectPr>
      </w:pPr>
      <w:r>
        <w:rPr>
          <w:rFonts w:hint="eastAsia" w:ascii="仿宋" w:hAnsi="仿宋" w:eastAsia="仿宋" w:cs="仿宋"/>
          <w:color w:val="auto"/>
          <w:sz w:val="32"/>
          <w:szCs w:val="32"/>
          <w:highlight w:val="none"/>
          <w:lang w:val="zh-CN"/>
        </w:rPr>
        <w:t>区财政局要将危险化学品生产安全事故应急救援经费纳入区财政预算，建立应急处置专项经费，为事故应急处置提供经费支持。危险化学品生产安全事故应急救援费用由事故责任单位承担，事故责任单位无力承担的，由属地政府协调解决</w:t>
      </w:r>
      <w:bookmarkStart w:id="101" w:name="_Toc5165"/>
      <w:bookmarkStart w:id="102" w:name="_Toc5239"/>
      <w:r>
        <w:rPr>
          <w:rFonts w:hint="eastAsia" w:ascii="仿宋" w:hAnsi="仿宋" w:eastAsia="仿宋" w:cs="仿宋"/>
          <w:color w:val="auto"/>
          <w:sz w:val="32"/>
          <w:szCs w:val="32"/>
          <w:highlight w:val="none"/>
          <w:lang w:val="en-US" w:eastAsia="zh-CN"/>
        </w:rPr>
        <w:t>。</w:t>
      </w:r>
    </w:p>
    <w:p w14:paraId="3E5E72C3">
      <w:pPr>
        <w:shd w:val="clear"/>
        <w:spacing w:after="0" w:line="500" w:lineRule="exact"/>
        <w:ind w:firstLine="640"/>
        <w:jc w:val="center"/>
        <w:outlineLvl w:val="0"/>
        <w:rPr>
          <w:rFonts w:hint="eastAsia" w:ascii="仿宋" w:hAnsi="仿宋" w:eastAsia="仿宋" w:cs="仿宋"/>
          <w:b/>
          <w:bCs w:val="0"/>
          <w:color w:val="auto"/>
          <w:sz w:val="36"/>
          <w:szCs w:val="36"/>
          <w:highlight w:val="none"/>
        </w:rPr>
      </w:pPr>
      <w:bookmarkStart w:id="103" w:name="_Toc123"/>
      <w:r>
        <w:rPr>
          <w:rFonts w:hint="eastAsia" w:ascii="仿宋" w:hAnsi="仿宋" w:eastAsia="仿宋" w:cs="仿宋"/>
          <w:b/>
          <w:bCs w:val="0"/>
          <w:color w:val="auto"/>
          <w:sz w:val="36"/>
          <w:szCs w:val="36"/>
          <w:highlight w:val="none"/>
          <w:lang w:val="en-US" w:eastAsia="zh-CN"/>
        </w:rPr>
        <w:t>7</w:t>
      </w:r>
      <w:r>
        <w:rPr>
          <w:rFonts w:hint="eastAsia" w:ascii="仿宋" w:hAnsi="仿宋" w:eastAsia="仿宋" w:cs="仿宋"/>
          <w:b/>
          <w:bCs w:val="0"/>
          <w:color w:val="auto"/>
          <w:sz w:val="36"/>
          <w:szCs w:val="36"/>
          <w:highlight w:val="none"/>
        </w:rPr>
        <w:t>预案管理</w:t>
      </w:r>
      <w:bookmarkEnd w:id="101"/>
      <w:bookmarkEnd w:id="102"/>
      <w:bookmarkEnd w:id="103"/>
    </w:p>
    <w:p w14:paraId="7C6999BE">
      <w:pPr>
        <w:pStyle w:val="3"/>
        <w:shd w:val="clear"/>
        <w:spacing w:line="500" w:lineRule="exact"/>
        <w:ind w:firstLine="643"/>
        <w:rPr>
          <w:rFonts w:hint="eastAsia" w:ascii="仿宋" w:hAnsi="仿宋" w:eastAsia="仿宋" w:cs="仿宋"/>
          <w:color w:val="auto"/>
          <w:highlight w:val="none"/>
        </w:rPr>
      </w:pPr>
      <w:bookmarkStart w:id="104" w:name="_Toc12679"/>
      <w:bookmarkStart w:id="105" w:name="_Toc31753"/>
      <w:bookmarkStart w:id="106" w:name="_Toc23242"/>
      <w:bookmarkStart w:id="107" w:name="_Toc13453"/>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.1预案培训</w:t>
      </w:r>
      <w:bookmarkEnd w:id="104"/>
      <w:bookmarkEnd w:id="105"/>
      <w:bookmarkEnd w:id="106"/>
      <w:bookmarkEnd w:id="107"/>
    </w:p>
    <w:p w14:paraId="52AB13F2">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各属地政府部门及区行业主管部门要组织应急法律法规宣传教育工作，定期组织专业人员培训。危险化学品企业应与属地政府部门建立联动机制，向群众宣传应急知识，</w:t>
      </w:r>
      <w:r>
        <w:rPr>
          <w:rFonts w:hint="eastAsia" w:ascii="仿宋" w:hAnsi="仿宋" w:eastAsia="仿宋" w:cs="仿宋"/>
          <w:color w:val="auto"/>
          <w:sz w:val="32"/>
          <w:szCs w:val="32"/>
          <w:highlight w:val="none"/>
        </w:rPr>
        <w:t>按照相关法律法规要求组织企业职工开展应急救援知识培训</w:t>
      </w:r>
      <w:r>
        <w:rPr>
          <w:rFonts w:hint="eastAsia" w:ascii="仿宋" w:hAnsi="仿宋" w:eastAsia="仿宋" w:cs="仿宋"/>
          <w:color w:val="auto"/>
          <w:sz w:val="32"/>
          <w:szCs w:val="32"/>
          <w:highlight w:val="none"/>
          <w:lang w:val="zh-CN"/>
        </w:rPr>
        <w:t>。</w:t>
      </w:r>
    </w:p>
    <w:p w14:paraId="51BD6396">
      <w:pPr>
        <w:pStyle w:val="3"/>
        <w:shd w:val="clear"/>
        <w:spacing w:line="500" w:lineRule="exact"/>
        <w:ind w:firstLine="643"/>
        <w:rPr>
          <w:rFonts w:hint="eastAsia" w:ascii="仿宋" w:hAnsi="仿宋" w:eastAsia="仿宋" w:cs="仿宋"/>
          <w:color w:val="auto"/>
          <w:highlight w:val="none"/>
          <w:lang w:val="zh-CN"/>
        </w:rPr>
      </w:pPr>
      <w:bookmarkStart w:id="108" w:name="_Toc1507"/>
      <w:bookmarkStart w:id="109" w:name="_Toc27967"/>
      <w:bookmarkStart w:id="110" w:name="_Toc24265"/>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预案演练</w:t>
      </w:r>
      <w:bookmarkEnd w:id="108"/>
      <w:bookmarkEnd w:id="109"/>
      <w:bookmarkEnd w:id="110"/>
    </w:p>
    <w:p w14:paraId="6564776E">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应急预案的演练可采用实战演练和桌面演练等多种形式。区指挥部办公室每年至少组织一次本预案的演练，加强各部门之间的协同能力，提高防范和处置危险化学品事故能力。演练结束后，应当对应急预案演练效果进行评估，撰写应急演练</w:t>
      </w:r>
      <w:r>
        <w:rPr>
          <w:rFonts w:hint="eastAsia" w:ascii="仿宋" w:hAnsi="仿宋" w:eastAsia="仿宋" w:cs="仿宋"/>
          <w:color w:val="auto"/>
          <w:sz w:val="32"/>
          <w:szCs w:val="32"/>
          <w:highlight w:val="none"/>
          <w:lang w:val="en-US" w:eastAsia="zh-CN"/>
        </w:rPr>
        <w:t>效果</w:t>
      </w:r>
      <w:r>
        <w:rPr>
          <w:rFonts w:hint="eastAsia" w:ascii="仿宋" w:hAnsi="仿宋" w:eastAsia="仿宋" w:cs="仿宋"/>
          <w:color w:val="auto"/>
          <w:sz w:val="32"/>
          <w:szCs w:val="32"/>
          <w:highlight w:val="none"/>
          <w:lang w:val="zh-CN"/>
        </w:rPr>
        <w:t>评估报告，分析存在的问题，并对应急预案提出修订意见。</w:t>
      </w:r>
    </w:p>
    <w:p w14:paraId="70EB51DF">
      <w:pPr>
        <w:pStyle w:val="3"/>
        <w:shd w:val="clear"/>
        <w:spacing w:line="500" w:lineRule="exact"/>
        <w:ind w:firstLine="643"/>
        <w:rPr>
          <w:rFonts w:hint="eastAsia" w:ascii="仿宋" w:hAnsi="仿宋" w:eastAsia="仿宋" w:cs="仿宋"/>
          <w:color w:val="auto"/>
          <w:highlight w:val="none"/>
          <w:lang w:val="zh-CN"/>
        </w:rPr>
      </w:pPr>
      <w:bookmarkStart w:id="111" w:name="_Toc27977"/>
      <w:bookmarkStart w:id="112" w:name="_Toc15675"/>
      <w:bookmarkStart w:id="113" w:name="_Toc31082"/>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w:t>
      </w:r>
      <w:r>
        <w:rPr>
          <w:rFonts w:hint="eastAsia" w:ascii="仿宋" w:hAnsi="仿宋" w:eastAsia="仿宋" w:cs="仿宋"/>
          <w:color w:val="auto"/>
          <w:highlight w:val="none"/>
          <w:lang w:val="zh-CN"/>
        </w:rPr>
        <w:t>预案修订</w:t>
      </w:r>
      <w:bookmarkEnd w:id="111"/>
      <w:bookmarkEnd w:id="112"/>
      <w:r>
        <w:rPr>
          <w:rFonts w:hint="eastAsia" w:ascii="仿宋" w:hAnsi="仿宋" w:eastAsia="仿宋" w:cs="仿宋"/>
          <w:color w:val="auto"/>
          <w:highlight w:val="none"/>
          <w:lang w:val="en-US" w:eastAsia="zh-CN"/>
        </w:rPr>
        <w:t>和更新</w:t>
      </w:r>
      <w:bookmarkEnd w:id="113"/>
    </w:p>
    <w:p w14:paraId="1B2C2649">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本预案应当至少每三年修订一次，预案修订情况应有记录并归档。预案制定依据的法律法规、应急组织机构、危险源风险情况等发生变化，或在演练过程中发现预案存在缺陷，区指挥部办公室应当组织对本预案进行相应的调整、修订。</w:t>
      </w:r>
    </w:p>
    <w:p w14:paraId="6DC75A7C">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预案中涉及的人员、物资发生变化时，相关人员和单位应及时报区危险化学品事故应急指挥部更新。</w:t>
      </w:r>
    </w:p>
    <w:p w14:paraId="1BA47ACD">
      <w:pPr>
        <w:pStyle w:val="3"/>
        <w:shd w:val="clear"/>
        <w:spacing w:line="500" w:lineRule="exact"/>
        <w:ind w:firstLine="643"/>
        <w:rPr>
          <w:rFonts w:hint="eastAsia" w:ascii="仿宋" w:hAnsi="仿宋" w:eastAsia="仿宋" w:cs="仿宋"/>
          <w:color w:val="auto"/>
          <w:highlight w:val="none"/>
        </w:rPr>
      </w:pPr>
      <w:bookmarkStart w:id="114" w:name="_Toc20422"/>
      <w:bookmarkStart w:id="115" w:name="_Toc22392"/>
      <w:bookmarkStart w:id="116" w:name="_Toc31649"/>
      <w:bookmarkStart w:id="117" w:name="_Toc3320"/>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.4预案备案</w:t>
      </w:r>
      <w:bookmarkEnd w:id="114"/>
      <w:bookmarkEnd w:id="115"/>
      <w:bookmarkEnd w:id="116"/>
      <w:bookmarkEnd w:id="117"/>
    </w:p>
    <w:p w14:paraId="1AE20427">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本预案根据国家有关规定报区政府备案，同时抄报市应急局，并依法向社会公布。</w:t>
      </w:r>
    </w:p>
    <w:p w14:paraId="771AFE72">
      <w:pPr>
        <w:pStyle w:val="3"/>
        <w:shd w:val="clear"/>
        <w:spacing w:line="500" w:lineRule="exact"/>
        <w:ind w:firstLine="643"/>
        <w:rPr>
          <w:rFonts w:hint="eastAsia" w:ascii="仿宋" w:hAnsi="仿宋" w:eastAsia="仿宋" w:cs="仿宋"/>
          <w:color w:val="auto"/>
          <w:highlight w:val="none"/>
        </w:rPr>
      </w:pPr>
      <w:bookmarkStart w:id="118" w:name="_Toc1457"/>
      <w:bookmarkStart w:id="119" w:name="_Toc19435"/>
      <w:bookmarkStart w:id="120" w:name="_Toc7525"/>
      <w:bookmarkStart w:id="121" w:name="_Toc26351"/>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.5预案实施</w:t>
      </w:r>
      <w:bookmarkEnd w:id="118"/>
      <w:bookmarkEnd w:id="119"/>
      <w:bookmarkEnd w:id="120"/>
      <w:bookmarkEnd w:id="121"/>
    </w:p>
    <w:p w14:paraId="2E96AF6B">
      <w:pPr>
        <w:shd w:val="clear"/>
        <w:spacing w:after="0" w:line="500" w:lineRule="exact"/>
        <w:ind w:firstLine="640"/>
        <w:jc w:val="both"/>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本预案自印发之日起施行。</w:t>
      </w:r>
    </w:p>
    <w:p w14:paraId="2C1CA6D6">
      <w:pPr>
        <w:pStyle w:val="14"/>
        <w:rPr>
          <w:rFonts w:hint="default" w:ascii="仿宋" w:hAnsi="仿宋" w:eastAsia="仿宋" w:cs="仿宋"/>
          <w:color w:val="auto"/>
          <w:sz w:val="32"/>
          <w:szCs w:val="32"/>
          <w:highlight w:val="none"/>
          <w:lang w:val="en-US" w:eastAsia="zh-CN"/>
        </w:rPr>
      </w:pPr>
      <w:bookmarkStart w:id="122" w:name="_GoBack"/>
      <w:bookmarkEnd w:id="122"/>
    </w:p>
    <w:sectPr>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8EF7387-C0C1-4AAE-AA9E-C8D6D5A5AA5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5C7E6095-4ED8-424E-BA58-BF71E6AA71F5}"/>
  </w:font>
  <w:font w:name="仿宋">
    <w:panose1 w:val="02010609060101010101"/>
    <w:charset w:val="86"/>
    <w:family w:val="auto"/>
    <w:pitch w:val="default"/>
    <w:sig w:usb0="800002BF" w:usb1="38CF7CFA" w:usb2="00000016" w:usb3="00000000" w:csb0="00040001" w:csb1="00000000"/>
    <w:embedRegular r:id="rId3" w:fontKey="{520F8567-9E31-46BF-96C9-AABCA105D555}"/>
  </w:font>
  <w:font w:name="仿宋_GB2312">
    <w:panose1 w:val="02010609030101010101"/>
    <w:charset w:val="86"/>
    <w:family w:val="modern"/>
    <w:pitch w:val="default"/>
    <w:sig w:usb0="00000001" w:usb1="080E0000" w:usb2="00000000" w:usb3="00000000" w:csb0="00040000" w:csb1="00000000"/>
    <w:embedRegular r:id="rId4" w:fontKey="{1ED7FDC5-44D8-4D5E-AF1F-FA7DDCDD48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A76B">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5E6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9752">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4E477A">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h0n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cC5O25x4pefPy6//lx+fyfL&#10;rE8foMa0+4CJaXjnB8yd/YDOTHtQ0eYvEiIYR3XPV3XlkIjIj9ar9brCkMDYfEF89vA8REjvpbck&#10;Gw2NOL6iKj99hDSmzim5mvN32pgyQuP+cSBm9rDc+9hjttKwHyZCe9+ekU+Pk2+ow0WnxHxwKGxe&#10;ktmIs7GfjWOI+tCVLcr1INweEzZRessVRtipMI6ssJvWK+/E43vJevil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YdJzIAQAAmgMAAA4AAAAAAAAAAQAgAAAAHgEAAGRycy9lMm9Eb2Mu&#10;eG1sUEsFBgAAAAAGAAYAWQEAAFgFAAAAAA==&#10;">
              <v:fill on="f" focussize="0,0"/>
              <v:stroke on="f"/>
              <v:imagedata o:title=""/>
              <o:lock v:ext="edit" aspectratio="f"/>
              <v:textbox inset="0mm,0mm,0mm,0mm" style="mso-fit-shape-to-text:t;">
                <w:txbxContent>
                  <w:p w14:paraId="704E477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9829">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849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jVlM2U4NTFmN2UyMjQyNWJlZTljYzRiZTZiZDQifQ=="/>
  </w:docVars>
  <w:rsids>
    <w:rsidRoot w:val="00D31D50"/>
    <w:rsid w:val="000021C6"/>
    <w:rsid w:val="00010CBB"/>
    <w:rsid w:val="00036BBB"/>
    <w:rsid w:val="00075EC0"/>
    <w:rsid w:val="00081BC4"/>
    <w:rsid w:val="00081C20"/>
    <w:rsid w:val="0008223E"/>
    <w:rsid w:val="00085F8E"/>
    <w:rsid w:val="000B15E1"/>
    <w:rsid w:val="000D6A7E"/>
    <w:rsid w:val="00105605"/>
    <w:rsid w:val="001453B3"/>
    <w:rsid w:val="00160F36"/>
    <w:rsid w:val="001E5A8E"/>
    <w:rsid w:val="001F2875"/>
    <w:rsid w:val="00244538"/>
    <w:rsid w:val="00297465"/>
    <w:rsid w:val="002B05BB"/>
    <w:rsid w:val="002B1F9E"/>
    <w:rsid w:val="002D6B18"/>
    <w:rsid w:val="002E4D33"/>
    <w:rsid w:val="002E6ABE"/>
    <w:rsid w:val="00306CC8"/>
    <w:rsid w:val="00307291"/>
    <w:rsid w:val="00323B43"/>
    <w:rsid w:val="00352165"/>
    <w:rsid w:val="0037534E"/>
    <w:rsid w:val="00383CC1"/>
    <w:rsid w:val="00386231"/>
    <w:rsid w:val="0039637C"/>
    <w:rsid w:val="003C2815"/>
    <w:rsid w:val="003D37D8"/>
    <w:rsid w:val="003E112C"/>
    <w:rsid w:val="003F265B"/>
    <w:rsid w:val="00414752"/>
    <w:rsid w:val="00426133"/>
    <w:rsid w:val="004358AB"/>
    <w:rsid w:val="00451718"/>
    <w:rsid w:val="004E1CC4"/>
    <w:rsid w:val="005334A7"/>
    <w:rsid w:val="00541109"/>
    <w:rsid w:val="00551B0F"/>
    <w:rsid w:val="0059277E"/>
    <w:rsid w:val="005A757E"/>
    <w:rsid w:val="005B63AF"/>
    <w:rsid w:val="005C025A"/>
    <w:rsid w:val="005C033D"/>
    <w:rsid w:val="005F59E0"/>
    <w:rsid w:val="00620823"/>
    <w:rsid w:val="006678EF"/>
    <w:rsid w:val="006739D7"/>
    <w:rsid w:val="0067571A"/>
    <w:rsid w:val="00685B71"/>
    <w:rsid w:val="006C58BC"/>
    <w:rsid w:val="006D5EA2"/>
    <w:rsid w:val="006E1484"/>
    <w:rsid w:val="00702B4F"/>
    <w:rsid w:val="00711DD6"/>
    <w:rsid w:val="00755B05"/>
    <w:rsid w:val="00771430"/>
    <w:rsid w:val="0077791F"/>
    <w:rsid w:val="00784C77"/>
    <w:rsid w:val="00793757"/>
    <w:rsid w:val="00797326"/>
    <w:rsid w:val="007B2845"/>
    <w:rsid w:val="007F128B"/>
    <w:rsid w:val="007F2BEC"/>
    <w:rsid w:val="007F4D30"/>
    <w:rsid w:val="00827CE8"/>
    <w:rsid w:val="00857743"/>
    <w:rsid w:val="008A3CC5"/>
    <w:rsid w:val="008B0590"/>
    <w:rsid w:val="008B4C58"/>
    <w:rsid w:val="008B7726"/>
    <w:rsid w:val="008D303D"/>
    <w:rsid w:val="008D3AC3"/>
    <w:rsid w:val="0090279A"/>
    <w:rsid w:val="00914A63"/>
    <w:rsid w:val="00916DFB"/>
    <w:rsid w:val="00936B05"/>
    <w:rsid w:val="00937D09"/>
    <w:rsid w:val="00942D1D"/>
    <w:rsid w:val="00943016"/>
    <w:rsid w:val="00967042"/>
    <w:rsid w:val="009B3A4B"/>
    <w:rsid w:val="009B416C"/>
    <w:rsid w:val="009C3FFB"/>
    <w:rsid w:val="009F12A0"/>
    <w:rsid w:val="00A022C0"/>
    <w:rsid w:val="00A375F4"/>
    <w:rsid w:val="00A423E5"/>
    <w:rsid w:val="00A51B4B"/>
    <w:rsid w:val="00A677F1"/>
    <w:rsid w:val="00A81BF6"/>
    <w:rsid w:val="00A8512F"/>
    <w:rsid w:val="00AA1FA4"/>
    <w:rsid w:val="00AB6E0F"/>
    <w:rsid w:val="00AF7C13"/>
    <w:rsid w:val="00B461E1"/>
    <w:rsid w:val="00B80286"/>
    <w:rsid w:val="00B8369B"/>
    <w:rsid w:val="00B92A6B"/>
    <w:rsid w:val="00BE06B7"/>
    <w:rsid w:val="00C033ED"/>
    <w:rsid w:val="00C406BF"/>
    <w:rsid w:val="00C54D8A"/>
    <w:rsid w:val="00C54E77"/>
    <w:rsid w:val="00C84770"/>
    <w:rsid w:val="00CC0736"/>
    <w:rsid w:val="00CC1E9F"/>
    <w:rsid w:val="00CD6BE7"/>
    <w:rsid w:val="00CF27B3"/>
    <w:rsid w:val="00D21BF7"/>
    <w:rsid w:val="00D31D50"/>
    <w:rsid w:val="00D74DB7"/>
    <w:rsid w:val="00DA28D8"/>
    <w:rsid w:val="00DB7A8E"/>
    <w:rsid w:val="00DC4EE1"/>
    <w:rsid w:val="00DD127F"/>
    <w:rsid w:val="00DD3B9B"/>
    <w:rsid w:val="00E22CFA"/>
    <w:rsid w:val="00E5496D"/>
    <w:rsid w:val="00E641DB"/>
    <w:rsid w:val="00ED2BD8"/>
    <w:rsid w:val="00EE23BC"/>
    <w:rsid w:val="00EF03B0"/>
    <w:rsid w:val="00F00872"/>
    <w:rsid w:val="00F12EDC"/>
    <w:rsid w:val="00F238B1"/>
    <w:rsid w:val="00F27AAE"/>
    <w:rsid w:val="00F35890"/>
    <w:rsid w:val="00F471E6"/>
    <w:rsid w:val="00FD4EBA"/>
    <w:rsid w:val="00FF3737"/>
    <w:rsid w:val="01695955"/>
    <w:rsid w:val="017D254A"/>
    <w:rsid w:val="017D31AE"/>
    <w:rsid w:val="01BA6610"/>
    <w:rsid w:val="02C96A9D"/>
    <w:rsid w:val="03B70606"/>
    <w:rsid w:val="03B80BDE"/>
    <w:rsid w:val="04A46CA4"/>
    <w:rsid w:val="052971A9"/>
    <w:rsid w:val="05387B4D"/>
    <w:rsid w:val="05C55124"/>
    <w:rsid w:val="069856BB"/>
    <w:rsid w:val="06A411DD"/>
    <w:rsid w:val="07181283"/>
    <w:rsid w:val="082D5E69"/>
    <w:rsid w:val="088917D2"/>
    <w:rsid w:val="089B2CC2"/>
    <w:rsid w:val="0D3A03EC"/>
    <w:rsid w:val="0EB0524A"/>
    <w:rsid w:val="0EB87751"/>
    <w:rsid w:val="0EF64B69"/>
    <w:rsid w:val="0F1116B0"/>
    <w:rsid w:val="0F796A03"/>
    <w:rsid w:val="0FD32B5F"/>
    <w:rsid w:val="0FFA0880"/>
    <w:rsid w:val="1123507C"/>
    <w:rsid w:val="12485112"/>
    <w:rsid w:val="124B075F"/>
    <w:rsid w:val="12A13400"/>
    <w:rsid w:val="12C560F4"/>
    <w:rsid w:val="13F84971"/>
    <w:rsid w:val="14736AB2"/>
    <w:rsid w:val="16CA1203"/>
    <w:rsid w:val="17004B32"/>
    <w:rsid w:val="19A10856"/>
    <w:rsid w:val="1A3642BF"/>
    <w:rsid w:val="1E6C407A"/>
    <w:rsid w:val="1EA91CC9"/>
    <w:rsid w:val="1F10520A"/>
    <w:rsid w:val="1F354C71"/>
    <w:rsid w:val="206640CC"/>
    <w:rsid w:val="21E32762"/>
    <w:rsid w:val="22533F21"/>
    <w:rsid w:val="228D26CE"/>
    <w:rsid w:val="22B23010"/>
    <w:rsid w:val="2351522D"/>
    <w:rsid w:val="237C4C1C"/>
    <w:rsid w:val="24692B0B"/>
    <w:rsid w:val="25333A00"/>
    <w:rsid w:val="25715DF1"/>
    <w:rsid w:val="25A207CB"/>
    <w:rsid w:val="26136F45"/>
    <w:rsid w:val="26A249BB"/>
    <w:rsid w:val="26BD0874"/>
    <w:rsid w:val="283755B5"/>
    <w:rsid w:val="2AB70171"/>
    <w:rsid w:val="2B242F41"/>
    <w:rsid w:val="2D291E0C"/>
    <w:rsid w:val="2E6C4937"/>
    <w:rsid w:val="3005243D"/>
    <w:rsid w:val="31F664E1"/>
    <w:rsid w:val="32525404"/>
    <w:rsid w:val="32BD6FFF"/>
    <w:rsid w:val="332F0BC7"/>
    <w:rsid w:val="34833930"/>
    <w:rsid w:val="34C56AA0"/>
    <w:rsid w:val="34CB1B2B"/>
    <w:rsid w:val="35644F00"/>
    <w:rsid w:val="365612F1"/>
    <w:rsid w:val="37176EC0"/>
    <w:rsid w:val="37BE182B"/>
    <w:rsid w:val="38C713DF"/>
    <w:rsid w:val="391E6719"/>
    <w:rsid w:val="39534219"/>
    <w:rsid w:val="3AAA1C17"/>
    <w:rsid w:val="3AC82A93"/>
    <w:rsid w:val="3AE42A23"/>
    <w:rsid w:val="3BA407C9"/>
    <w:rsid w:val="3BC71477"/>
    <w:rsid w:val="3C9435F5"/>
    <w:rsid w:val="3CC30AFC"/>
    <w:rsid w:val="3D25386A"/>
    <w:rsid w:val="3D6F752E"/>
    <w:rsid w:val="41E8322C"/>
    <w:rsid w:val="452359F8"/>
    <w:rsid w:val="49053971"/>
    <w:rsid w:val="4942236E"/>
    <w:rsid w:val="4A433167"/>
    <w:rsid w:val="4A565546"/>
    <w:rsid w:val="4AB025FE"/>
    <w:rsid w:val="4BA33A39"/>
    <w:rsid w:val="4C0668E1"/>
    <w:rsid w:val="4C211F55"/>
    <w:rsid w:val="4CE3278B"/>
    <w:rsid w:val="4D7013B5"/>
    <w:rsid w:val="4D846EA0"/>
    <w:rsid w:val="4EB04191"/>
    <w:rsid w:val="4EB37AEB"/>
    <w:rsid w:val="4F206C5A"/>
    <w:rsid w:val="513E4F39"/>
    <w:rsid w:val="5196187D"/>
    <w:rsid w:val="51DD247A"/>
    <w:rsid w:val="51EF56DA"/>
    <w:rsid w:val="52AD62F0"/>
    <w:rsid w:val="531C1872"/>
    <w:rsid w:val="549239F0"/>
    <w:rsid w:val="54D84267"/>
    <w:rsid w:val="566273F2"/>
    <w:rsid w:val="57A753B3"/>
    <w:rsid w:val="587B4917"/>
    <w:rsid w:val="59B656B5"/>
    <w:rsid w:val="5A474AF3"/>
    <w:rsid w:val="5A7A4B9A"/>
    <w:rsid w:val="5ABC44BE"/>
    <w:rsid w:val="5AC4067B"/>
    <w:rsid w:val="5BC437A7"/>
    <w:rsid w:val="5BCA7F13"/>
    <w:rsid w:val="5C4A6547"/>
    <w:rsid w:val="5D177188"/>
    <w:rsid w:val="5D9702C9"/>
    <w:rsid w:val="609F3570"/>
    <w:rsid w:val="613D1565"/>
    <w:rsid w:val="614B5652"/>
    <w:rsid w:val="62091C84"/>
    <w:rsid w:val="6239194F"/>
    <w:rsid w:val="64057EF2"/>
    <w:rsid w:val="64EF013A"/>
    <w:rsid w:val="6578453C"/>
    <w:rsid w:val="65AC068A"/>
    <w:rsid w:val="676570EA"/>
    <w:rsid w:val="6C624051"/>
    <w:rsid w:val="6C9B0449"/>
    <w:rsid w:val="6CAC086C"/>
    <w:rsid w:val="6D725D15"/>
    <w:rsid w:val="6FF43359"/>
    <w:rsid w:val="70940886"/>
    <w:rsid w:val="70AE6490"/>
    <w:rsid w:val="71EF65F0"/>
    <w:rsid w:val="741B342A"/>
    <w:rsid w:val="75F82DA4"/>
    <w:rsid w:val="77E074AD"/>
    <w:rsid w:val="78C23FF4"/>
    <w:rsid w:val="79A656C4"/>
    <w:rsid w:val="79CD6B55"/>
    <w:rsid w:val="7CA97410"/>
    <w:rsid w:val="7D7F3B5B"/>
    <w:rsid w:val="7E587A67"/>
    <w:rsid w:val="7F3C4135"/>
    <w:rsid w:val="7FA37FC1"/>
    <w:rsid w:val="7FAB364E"/>
    <w:rsid w:val="B7B2E1F5"/>
    <w:rsid w:val="C8FB6085"/>
    <w:rsid w:val="CFE7608D"/>
    <w:rsid w:val="E63DC2F7"/>
    <w:rsid w:val="EEFF5A91"/>
    <w:rsid w:val="FEDB7D69"/>
    <w:rsid w:val="FF7F9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7"/>
    <w:qFormat/>
    <w:uiPriority w:val="0"/>
    <w:pPr>
      <w:keepNext/>
      <w:keepLines/>
      <w:widowControl w:val="0"/>
      <w:spacing w:after="0" w:line="360" w:lineRule="auto"/>
      <w:ind w:firstLine="200" w:firstLineChars="200"/>
      <w:jc w:val="both"/>
      <w:outlineLvl w:val="0"/>
    </w:pPr>
    <w:rPr>
      <w:rFonts w:ascii="Calibri" w:hAnsi="Calibri" w:eastAsia="黑体" w:cs="Times New Roman"/>
      <w:b/>
      <w:bCs/>
      <w:kern w:val="44"/>
      <w:sz w:val="32"/>
      <w:szCs w:val="44"/>
    </w:rPr>
  </w:style>
  <w:style w:type="paragraph" w:styleId="3">
    <w:name w:val="heading 2"/>
    <w:basedOn w:val="1"/>
    <w:next w:val="1"/>
    <w:link w:val="18"/>
    <w:qFormat/>
    <w:uiPriority w:val="0"/>
    <w:pPr>
      <w:keepNext/>
      <w:keepLines/>
      <w:widowControl w:val="0"/>
      <w:spacing w:after="0" w:line="360" w:lineRule="auto"/>
      <w:ind w:firstLine="200" w:firstLineChars="200"/>
      <w:jc w:val="both"/>
      <w:outlineLvl w:val="1"/>
    </w:pPr>
    <w:rPr>
      <w:rFonts w:ascii="Calibri" w:hAnsi="Calibri" w:eastAsia="楷体_GB2312" w:cs="Times New Roman"/>
      <w:b/>
      <w:bCs/>
      <w:kern w:val="2"/>
      <w:sz w:val="32"/>
      <w:szCs w:val="32"/>
    </w:rPr>
  </w:style>
  <w:style w:type="paragraph" w:styleId="4">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6"/>
    <w:unhideWhenUsed/>
    <w:qFormat/>
    <w:uiPriority w:val="99"/>
    <w:pPr>
      <w:tabs>
        <w:tab w:val="center" w:pos="4153"/>
        <w:tab w:val="right" w:pos="8306"/>
      </w:tabs>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15">
    <w:name w:val="页眉 Char"/>
    <w:basedOn w:val="12"/>
    <w:link w:val="7"/>
    <w:semiHidden/>
    <w:qFormat/>
    <w:uiPriority w:val="99"/>
    <w:rPr>
      <w:rFonts w:ascii="Tahoma" w:hAnsi="Tahoma"/>
      <w:sz w:val="18"/>
      <w:szCs w:val="18"/>
    </w:rPr>
  </w:style>
  <w:style w:type="character" w:customStyle="1" w:styleId="16">
    <w:name w:val="页脚 Char"/>
    <w:basedOn w:val="12"/>
    <w:link w:val="6"/>
    <w:qFormat/>
    <w:uiPriority w:val="99"/>
    <w:rPr>
      <w:rFonts w:ascii="Tahoma" w:hAnsi="Tahoma"/>
      <w:sz w:val="18"/>
      <w:szCs w:val="18"/>
    </w:rPr>
  </w:style>
  <w:style w:type="character" w:customStyle="1" w:styleId="17">
    <w:name w:val="标题 1 Char"/>
    <w:basedOn w:val="12"/>
    <w:link w:val="2"/>
    <w:qFormat/>
    <w:uiPriority w:val="0"/>
    <w:rPr>
      <w:rFonts w:ascii="Calibri" w:hAnsi="Calibri" w:eastAsia="黑体" w:cs="Times New Roman"/>
      <w:b/>
      <w:bCs/>
      <w:kern w:val="44"/>
      <w:sz w:val="32"/>
      <w:szCs w:val="44"/>
    </w:rPr>
  </w:style>
  <w:style w:type="character" w:customStyle="1" w:styleId="18">
    <w:name w:val="标题 2 Char"/>
    <w:basedOn w:val="12"/>
    <w:link w:val="3"/>
    <w:qFormat/>
    <w:uiPriority w:val="0"/>
    <w:rPr>
      <w:rFonts w:ascii="Calibri" w:hAnsi="Calibri" w:eastAsia="楷体_GB2312" w:cs="Times New Roman"/>
      <w:b/>
      <w:bCs/>
      <w:kern w:val="2"/>
      <w:sz w:val="32"/>
      <w:szCs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8908</Words>
  <Characters>9153</Characters>
  <Lines>118</Lines>
  <Paragraphs>33</Paragraphs>
  <TotalTime>8</TotalTime>
  <ScaleCrop>false</ScaleCrop>
  <LinksUpToDate>false</LinksUpToDate>
  <CharactersWithSpaces>9286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wanga</dc:creator>
  <cp:lastModifiedBy>达达</cp:lastModifiedBy>
  <cp:lastPrinted>2024-12-19T04:24:00Z</cp:lastPrinted>
  <dcterms:modified xsi:type="dcterms:W3CDTF">2025-02-25T07:33:31Z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D47DE2A3D2C2465A71A25367888124DE_43</vt:lpwstr>
  </property>
  <property fmtid="{D5CDD505-2E9C-101B-9397-08002B2CF9AE}" pid="4" name="KSOTemplateDocerSaveRecord">
    <vt:lpwstr>eyJoZGlkIjoiNjU3NTY4NGY1MzVkNjIyOTNhMDhjNzIwZDgyMWUwZWMiLCJ1c2VySWQiOiIxMTc5Nzg1MTQ4In0=</vt:lpwstr>
  </property>
</Properties>
</file>