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120" w:after="150" w:line="540" w:lineRule="atLeast"/>
        <w:jc w:val="center"/>
        <w:rPr>
          <w:rFonts w:hint="eastAsia" w:ascii="方正小标宋简体" w:hAnsi="方正小标宋简体" w:eastAsia="方正小标宋简体"/>
          <w:bCs/>
          <w:color w:val="auto"/>
          <w:sz w:val="44"/>
          <w:szCs w:val="44"/>
          <w:shd w:val="clear" w:color="auto" w:fill="FFFFFF"/>
        </w:rPr>
      </w:pPr>
      <w:r>
        <w:rPr>
          <w:rFonts w:ascii="方正小标宋简体" w:hAnsi="方正小标宋简体" w:eastAsia="方正小标宋简体"/>
          <w:bCs/>
          <w:color w:val="auto"/>
          <w:sz w:val="44"/>
          <w:szCs w:val="44"/>
          <w:shd w:val="clear" w:color="auto" w:fill="FFFFFF"/>
        </w:rPr>
        <w:t>瑶海区民政局婚姻家庭辅导服务项目招标文件</w:t>
      </w:r>
    </w:p>
    <w:p/>
    <w:p>
      <w:pPr>
        <w:pStyle w:val="15"/>
        <w:widowControl/>
        <w:ind w:firstLine="59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为大力推进婚姻领域移风易俗，加强新时代公民道德建设，</w:t>
      </w:r>
      <w:r>
        <w:rPr>
          <w:rFonts w:hint="eastAsia" w:ascii="仿宋_GB2312" w:hAnsi="仿宋_GB2312" w:eastAsia="仿宋_GB2312" w:cs="仿宋_GB2312"/>
          <w:sz w:val="32"/>
          <w:szCs w:val="32"/>
          <w:shd w:val="clear" w:color="auto" w:fill="FFFFFF"/>
          <w:lang w:val="zh-CN"/>
        </w:rPr>
        <w:t>深入提升婚姻家庭</w:t>
      </w:r>
      <w:r>
        <w:rPr>
          <w:rFonts w:hint="eastAsia" w:ascii="仿宋_GB2312" w:hAnsi="仿宋_GB2312" w:eastAsia="仿宋_GB2312" w:cs="仿宋_GB2312"/>
          <w:sz w:val="32"/>
          <w:szCs w:val="32"/>
          <w:shd w:val="clear" w:color="auto" w:fill="FFFFFF"/>
        </w:rPr>
        <w:t>辅导</w:t>
      </w:r>
      <w:r>
        <w:rPr>
          <w:rFonts w:hint="eastAsia" w:ascii="仿宋_GB2312" w:hAnsi="仿宋_GB2312" w:eastAsia="仿宋_GB2312" w:cs="仿宋_GB2312"/>
          <w:sz w:val="32"/>
          <w:szCs w:val="32"/>
          <w:shd w:val="clear" w:color="auto" w:fill="FFFFFF"/>
          <w:lang w:val="zh-CN"/>
        </w:rPr>
        <w:t>服务品质，</w:t>
      </w:r>
      <w:r>
        <w:rPr>
          <w:rFonts w:hint="eastAsia" w:ascii="仿宋_GB2312" w:hAnsi="仿宋_GB2312" w:eastAsia="仿宋_GB2312" w:cs="仿宋_GB2312"/>
          <w:sz w:val="32"/>
          <w:szCs w:val="32"/>
          <w:shd w:val="clear" w:color="auto" w:fill="FFFFFF"/>
        </w:rPr>
        <w:t>促进瑶海区幸福婚姻家庭的建设。本次项目以询价方式进行采购，请有意参与本次询价的承接主体参照本公告说明将相关信息反馈至瑶海区民政局，最终采购单位由本单位组织人员进行评审确定。</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一、项目简介</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（一）项目名称：婚姻家庭辅导</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（二）项目地点：瑶海区民政局婚姻登记处</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（三）项目单位：合肥市瑶海区民政局</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（四）项目预算：</w:t>
      </w:r>
      <w:r>
        <w:rPr>
          <w:rFonts w:ascii="仿宋_GB2312" w:hAnsi="仿宋_GB2312" w:eastAsia="仿宋_GB2312" w:cs="仿宋_GB2312"/>
          <w:sz w:val="32"/>
          <w:szCs w:val="32"/>
          <w:shd w:val="clear" w:color="auto" w:fill="FFFFFF"/>
        </w:rPr>
        <w:t>21</w:t>
      </w:r>
      <w:r>
        <w:rPr>
          <w:rFonts w:hint="eastAsia" w:ascii="仿宋_GB2312" w:hAnsi="仿宋_GB2312" w:eastAsia="仿宋_GB2312" w:cs="仿宋_GB2312"/>
          <w:sz w:val="32"/>
          <w:szCs w:val="32"/>
          <w:shd w:val="clear" w:color="auto" w:fill="FFFFFF"/>
        </w:rPr>
        <w:t>万元</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（五）服务期限：1年</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二、项目内容</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每天安排四名专业婚姻家庭咨询师，为当事人围绕婚姻危机干预、夫妻沟通障碍、离婚与再婚心理调适等需求，提供婚姻家庭健康咨询、婚姻指导和心里疏导服务，帮助当事人构建友善、平等、和谐的婚姻关系。</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三、承接主体资格</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1.符合《政府采购法》第22条规定。</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2.依法设立并经民政部门登记注册的社会组织，有完善的社会组织机构、健全的财务制度和独立的银行账号（已完成三证合一换证，提供新的证书）年检合格且无重大违法和不良信用记录。</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3.具有相应的专业人员和管理力量。</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4.安排四名婚姻家庭咨询师每天驻点咨询。</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5.本项目不接收联合申报，采购单位一律不予退还报价资料。</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四、联系方式</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联系电话：64490233 联系人：孟小丽</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地址：瑶海区政务服务中心二楼婚姻登记处</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五、报价要求</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本项目总报价不超过</w:t>
      </w:r>
      <w:r>
        <w:rPr>
          <w:rFonts w:ascii="仿宋_GB2312" w:hAnsi="仿宋_GB2312" w:eastAsia="仿宋_GB2312" w:cs="仿宋_GB2312"/>
          <w:sz w:val="32"/>
          <w:szCs w:val="32"/>
          <w:shd w:val="clear" w:color="auto" w:fill="FFFFFF"/>
        </w:rPr>
        <w:t>21</w:t>
      </w:r>
      <w:r>
        <w:rPr>
          <w:rFonts w:hint="eastAsia" w:ascii="仿宋_GB2312" w:hAnsi="仿宋_GB2312" w:eastAsia="仿宋_GB2312" w:cs="仿宋_GB2312"/>
          <w:sz w:val="32"/>
          <w:szCs w:val="32"/>
          <w:shd w:val="clear" w:color="auto" w:fill="FFFFFF"/>
        </w:rPr>
        <w:t>万元，包含完成本项目产生的一切费用。承接主体后期不得以任何理由向采购单位追加费用，报价时应综合考虑报价风险。</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六、评标办法</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本次询价采购采取综合评分法（附件4）进行评审，在符合采购单位服务指标和质量要求的前提下，由得分最高方中标，出现分值相同的情况由报价最低一方中标。</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七、其他事项说明</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1.承接主体须在2025年 5月12 日15点前将相关材料纸质版（一式两份）提交至本单位。</w:t>
      </w:r>
      <w:bookmarkStart w:id="3" w:name="_GoBack"/>
      <w:r>
        <w:rPr>
          <w:rFonts w:hint="eastAsia" w:ascii="仿宋_GB2312" w:hAnsi="仿宋_GB2312" w:eastAsia="仿宋_GB2312" w:cs="仿宋_GB2312"/>
          <w:sz w:val="32"/>
          <w:szCs w:val="32"/>
          <w:shd w:val="clear" w:color="auto" w:fill="FFFFFF"/>
          <w:lang w:eastAsia="zh-CN"/>
        </w:rPr>
        <w:t>开标时间和地点另行通知。</w:t>
      </w:r>
      <w:bookmarkEnd w:id="3"/>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2.如有疑问，可于工作日9:00-17:00联系本项目联系人。</w:t>
      </w:r>
    </w:p>
    <w:p>
      <w:pPr>
        <w:pStyle w:val="15"/>
        <w:widowControl/>
        <w:ind w:firstLine="598"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八、承接主体报价资料清单</w:t>
      </w:r>
    </w:p>
    <w:p>
      <w:pPr>
        <w:spacing w:line="480" w:lineRule="exact"/>
        <w:jc w:val="center"/>
        <w:rPr>
          <w:rFonts w:hint="eastAsia" w:ascii="仿宋" w:hAnsi="仿宋" w:eastAsia="仿宋" w:cs="仿宋"/>
          <w:sz w:val="32"/>
          <w:szCs w:val="32"/>
        </w:rPr>
      </w:pPr>
    </w:p>
    <w:tbl>
      <w:tblPr>
        <w:tblStyle w:val="1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5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545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sz w:val="32"/>
                <w:szCs w:val="32"/>
              </w:rPr>
            </w:pPr>
            <w:r>
              <w:rPr>
                <w:rFonts w:hint="eastAsia" w:ascii="仿宋" w:hAnsi="仿宋" w:eastAsia="仿宋" w:cs="仿宋"/>
                <w:b/>
                <w:sz w:val="32"/>
                <w:szCs w:val="32"/>
              </w:rPr>
              <w:t>资料名称</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sz w:val="32"/>
                <w:szCs w:val="32"/>
              </w:rPr>
            </w:pPr>
            <w:r>
              <w:rPr>
                <w:rFonts w:hint="eastAsia" w:ascii="仿宋" w:hAnsi="仿宋" w:eastAsia="仿宋" w:cs="仿宋"/>
                <w:b/>
                <w:sz w:val="32"/>
                <w:szCs w:val="32"/>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5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5458" w:type="dxa"/>
            <w:tcBorders>
              <w:top w:val="single" w:color="auto" w:sz="4" w:space="0"/>
              <w:left w:val="single" w:color="auto" w:sz="4" w:space="0"/>
              <w:bottom w:val="single" w:color="auto" w:sz="4" w:space="0"/>
              <w:right w:val="single" w:color="auto" w:sz="4" w:space="0"/>
            </w:tcBorders>
            <w:vAlign w:val="center"/>
          </w:tcPr>
          <w:p>
            <w:pPr>
              <w:pStyle w:val="3"/>
              <w:spacing w:line="480" w:lineRule="exact"/>
              <w:rPr>
                <w:rFonts w:hint="eastAsia" w:ascii="仿宋" w:hAnsi="仿宋" w:eastAsia="仿宋" w:cs="仿宋"/>
                <w:szCs w:val="32"/>
              </w:rPr>
            </w:pPr>
            <w:r>
              <w:rPr>
                <w:rFonts w:ascii="仿宋" w:hAnsi="仿宋" w:eastAsia="仿宋" w:cs="仿宋"/>
                <w:color w:val="000000"/>
                <w:kern w:val="0"/>
                <w:szCs w:val="32"/>
                <w:lang w:val="zh-CN"/>
              </w:rPr>
              <w:t>目录</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5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54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sz w:val="32"/>
                <w:szCs w:val="32"/>
              </w:rPr>
            </w:pPr>
            <w:r>
              <w:rPr>
                <w:rFonts w:hint="eastAsia" w:ascii="仿宋" w:hAnsi="仿宋" w:eastAsia="仿宋" w:cs="仿宋"/>
                <w:color w:val="000000"/>
                <w:kern w:val="0"/>
                <w:sz w:val="32"/>
                <w:szCs w:val="32"/>
                <w:lang w:val="zh-CN"/>
              </w:rPr>
              <w:t>经年检有效的社会组织登记证书、专业人员资格证书（附件</w:t>
            </w: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zh-CN"/>
              </w:rPr>
              <w:t>）</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5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54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sz w:val="32"/>
                <w:szCs w:val="32"/>
              </w:rPr>
            </w:pPr>
            <w:r>
              <w:rPr>
                <w:rFonts w:hint="eastAsia" w:ascii="仿宋" w:hAnsi="仿宋" w:eastAsia="仿宋" w:cs="仿宋"/>
                <w:kern w:val="0"/>
                <w:sz w:val="32"/>
                <w:szCs w:val="32"/>
                <w:lang w:val="zh-CN"/>
              </w:rPr>
              <w:t>项目实施方案</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5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32"/>
                <w:szCs w:val="32"/>
              </w:rPr>
            </w:pPr>
            <w:r>
              <w:rPr>
                <w:rFonts w:hint="eastAsia" w:ascii="仿宋" w:hAnsi="仿宋" w:eastAsia="仿宋" w:cs="仿宋"/>
                <w:sz w:val="32"/>
                <w:szCs w:val="32"/>
              </w:rPr>
              <w:t>4</w:t>
            </w:r>
          </w:p>
        </w:tc>
        <w:tc>
          <w:tcPr>
            <w:tcW w:w="54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sz w:val="32"/>
                <w:szCs w:val="32"/>
              </w:rPr>
            </w:pPr>
            <w:r>
              <w:rPr>
                <w:rFonts w:hint="eastAsia" w:ascii="仿宋" w:hAnsi="仿宋" w:eastAsia="仿宋" w:cs="仿宋"/>
                <w:kern w:val="0"/>
                <w:sz w:val="32"/>
                <w:szCs w:val="32"/>
                <w:lang w:val="zh-CN"/>
              </w:rPr>
              <w:t>报价书（附件</w:t>
            </w:r>
            <w:r>
              <w:rPr>
                <w:rFonts w:hint="eastAsia" w:ascii="仿宋" w:hAnsi="仿宋" w:eastAsia="仿宋" w:cs="仿宋"/>
                <w:kern w:val="0"/>
                <w:sz w:val="32"/>
                <w:szCs w:val="32"/>
              </w:rPr>
              <w:t>2</w:t>
            </w:r>
            <w:r>
              <w:rPr>
                <w:rFonts w:hint="eastAsia" w:ascii="仿宋" w:hAnsi="仿宋" w:eastAsia="仿宋" w:cs="仿宋"/>
                <w:kern w:val="0"/>
                <w:sz w:val="32"/>
                <w:szCs w:val="32"/>
                <w:lang w:val="zh-CN"/>
              </w:rPr>
              <w:t>）</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5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32"/>
                <w:szCs w:val="32"/>
              </w:rPr>
            </w:pPr>
            <w:r>
              <w:rPr>
                <w:rFonts w:hint="eastAsia" w:ascii="仿宋" w:hAnsi="仿宋" w:eastAsia="仿宋" w:cs="仿宋"/>
                <w:sz w:val="32"/>
                <w:szCs w:val="32"/>
              </w:rPr>
              <w:t>5</w:t>
            </w:r>
          </w:p>
        </w:tc>
        <w:tc>
          <w:tcPr>
            <w:tcW w:w="54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sz w:val="32"/>
                <w:szCs w:val="32"/>
              </w:rPr>
            </w:pPr>
            <w:r>
              <w:rPr>
                <w:rFonts w:hint="eastAsia" w:ascii="仿宋" w:hAnsi="仿宋" w:eastAsia="仿宋" w:cs="仿宋"/>
                <w:sz w:val="32"/>
                <w:szCs w:val="32"/>
              </w:rPr>
              <w:t>其他资料（附件3）</w:t>
            </w:r>
          </w:p>
        </w:tc>
        <w:tc>
          <w:tcPr>
            <w:tcW w:w="2624"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b/>
                <w:sz w:val="32"/>
                <w:szCs w:val="32"/>
              </w:rPr>
            </w:pPr>
          </w:p>
        </w:tc>
      </w:tr>
    </w:tbl>
    <w:p>
      <w:pPr>
        <w:spacing w:line="480" w:lineRule="exact"/>
        <w:jc w:val="center"/>
        <w:rPr>
          <w:rFonts w:hint="eastAsia" w:ascii="仿宋" w:hAnsi="仿宋" w:eastAsia="仿宋" w:cs="仿宋"/>
          <w:sz w:val="32"/>
          <w:szCs w:val="32"/>
        </w:rPr>
      </w:pPr>
    </w:p>
    <w:p>
      <w:pPr>
        <w:autoSpaceDE w:val="0"/>
        <w:autoSpaceDN w:val="0"/>
        <w:adjustRightInd w:val="0"/>
        <w:spacing w:line="480" w:lineRule="exact"/>
        <w:jc w:val="left"/>
        <w:rPr>
          <w:rFonts w:hint="eastAsia" w:ascii="仿宋" w:hAnsi="仿宋" w:eastAsia="仿宋" w:cs="仿宋"/>
          <w:color w:val="000000"/>
          <w:kern w:val="0"/>
          <w:sz w:val="32"/>
          <w:szCs w:val="32"/>
          <w:lang w:val="zh-CN"/>
        </w:rPr>
      </w:pPr>
    </w:p>
    <w:p>
      <w:pPr>
        <w:autoSpaceDE w:val="0"/>
        <w:autoSpaceDN w:val="0"/>
        <w:adjustRightInd w:val="0"/>
        <w:spacing w:line="480" w:lineRule="exact"/>
        <w:jc w:val="left"/>
        <w:rPr>
          <w:rFonts w:hint="eastAsia" w:ascii="仿宋" w:hAnsi="仿宋" w:eastAsia="仿宋" w:cs="仿宋"/>
          <w:color w:val="000000"/>
          <w:kern w:val="0"/>
          <w:sz w:val="32"/>
          <w:szCs w:val="32"/>
          <w:lang w:val="zh-CN"/>
        </w:rPr>
      </w:pPr>
    </w:p>
    <w:p>
      <w:pPr>
        <w:autoSpaceDE w:val="0"/>
        <w:autoSpaceDN w:val="0"/>
        <w:adjustRightInd w:val="0"/>
        <w:spacing w:line="480" w:lineRule="exact"/>
        <w:jc w:val="left"/>
        <w:rPr>
          <w:rFonts w:hint="eastAsia" w:ascii="仿宋" w:hAnsi="仿宋" w:eastAsia="仿宋" w:cs="仿宋"/>
          <w:color w:val="000000"/>
          <w:kern w:val="0"/>
          <w:sz w:val="32"/>
          <w:szCs w:val="32"/>
          <w:lang w:val="zh-CN"/>
        </w:rPr>
        <w:sectPr>
          <w:headerReference r:id="rId3" w:type="default"/>
          <w:footerReference r:id="rId4" w:type="default"/>
          <w:pgSz w:w="11907" w:h="16840"/>
          <w:pgMar w:top="1402" w:right="1030" w:bottom="1402" w:left="1531" w:header="851" w:footer="992" w:gutter="0"/>
          <w:cols w:space="720" w:num="1"/>
          <w:docGrid w:type="linesAndChars" w:linePitch="312" w:charSpace="-4301"/>
        </w:sectPr>
      </w:pPr>
    </w:p>
    <w:p>
      <w:pPr>
        <w:pStyle w:val="15"/>
        <w:widowControl/>
        <w:jc w:val="both"/>
        <w:rPr>
          <w:rFonts w:ascii="仿宋_GB2312" w:eastAsia="仿宋_GB2312"/>
          <w:color w:val="FF0000"/>
          <w:szCs w:val="32"/>
        </w:rPr>
      </w:pPr>
      <w:bookmarkStart w:id="0" w:name="_Toc415496265"/>
      <w:bookmarkStart w:id="1" w:name="_Toc289957929"/>
      <w:r>
        <w:rPr>
          <w:rFonts w:hint="eastAsia" w:ascii="仿宋_GB2312" w:hAnsi="仿宋_GB2312" w:eastAsia="仿宋_GB2312" w:cs="仿宋_GB2312"/>
          <w:sz w:val="32"/>
          <w:szCs w:val="32"/>
          <w:shd w:val="clear" w:color="auto" w:fill="FFFFFF"/>
        </w:rPr>
        <w:t>附件1</w:t>
      </w:r>
      <w:r>
        <w:rPr>
          <w:rFonts w:hint="eastAsia" w:ascii="仿宋_GB2312" w:eastAsia="仿宋_GB2312"/>
          <w:color w:val="FF0000"/>
          <w:szCs w:val="32"/>
        </w:rPr>
        <w:t xml:space="preserve"> </w:t>
      </w:r>
    </w:p>
    <w:p>
      <w:pPr>
        <w:pStyle w:val="4"/>
        <w:spacing w:line="360" w:lineRule="auto"/>
        <w:jc w:val="center"/>
        <w:rPr>
          <w:rFonts w:hint="eastAsia" w:ascii="方正小标宋简体" w:eastAsia="方正小标宋简体"/>
          <w:b/>
          <w:color w:val="auto"/>
          <w:sz w:val="44"/>
          <w:szCs w:val="44"/>
        </w:rPr>
      </w:pPr>
      <w:r>
        <w:rPr>
          <w:rFonts w:hint="eastAsia" w:ascii="方正小标宋简体" w:eastAsia="方正小标宋简体"/>
          <w:color w:val="auto"/>
          <w:sz w:val="44"/>
          <w:szCs w:val="44"/>
        </w:rPr>
        <w:t>社会组织登记证书、专业人员资格证书</w:t>
      </w:r>
    </w:p>
    <w:p>
      <w:pPr>
        <w:spacing w:line="360" w:lineRule="auto"/>
        <w:ind w:left="-108" w:firstLine="600" w:firstLineChars="200"/>
        <w:rPr>
          <w:rFonts w:ascii="仿宋_GB2312" w:eastAsia="仿宋_GB2312"/>
          <w:sz w:val="30"/>
          <w:szCs w:val="30"/>
        </w:rPr>
      </w:pPr>
      <w:r>
        <w:rPr>
          <w:rFonts w:hint="eastAsia" w:ascii="仿宋_GB2312" w:eastAsia="仿宋_GB2312"/>
          <w:sz w:val="30"/>
          <w:szCs w:val="30"/>
        </w:rPr>
        <w:t>（扫描件加盖公章）</w:t>
      </w: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ind w:left="-108" w:firstLine="600" w:firstLineChars="200"/>
        <w:rPr>
          <w:rFonts w:ascii="仿宋_GB2312" w:eastAsia="仿宋_GB2312"/>
          <w:color w:val="FF0000"/>
          <w:sz w:val="30"/>
          <w:szCs w:val="30"/>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bookmarkEnd w:id="0"/>
    <w:bookmarkEnd w:id="1"/>
    <w:p>
      <w:pPr>
        <w:pStyle w:val="15"/>
        <w:widowControl/>
        <w:jc w:val="both"/>
        <w:rPr>
          <w:rFonts w:hint="eastAsia" w:ascii="仿宋_GB2312" w:hAnsi="仿宋_GB2312" w:eastAsia="仿宋_GB2312" w:cs="仿宋_GB2312"/>
          <w:sz w:val="32"/>
          <w:szCs w:val="32"/>
          <w:shd w:val="clear" w:color="auto" w:fill="FFFFFF"/>
        </w:rPr>
      </w:pPr>
      <w:bookmarkStart w:id="2" w:name="_Toc415496268"/>
    </w:p>
    <w:p>
      <w:pPr>
        <w:pStyle w:val="15"/>
        <w:widowControl/>
        <w:jc w:val="both"/>
        <w:rPr>
          <w:rFonts w:ascii="仿宋_GB2312" w:eastAsia="仿宋_GB2312"/>
          <w:color w:val="FF0000"/>
          <w:szCs w:val="32"/>
        </w:rPr>
      </w:pPr>
      <w:r>
        <w:rPr>
          <w:rFonts w:hint="eastAsia" w:ascii="仿宋_GB2312" w:hAnsi="仿宋_GB2312" w:eastAsia="仿宋_GB2312" w:cs="仿宋_GB2312"/>
          <w:sz w:val="32"/>
          <w:szCs w:val="32"/>
          <w:shd w:val="clear" w:color="auto" w:fill="FFFFFF"/>
        </w:rPr>
        <w:t>附件2</w:t>
      </w:r>
      <w:r>
        <w:rPr>
          <w:rFonts w:hint="eastAsia" w:ascii="仿宋_GB2312" w:eastAsia="仿宋_GB2312"/>
          <w:color w:val="FF0000"/>
          <w:szCs w:val="32"/>
        </w:rPr>
        <w:t xml:space="preserve"> </w:t>
      </w:r>
    </w:p>
    <w:p>
      <w:pPr>
        <w:pStyle w:val="4"/>
        <w:spacing w:line="360" w:lineRule="auto"/>
        <w:jc w:val="center"/>
        <w:rPr>
          <w:rFonts w:hint="eastAsia" w:ascii="仿宋_GB2312" w:eastAsia="仿宋_GB2312"/>
          <w:bCs/>
          <w:color w:val="auto"/>
          <w:sz w:val="44"/>
          <w:szCs w:val="44"/>
        </w:rPr>
      </w:pPr>
      <w:r>
        <w:rPr>
          <w:rFonts w:hint="eastAsia" w:ascii="方正小标宋简体" w:eastAsia="方正小标宋简体"/>
          <w:color w:val="auto"/>
          <w:sz w:val="44"/>
          <w:szCs w:val="44"/>
        </w:rPr>
        <w:t>报 价</w:t>
      </w:r>
      <w:bookmarkEnd w:id="2"/>
      <w:r>
        <w:rPr>
          <w:rFonts w:hint="eastAsia" w:ascii="方正小标宋简体" w:eastAsia="方正小标宋简体"/>
          <w:color w:val="auto"/>
          <w:sz w:val="44"/>
          <w:szCs w:val="44"/>
        </w:rPr>
        <w:t xml:space="preserve"> 书</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b/>
                <w:sz w:val="32"/>
                <w:szCs w:val="32"/>
              </w:rPr>
            </w:pPr>
            <w:r>
              <w:rPr>
                <w:rFonts w:hint="eastAsia" w:ascii="宋体" w:hAnsi="宋体"/>
                <w:b/>
                <w:sz w:val="32"/>
                <w:szCs w:val="32"/>
              </w:rPr>
              <w:t>项目名称</w:t>
            </w:r>
          </w:p>
        </w:tc>
        <w:tc>
          <w:tcPr>
            <w:tcW w:w="6667" w:type="dxa"/>
            <w:tcBorders>
              <w:top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b/>
                <w:sz w:val="32"/>
                <w:szCs w:val="32"/>
              </w:rPr>
            </w:pPr>
            <w:r>
              <w:rPr>
                <w:rFonts w:hint="eastAsia" w:ascii="仿宋_GB2312" w:eastAsia="仿宋_GB2312"/>
                <w:bCs/>
                <w:sz w:val="32"/>
                <w:szCs w:val="32"/>
              </w:rPr>
              <w:t>瑶海区民政局婚姻辅导服务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b/>
                <w:sz w:val="32"/>
                <w:szCs w:val="32"/>
              </w:rPr>
            </w:pPr>
            <w:r>
              <w:rPr>
                <w:rFonts w:hint="eastAsia" w:ascii="宋体" w:hAnsi="宋体"/>
                <w:b/>
                <w:sz w:val="32"/>
                <w:szCs w:val="32"/>
              </w:rPr>
              <w:t>承接主体全称</w:t>
            </w:r>
          </w:p>
        </w:tc>
        <w:tc>
          <w:tcPr>
            <w:tcW w:w="6667" w:type="dxa"/>
            <w:tcBorders>
              <w:top w:val="nil"/>
            </w:tcBorders>
            <w:vAlign w:val="center"/>
          </w:tcPr>
          <w:p>
            <w:pPr>
              <w:spacing w:line="360" w:lineRule="auto"/>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b/>
                <w:sz w:val="32"/>
                <w:szCs w:val="32"/>
              </w:rPr>
            </w:pPr>
            <w:r>
              <w:rPr>
                <w:rFonts w:hint="eastAsia" w:ascii="宋体" w:hAnsi="宋体"/>
                <w:b/>
                <w:sz w:val="32"/>
                <w:szCs w:val="32"/>
              </w:rPr>
              <w:t>报价范围</w:t>
            </w:r>
          </w:p>
        </w:tc>
        <w:tc>
          <w:tcPr>
            <w:tcW w:w="6667" w:type="dxa"/>
            <w:tcBorders>
              <w:top w:val="nil"/>
            </w:tcBorders>
            <w:vAlign w:val="center"/>
          </w:tcPr>
          <w:p>
            <w:pPr>
              <w:widowControl/>
              <w:spacing w:line="360" w:lineRule="exact"/>
              <w:jc w:val="center"/>
              <w:rPr>
                <w:rFonts w:hint="eastAsia" w:ascii="宋体" w:hAnsi="宋体"/>
                <w:b/>
                <w:sz w:val="32"/>
                <w:szCs w:val="32"/>
              </w:rPr>
            </w:pPr>
            <w:r>
              <w:rPr>
                <w:rFonts w:hint="eastAsia" w:ascii="仿宋_GB2312" w:eastAsia="仿宋_GB2312"/>
                <w:bCs/>
                <w:sz w:val="32"/>
                <w:szCs w:val="32"/>
              </w:rPr>
              <w:t>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3" w:hRule="atLeast"/>
          <w:jc w:val="center"/>
        </w:trPr>
        <w:tc>
          <w:tcPr>
            <w:tcW w:w="2471" w:type="dxa"/>
            <w:tcBorders>
              <w:top w:val="nil"/>
            </w:tcBorders>
            <w:vAlign w:val="center"/>
          </w:tcPr>
          <w:p>
            <w:pPr>
              <w:spacing w:line="360" w:lineRule="exact"/>
              <w:jc w:val="center"/>
              <w:rPr>
                <w:rFonts w:hint="eastAsia" w:ascii="宋体" w:hAnsi="宋体"/>
                <w:b/>
                <w:sz w:val="32"/>
                <w:szCs w:val="32"/>
              </w:rPr>
            </w:pPr>
            <w:r>
              <w:rPr>
                <w:rFonts w:hint="eastAsia" w:ascii="宋体" w:hAnsi="宋体"/>
                <w:b/>
                <w:sz w:val="32"/>
                <w:szCs w:val="32"/>
              </w:rPr>
              <w:t>报价</w:t>
            </w:r>
          </w:p>
          <w:p>
            <w:pPr>
              <w:spacing w:line="360" w:lineRule="exact"/>
              <w:jc w:val="center"/>
              <w:rPr>
                <w:rFonts w:hint="eastAsia" w:ascii="宋体" w:hAnsi="宋体"/>
                <w:b/>
                <w:sz w:val="32"/>
                <w:szCs w:val="32"/>
              </w:rPr>
            </w:pPr>
            <w:r>
              <w:rPr>
                <w:rFonts w:hint="eastAsia" w:ascii="宋体" w:hAnsi="宋体"/>
                <w:color w:val="333333"/>
                <w:sz w:val="32"/>
                <w:szCs w:val="32"/>
              </w:rPr>
              <w:t>（详见备注说明）</w:t>
            </w:r>
          </w:p>
        </w:tc>
        <w:tc>
          <w:tcPr>
            <w:tcW w:w="6667" w:type="dxa"/>
            <w:tcBorders>
              <w:top w:val="nil"/>
            </w:tcBorders>
            <w:vAlign w:val="center"/>
          </w:tcPr>
          <w:p>
            <w:pPr>
              <w:widowControl/>
              <w:spacing w:line="360" w:lineRule="exact"/>
              <w:rPr>
                <w:rFonts w:ascii="仿宋_GB2312" w:eastAsia="仿宋_GB2312"/>
                <w:bCs/>
                <w:sz w:val="32"/>
                <w:szCs w:val="32"/>
              </w:rPr>
            </w:pPr>
            <w:r>
              <w:rPr>
                <w:rFonts w:hint="eastAsia" w:ascii="仿宋_GB2312" w:eastAsia="仿宋_GB2312"/>
                <w:bCs/>
                <w:sz w:val="32"/>
                <w:szCs w:val="32"/>
              </w:rPr>
              <w:t>大写：</w:t>
            </w:r>
            <w:r>
              <w:rPr>
                <w:rFonts w:hint="eastAsia" w:ascii="仿宋_GB2312" w:eastAsia="仿宋_GB2312"/>
                <w:bCs/>
                <w:sz w:val="32"/>
                <w:szCs w:val="32"/>
                <w:u w:val="single"/>
              </w:rPr>
              <w:t xml:space="preserve">                 </w:t>
            </w:r>
            <w:r>
              <w:rPr>
                <w:rFonts w:hint="eastAsia" w:ascii="仿宋_GB2312" w:eastAsia="仿宋_GB2312"/>
                <w:bCs/>
                <w:sz w:val="32"/>
                <w:szCs w:val="32"/>
              </w:rPr>
              <w:t>元</w:t>
            </w:r>
          </w:p>
          <w:p>
            <w:pPr>
              <w:widowControl/>
              <w:spacing w:line="360" w:lineRule="exact"/>
              <w:rPr>
                <w:rFonts w:ascii="仿宋_GB2312" w:eastAsia="仿宋_GB2312"/>
                <w:bCs/>
                <w:sz w:val="32"/>
                <w:szCs w:val="32"/>
              </w:rPr>
            </w:pPr>
          </w:p>
          <w:p>
            <w:pPr>
              <w:widowControl/>
              <w:spacing w:line="360" w:lineRule="exact"/>
              <w:rPr>
                <w:rFonts w:ascii="仿宋_GB2312" w:eastAsia="仿宋_GB2312"/>
                <w:bCs/>
                <w:sz w:val="32"/>
                <w:szCs w:val="32"/>
              </w:rPr>
            </w:pPr>
            <w:r>
              <w:rPr>
                <w:rFonts w:hint="eastAsia" w:ascii="仿宋_GB2312" w:eastAsia="仿宋_GB2312"/>
                <w:bCs/>
                <w:sz w:val="32"/>
                <w:szCs w:val="32"/>
              </w:rPr>
              <w:t>小写：</w:t>
            </w:r>
            <w:r>
              <w:rPr>
                <w:rFonts w:hint="eastAsia" w:ascii="仿宋_GB2312" w:eastAsia="仿宋_GB2312"/>
                <w:bCs/>
                <w:sz w:val="32"/>
                <w:szCs w:val="32"/>
                <w:u w:val="single"/>
              </w:rPr>
              <w:t xml:space="preserve">                 </w:t>
            </w:r>
            <w:r>
              <w:rPr>
                <w:rFonts w:hint="eastAsia" w:ascii="仿宋_GB2312" w:eastAsia="仿宋_GB2312"/>
                <w:bCs/>
                <w:sz w:val="32"/>
                <w:szCs w:val="32"/>
              </w:rPr>
              <w:t>元</w:t>
            </w:r>
          </w:p>
          <w:p>
            <w:pPr>
              <w:pStyle w:val="40"/>
              <w:ind w:firstLine="640"/>
              <w:rPr>
                <w:rFonts w:hint="eastAsia" w:ascii="宋体" w:hAnsi="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jc w:val="center"/>
        </w:trPr>
        <w:tc>
          <w:tcPr>
            <w:tcW w:w="2471" w:type="dxa"/>
            <w:tcBorders>
              <w:top w:val="nil"/>
              <w:bottom w:val="single" w:color="auto" w:sz="4" w:space="0"/>
            </w:tcBorders>
            <w:vAlign w:val="center"/>
          </w:tcPr>
          <w:p>
            <w:pPr>
              <w:spacing w:line="360" w:lineRule="auto"/>
              <w:jc w:val="center"/>
              <w:rPr>
                <w:rFonts w:hint="eastAsia" w:ascii="宋体" w:hAnsi="宋体"/>
                <w:b/>
                <w:sz w:val="32"/>
                <w:szCs w:val="32"/>
              </w:rPr>
            </w:pPr>
            <w:r>
              <w:rPr>
                <w:rFonts w:hint="eastAsia" w:ascii="宋体" w:hAnsi="宋体"/>
                <w:b/>
                <w:sz w:val="32"/>
                <w:szCs w:val="32"/>
              </w:rPr>
              <w:t>备注</w:t>
            </w:r>
          </w:p>
        </w:tc>
        <w:tc>
          <w:tcPr>
            <w:tcW w:w="6667" w:type="dxa"/>
            <w:tcBorders>
              <w:top w:val="nil"/>
              <w:bottom w:val="single" w:color="auto" w:sz="4" w:space="0"/>
            </w:tcBorders>
            <w:vAlign w:val="center"/>
          </w:tcPr>
          <w:p>
            <w:pPr>
              <w:pStyle w:val="15"/>
              <w:widowControl/>
              <w:spacing w:line="23" w:lineRule="atLeast"/>
              <w:jc w:val="both"/>
            </w:pPr>
            <w:r>
              <w:rPr>
                <w:rFonts w:hint="eastAsia" w:ascii="微软雅黑" w:hAnsi="微软雅黑" w:eastAsia="微软雅黑" w:cs="微软雅黑"/>
                <w:color w:val="333333"/>
                <w:sz w:val="21"/>
                <w:szCs w:val="21"/>
              </w:rPr>
              <w:t>一、</w:t>
            </w:r>
          </w:p>
          <w:p>
            <w:pPr>
              <w:pStyle w:val="15"/>
              <w:widowControl/>
              <w:spacing w:line="23" w:lineRule="atLeast"/>
              <w:jc w:val="both"/>
            </w:pPr>
            <w:r>
              <w:rPr>
                <w:rFonts w:hint="eastAsia" w:ascii="微软雅黑" w:hAnsi="微软雅黑" w:eastAsia="微软雅黑" w:cs="微软雅黑"/>
                <w:color w:val="333333"/>
                <w:sz w:val="21"/>
                <w:szCs w:val="21"/>
              </w:rPr>
              <w:t>二、</w:t>
            </w:r>
          </w:p>
          <w:p>
            <w:pPr>
              <w:widowControl/>
              <w:spacing w:line="360" w:lineRule="exact"/>
              <w:rPr>
                <w:rFonts w:hint="eastAsia" w:ascii="宋体" w:hAnsi="宋体"/>
                <w:sz w:val="32"/>
                <w:szCs w:val="32"/>
              </w:rPr>
            </w:pPr>
          </w:p>
        </w:tc>
      </w:tr>
    </w:tbl>
    <w:p>
      <w:pPr>
        <w:snapToGrid w:val="0"/>
        <w:spacing w:line="360" w:lineRule="auto"/>
        <w:rPr>
          <w:rFonts w:hint="eastAsia" w:ascii="宋体" w:hAnsi="宋体"/>
          <w:sz w:val="30"/>
          <w:szCs w:val="30"/>
        </w:rPr>
      </w:pPr>
      <w:r>
        <w:rPr>
          <w:rFonts w:hint="eastAsia" w:ascii="仿宋_GB2312" w:hAnsi="微软雅黑" w:eastAsia="仿宋_GB2312"/>
          <w:sz w:val="32"/>
          <w:szCs w:val="32"/>
        </w:rPr>
        <w:t>承接主体（公章）</w:t>
      </w:r>
      <w:r>
        <w:rPr>
          <w:rFonts w:hint="eastAsia" w:ascii="宋体" w:hAnsi="宋体"/>
          <w:sz w:val="30"/>
          <w:szCs w:val="30"/>
        </w:rPr>
        <w:t xml:space="preserve">：                       </w:t>
      </w:r>
    </w:p>
    <w:p>
      <w:pPr>
        <w:snapToGrid w:val="0"/>
        <w:spacing w:line="360" w:lineRule="auto"/>
        <w:ind w:left="5550"/>
        <w:jc w:val="center"/>
        <w:rPr>
          <w:rFonts w:hint="eastAsia" w:ascii="宋体" w:hAnsi="宋体"/>
          <w:sz w:val="30"/>
          <w:szCs w:val="30"/>
        </w:rPr>
      </w:pPr>
    </w:p>
    <w:p>
      <w:pPr>
        <w:snapToGrid w:val="0"/>
        <w:spacing w:line="360" w:lineRule="auto"/>
        <w:ind w:left="5550"/>
        <w:jc w:val="center"/>
        <w:rPr>
          <w:rFonts w:hint="eastAsia" w:ascii="宋体" w:hAnsi="宋体"/>
          <w:sz w:val="30"/>
          <w:szCs w:val="30"/>
        </w:rPr>
      </w:pPr>
    </w:p>
    <w:p>
      <w:pPr>
        <w:snapToGrid w:val="0"/>
        <w:spacing w:line="360" w:lineRule="auto"/>
        <w:ind w:firstLine="4800" w:firstLineChars="1600"/>
        <w:rPr>
          <w:rFonts w:hint="eastAsia" w:ascii="仿宋" w:hAnsi="仿宋" w:eastAsia="仿宋"/>
          <w:sz w:val="30"/>
          <w:szCs w:val="30"/>
        </w:rPr>
      </w:pPr>
      <w:r>
        <w:rPr>
          <w:rFonts w:hint="eastAsia" w:ascii="仿宋" w:hAnsi="仿宋" w:eastAsia="仿宋"/>
          <w:sz w:val="30"/>
          <w:szCs w:val="30"/>
        </w:rPr>
        <w:t xml:space="preserve"> 年       月      日</w:t>
      </w:r>
    </w:p>
    <w:p>
      <w:pPr>
        <w:pStyle w:val="15"/>
        <w:widowControl/>
        <w:jc w:val="both"/>
        <w:rPr>
          <w:rFonts w:hint="eastAsia" w:ascii="仿宋_GB2312" w:hAnsi="仿宋_GB2312" w:eastAsia="仿宋_GB2312" w:cs="仿宋_GB2312"/>
          <w:sz w:val="32"/>
          <w:szCs w:val="32"/>
          <w:shd w:val="clear" w:color="auto" w:fill="FFFFFF"/>
        </w:rPr>
      </w:pPr>
    </w:p>
    <w:p>
      <w:pPr>
        <w:pStyle w:val="15"/>
        <w:widowControl/>
        <w:jc w:val="both"/>
        <w:rPr>
          <w:rFonts w:hint="eastAsia" w:ascii="仿宋_GB2312" w:hAnsi="仿宋_GB2312" w:eastAsia="仿宋_GB2312" w:cs="仿宋_GB2312"/>
          <w:sz w:val="32"/>
          <w:szCs w:val="32"/>
          <w:shd w:val="clear" w:color="auto" w:fill="FFFFFF"/>
        </w:rPr>
      </w:pPr>
    </w:p>
    <w:p>
      <w:pPr>
        <w:pStyle w:val="15"/>
        <w:widowControl/>
        <w:jc w:val="both"/>
        <w:rPr>
          <w:rFonts w:hint="eastAsia" w:ascii="仿宋_GB2312" w:hAnsi="仿宋_GB2312" w:eastAsia="仿宋_GB2312" w:cs="仿宋_GB2312"/>
          <w:sz w:val="32"/>
          <w:szCs w:val="32"/>
          <w:shd w:val="clear" w:color="auto" w:fill="FFFFFF"/>
        </w:rPr>
      </w:pPr>
    </w:p>
    <w:p>
      <w:pPr>
        <w:pStyle w:val="15"/>
        <w:widowControl/>
        <w:jc w:val="both"/>
        <w:rPr>
          <w:rFonts w:ascii="仿宋_GB2312" w:eastAsia="仿宋_GB2312"/>
          <w:color w:val="FF0000"/>
          <w:szCs w:val="32"/>
        </w:rPr>
      </w:pPr>
      <w:r>
        <w:rPr>
          <w:rFonts w:hint="eastAsia" w:ascii="仿宋_GB2312" w:hAnsi="仿宋_GB2312" w:eastAsia="仿宋_GB2312" w:cs="仿宋_GB2312"/>
          <w:sz w:val="32"/>
          <w:szCs w:val="32"/>
          <w:shd w:val="clear" w:color="auto" w:fill="FFFFFF"/>
        </w:rPr>
        <w:t>附件3</w:t>
      </w:r>
      <w:r>
        <w:rPr>
          <w:rFonts w:hint="eastAsia" w:ascii="仿宋_GB2312" w:eastAsia="仿宋_GB2312"/>
          <w:color w:val="FF0000"/>
          <w:szCs w:val="32"/>
        </w:rPr>
        <w:t xml:space="preserve"> </w:t>
      </w:r>
    </w:p>
    <w:p>
      <w:pPr>
        <w:pStyle w:val="4"/>
        <w:spacing w:line="360" w:lineRule="auto"/>
        <w:jc w:val="center"/>
        <w:rPr>
          <w:rFonts w:hint="eastAsia" w:ascii="方正小标宋简体" w:eastAsia="方正小标宋简体"/>
          <w:b/>
          <w:color w:val="auto"/>
          <w:sz w:val="44"/>
          <w:szCs w:val="44"/>
        </w:rPr>
      </w:pPr>
      <w:r>
        <w:rPr>
          <w:rFonts w:hint="eastAsia" w:ascii="方正小标宋简体" w:eastAsia="方正小标宋简体"/>
          <w:color w:val="auto"/>
          <w:sz w:val="44"/>
          <w:szCs w:val="44"/>
        </w:rPr>
        <w:t>其他资料</w:t>
      </w:r>
    </w:p>
    <w:p>
      <w:pPr>
        <w:ind w:firstLine="600" w:firstLineChars="200"/>
        <w:rPr>
          <w:rFonts w:hint="eastAsia" w:ascii="仿宋" w:hAnsi="仿宋" w:eastAsia="仿宋"/>
          <w:sz w:val="30"/>
          <w:szCs w:val="30"/>
        </w:rPr>
      </w:pPr>
      <w:r>
        <w:rPr>
          <w:rFonts w:hint="eastAsia" w:ascii="仿宋" w:hAnsi="仿宋" w:eastAsia="仿宋"/>
          <w:sz w:val="30"/>
          <w:szCs w:val="30"/>
        </w:rPr>
        <w:t>采购单位要求的和承接主体认为需要提供的其它有效资料 ，如本地化服务证明资料、承接项目业绩资料等。</w:t>
      </w:r>
    </w:p>
    <w:p/>
    <w:p/>
    <w:p/>
    <w:p/>
    <w:p/>
    <w:p/>
    <w:p/>
    <w:p/>
    <w:p/>
    <w:p/>
    <w:p/>
    <w:p/>
    <w:p/>
    <w:p/>
    <w:p/>
    <w:p/>
    <w:p/>
    <w:p/>
    <w:p/>
    <w:p/>
    <w:p/>
    <w:p/>
    <w:p/>
    <w:p/>
    <w:p/>
    <w:p/>
    <w:p/>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15"/>
        <w:widowControl/>
        <w:spacing w:line="480" w:lineRule="exact"/>
        <w:rPr>
          <w:rFonts w:hint="eastAsia" w:ascii="仿宋" w:hAnsi="仿宋" w:eastAsia="仿宋" w:cs="仿宋"/>
          <w:bCs/>
          <w:kern w:val="2"/>
          <w:sz w:val="32"/>
          <w:szCs w:val="32"/>
        </w:rPr>
      </w:pPr>
    </w:p>
    <w:p>
      <w:pPr>
        <w:pStyle w:val="15"/>
        <w:widowControl/>
        <w:spacing w:line="480" w:lineRule="exact"/>
        <w:rPr>
          <w:rFonts w:hint="eastAsia" w:ascii="仿宋" w:hAnsi="仿宋" w:eastAsia="仿宋" w:cs="仿宋"/>
          <w:bCs/>
          <w:kern w:val="2"/>
          <w:sz w:val="32"/>
          <w:szCs w:val="32"/>
        </w:rPr>
      </w:pPr>
    </w:p>
    <w:p>
      <w:pPr>
        <w:pStyle w:val="15"/>
        <w:widowControl/>
        <w:spacing w:line="480" w:lineRule="exact"/>
        <w:rPr>
          <w:rFonts w:hint="eastAsia" w:ascii="仿宋" w:hAnsi="仿宋" w:eastAsia="仿宋" w:cs="仿宋"/>
          <w:bCs/>
          <w:kern w:val="2"/>
          <w:sz w:val="32"/>
          <w:szCs w:val="32"/>
        </w:rPr>
      </w:pPr>
    </w:p>
    <w:p>
      <w:pPr>
        <w:pStyle w:val="15"/>
        <w:widowControl/>
        <w:spacing w:line="480" w:lineRule="exact"/>
        <w:rPr>
          <w:rFonts w:hint="eastAsia" w:ascii="仿宋" w:hAnsi="仿宋" w:eastAsia="仿宋" w:cs="仿宋"/>
          <w:bCs/>
          <w:kern w:val="2"/>
          <w:sz w:val="32"/>
          <w:szCs w:val="32"/>
        </w:rPr>
      </w:pPr>
      <w:r>
        <w:rPr>
          <w:rFonts w:hint="eastAsia" w:ascii="仿宋" w:hAnsi="仿宋" w:eastAsia="仿宋" w:cs="仿宋"/>
          <w:bCs/>
          <w:kern w:val="2"/>
          <w:sz w:val="32"/>
          <w:szCs w:val="32"/>
        </w:rPr>
        <w:t>附件4</w:t>
      </w:r>
    </w:p>
    <w:p>
      <w:pPr>
        <w:pStyle w:val="15"/>
        <w:widowControl/>
        <w:spacing w:line="900" w:lineRule="exact"/>
        <w:jc w:val="center"/>
        <w:rPr>
          <w:rFonts w:hint="eastAsia" w:ascii="仿宋" w:hAnsi="仿宋" w:eastAsia="仿宋" w:cs="仿宋"/>
          <w:bCs/>
          <w:kern w:val="2"/>
          <w:sz w:val="44"/>
          <w:szCs w:val="44"/>
        </w:rPr>
      </w:pPr>
      <w:r>
        <w:rPr>
          <w:rFonts w:hint="eastAsia" w:ascii="方正小标宋简体" w:hAnsi="方正小标宋简体" w:eastAsia="方正小标宋简体" w:cs="方正小标宋简体"/>
          <w:bCs/>
          <w:kern w:val="2"/>
          <w:sz w:val="44"/>
          <w:szCs w:val="44"/>
        </w:rPr>
        <w:t>综合评分办法</w:t>
      </w:r>
    </w:p>
    <w:p>
      <w:pPr>
        <w:pStyle w:val="15"/>
        <w:widowControl/>
        <w:spacing w:line="740" w:lineRule="exact"/>
        <w:ind w:firstLine="640" w:firstLineChars="200"/>
        <w:rPr>
          <w:rFonts w:hint="eastAsia" w:ascii="仿宋" w:hAnsi="仿宋" w:eastAsia="仿宋" w:cs="仿宋"/>
          <w:bCs/>
          <w:kern w:val="2"/>
          <w:sz w:val="32"/>
          <w:szCs w:val="32"/>
        </w:rPr>
      </w:pPr>
      <w:r>
        <w:rPr>
          <w:rFonts w:hint="eastAsia" w:ascii="仿宋" w:hAnsi="仿宋" w:eastAsia="仿宋" w:cs="仿宋"/>
          <w:bCs/>
          <w:kern w:val="2"/>
          <w:sz w:val="32"/>
          <w:szCs w:val="32"/>
        </w:rPr>
        <w:t>采用百分制评分法，其中服务项目实施方案得分占45%，服务机构业绩得分占10%，服务机构资信得分占20%，服务机构人员配备得分占15%，最终投标报价得分占10%。参与议标评委根据评分细则对投标人进行打分，填入表格，投标人的最终得分以全部评委打分的算术平均值为准，按最终得分由高至低排出投标人的名次，出现最终得分并列时，按投标报价由低至高排列</w:t>
      </w:r>
      <w:r>
        <w:rPr>
          <w:rFonts w:hint="eastAsia" w:ascii="仿宋" w:hAnsi="仿宋" w:eastAsia="仿宋" w:cs="仿宋"/>
          <w:bCs/>
          <w:color w:val="000000"/>
          <w:kern w:val="2"/>
          <w:sz w:val="32"/>
          <w:szCs w:val="32"/>
        </w:rPr>
        <w:t>，得分且投标报价相同的，按方案得分由高至低排列。计分过程精确到小数点后三位，综合得分精确到小数点后两位，两位以后四舍五入。</w:t>
      </w:r>
    </w:p>
    <w:p>
      <w:pPr>
        <w:spacing w:line="900" w:lineRule="exact"/>
        <w:jc w:val="center"/>
        <w:rPr>
          <w:b/>
          <w:sz w:val="28"/>
          <w:szCs w:val="28"/>
        </w:rPr>
      </w:pPr>
    </w:p>
    <w:p>
      <w:pPr>
        <w:jc w:val="center"/>
        <w:rPr>
          <w:b/>
          <w:sz w:val="28"/>
          <w:szCs w:val="28"/>
        </w:rPr>
      </w:pPr>
    </w:p>
    <w:p>
      <w:pPr>
        <w:jc w:val="center"/>
        <w:rPr>
          <w:b/>
          <w:sz w:val="28"/>
          <w:szCs w:val="28"/>
        </w:rPr>
      </w:pPr>
    </w:p>
    <w:p>
      <w:pPr>
        <w:rPr>
          <w:b/>
          <w:sz w:val="28"/>
          <w:szCs w:val="28"/>
        </w:rPr>
      </w:pPr>
    </w:p>
    <w:p>
      <w:pPr>
        <w:rPr>
          <w:b/>
          <w:sz w:val="28"/>
          <w:szCs w:val="28"/>
        </w:rPr>
      </w:pPr>
    </w:p>
    <w:p>
      <w:pPr>
        <w:jc w:val="center"/>
        <w:rPr>
          <w:rFonts w:hint="eastAsia"/>
          <w:b/>
          <w:sz w:val="44"/>
          <w:szCs w:val="44"/>
        </w:rPr>
      </w:pPr>
    </w:p>
    <w:p>
      <w:pPr>
        <w:jc w:val="center"/>
        <w:rPr>
          <w:b/>
          <w:sz w:val="44"/>
          <w:szCs w:val="44"/>
        </w:rPr>
      </w:pPr>
      <w:r>
        <w:rPr>
          <w:rFonts w:hint="eastAsia"/>
          <w:b/>
          <w:sz w:val="44"/>
          <w:szCs w:val="44"/>
        </w:rPr>
        <w:t>议标评分细则</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812"/>
        <w:gridCol w:w="574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6" w:type="pct"/>
            <w:vAlign w:val="center"/>
          </w:tcPr>
          <w:p>
            <w:pPr>
              <w:adjustRightInd w:val="0"/>
              <w:snapToGrid w:val="0"/>
              <w:spacing w:line="0" w:lineRule="atLeast"/>
              <w:jc w:val="center"/>
              <w:rPr>
                <w:rFonts w:hint="eastAsia" w:ascii="宋体" w:hAnsi="宋体"/>
                <w:b/>
                <w:sz w:val="24"/>
              </w:rPr>
            </w:pPr>
            <w:r>
              <w:rPr>
                <w:rFonts w:hint="eastAsia" w:ascii="宋体" w:hAnsi="宋体"/>
                <w:b/>
                <w:sz w:val="24"/>
              </w:rPr>
              <w:t>类别</w:t>
            </w:r>
          </w:p>
        </w:tc>
        <w:tc>
          <w:tcPr>
            <w:tcW w:w="476" w:type="pct"/>
            <w:vAlign w:val="center"/>
          </w:tcPr>
          <w:p>
            <w:pPr>
              <w:adjustRightInd w:val="0"/>
              <w:snapToGrid w:val="0"/>
              <w:spacing w:line="0" w:lineRule="atLeast"/>
              <w:jc w:val="center"/>
              <w:rPr>
                <w:rFonts w:hint="eastAsia" w:ascii="宋体" w:hAnsi="宋体"/>
                <w:b/>
                <w:sz w:val="24"/>
              </w:rPr>
            </w:pPr>
            <w:r>
              <w:rPr>
                <w:rFonts w:hint="eastAsia" w:ascii="宋体" w:hAnsi="宋体"/>
                <w:b/>
                <w:sz w:val="24"/>
              </w:rPr>
              <w:t>指标</w:t>
            </w:r>
          </w:p>
        </w:tc>
        <w:tc>
          <w:tcPr>
            <w:tcW w:w="3372" w:type="pct"/>
            <w:vAlign w:val="center"/>
          </w:tcPr>
          <w:p>
            <w:pPr>
              <w:adjustRightInd w:val="0"/>
              <w:snapToGrid w:val="0"/>
              <w:spacing w:line="0" w:lineRule="atLeast"/>
              <w:jc w:val="center"/>
              <w:rPr>
                <w:rFonts w:hint="eastAsia" w:ascii="宋体" w:hAnsi="宋体"/>
                <w:b/>
                <w:sz w:val="24"/>
              </w:rPr>
            </w:pPr>
            <w:r>
              <w:rPr>
                <w:rFonts w:hint="eastAsia" w:ascii="宋体" w:hAnsi="宋体"/>
                <w:b/>
                <w:sz w:val="24"/>
              </w:rPr>
              <w:t>指标描述</w:t>
            </w:r>
          </w:p>
        </w:tc>
        <w:tc>
          <w:tcPr>
            <w:tcW w:w="584" w:type="pct"/>
            <w:vAlign w:val="center"/>
          </w:tcPr>
          <w:p>
            <w:pPr>
              <w:adjustRightInd w:val="0"/>
              <w:snapToGrid w:val="0"/>
              <w:spacing w:line="0" w:lineRule="atLeast"/>
              <w:jc w:val="center"/>
              <w:rPr>
                <w:rFonts w:hint="eastAsia" w:ascii="宋体" w:hAnsi="宋体"/>
                <w:b/>
                <w:sz w:val="24"/>
              </w:rPr>
            </w:pPr>
            <w:r>
              <w:rPr>
                <w:rFonts w:hint="eastAsia" w:ascii="宋体" w:hAnsi="宋体"/>
                <w:b/>
                <w:sz w:val="24"/>
              </w:rPr>
              <w:t>分值</w:t>
            </w:r>
          </w:p>
          <w:p>
            <w:pPr>
              <w:adjustRightInd w:val="0"/>
              <w:snapToGrid w:val="0"/>
              <w:spacing w:line="0" w:lineRule="atLeast"/>
              <w:jc w:val="center"/>
              <w:rPr>
                <w:rFonts w:hint="eastAsia" w:ascii="宋体" w:hAnsi="宋体"/>
                <w:b/>
                <w:sz w:val="24"/>
              </w:rPr>
            </w:pPr>
            <w:r>
              <w:rPr>
                <w:rFonts w:hint="eastAsia" w:ascii="宋体" w:hAnsi="宋体"/>
                <w:b/>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1" w:hRule="atLeast"/>
          <w:jc w:val="center"/>
        </w:trPr>
        <w:tc>
          <w:tcPr>
            <w:tcW w:w="566" w:type="pct"/>
            <w:vMerge w:val="restart"/>
            <w:vAlign w:val="center"/>
          </w:tcPr>
          <w:p>
            <w:pPr>
              <w:spacing w:line="280" w:lineRule="exact"/>
              <w:jc w:val="center"/>
              <w:rPr>
                <w:rFonts w:hint="eastAsia" w:ascii="宋体" w:hAnsi="宋体"/>
                <w:szCs w:val="21"/>
              </w:rPr>
            </w:pPr>
            <w:r>
              <w:rPr>
                <w:rFonts w:hint="eastAsia" w:ascii="宋体" w:hAnsi="宋体"/>
                <w:szCs w:val="21"/>
              </w:rPr>
              <w:t>总体得分</w:t>
            </w:r>
          </w:p>
          <w:p>
            <w:pPr>
              <w:spacing w:line="280" w:lineRule="exact"/>
              <w:jc w:val="center"/>
              <w:rPr>
                <w:rFonts w:hint="eastAsia" w:ascii="宋体" w:hAnsi="宋体"/>
                <w:szCs w:val="21"/>
              </w:rPr>
            </w:pPr>
            <w:r>
              <w:rPr>
                <w:rFonts w:hint="eastAsia" w:ascii="宋体" w:hAnsi="宋体"/>
                <w:szCs w:val="21"/>
              </w:rPr>
              <w:t>（90分）</w:t>
            </w:r>
          </w:p>
        </w:tc>
        <w:tc>
          <w:tcPr>
            <w:tcW w:w="476" w:type="pct"/>
            <w:vAlign w:val="center"/>
          </w:tcPr>
          <w:p>
            <w:pPr>
              <w:spacing w:line="280" w:lineRule="exact"/>
              <w:jc w:val="center"/>
              <w:rPr>
                <w:rFonts w:hint="eastAsia" w:ascii="宋体" w:hAnsi="宋体"/>
                <w:szCs w:val="21"/>
              </w:rPr>
            </w:pPr>
            <w:r>
              <w:rPr>
                <w:rFonts w:hint="eastAsia" w:ascii="宋体" w:hAnsi="宋体"/>
                <w:szCs w:val="21"/>
              </w:rPr>
              <w:t>项目实施方案</w:t>
            </w:r>
          </w:p>
        </w:tc>
        <w:tc>
          <w:tcPr>
            <w:tcW w:w="3372" w:type="pct"/>
            <w:vAlign w:val="center"/>
          </w:tcPr>
          <w:p>
            <w:pPr>
              <w:numPr>
                <w:ilvl w:val="0"/>
                <w:numId w:val="1"/>
              </w:numPr>
              <w:rPr>
                <w:rFonts w:hint="eastAsia" w:ascii="宋体" w:hAnsi="宋体"/>
                <w:b/>
                <w:szCs w:val="21"/>
              </w:rPr>
            </w:pPr>
            <w:r>
              <w:rPr>
                <w:rFonts w:hint="eastAsia" w:ascii="宋体" w:hAnsi="宋体"/>
                <w:b/>
                <w:szCs w:val="21"/>
              </w:rPr>
              <w:t>总体服务方案</w:t>
            </w:r>
            <w:r>
              <w:rPr>
                <w:rFonts w:hint="eastAsia" w:ascii="宋体" w:hAnsi="宋体"/>
                <w:szCs w:val="21"/>
              </w:rPr>
              <w:t>：投标人依据项目需求中的相关要求，制订总体服务方案，根据方案内容是否符合婚姻登记相关法律法规、健全和易于执行进行综合评分</w:t>
            </w:r>
          </w:p>
          <w:p>
            <w:pPr>
              <w:numPr>
                <w:ilvl w:val="0"/>
                <w:numId w:val="1"/>
              </w:numPr>
              <w:rPr>
                <w:rFonts w:hint="eastAsia" w:ascii="宋体" w:hAnsi="宋体"/>
                <w:szCs w:val="21"/>
              </w:rPr>
            </w:pPr>
            <w:r>
              <w:rPr>
                <w:rFonts w:hint="eastAsia" w:ascii="宋体" w:hAnsi="宋体"/>
                <w:b/>
                <w:szCs w:val="21"/>
              </w:rPr>
              <w:t>婚姻指导方案</w:t>
            </w:r>
            <w:r>
              <w:rPr>
                <w:rFonts w:hint="eastAsia" w:ascii="宋体" w:hAnsi="宋体"/>
                <w:szCs w:val="21"/>
              </w:rPr>
              <w:t>：根据招标文件采购需求针对婚前辅导及离婚劝导、婚姻家庭咨询，制定标准化的服务规范、服务流程、质量监督管理和回访制度等，根据上述内容进行综合评分</w:t>
            </w:r>
          </w:p>
          <w:p>
            <w:pPr>
              <w:rPr>
                <w:rFonts w:hint="eastAsia" w:ascii="宋体" w:hAnsi="宋体"/>
                <w:szCs w:val="21"/>
              </w:rPr>
            </w:pPr>
            <w:r>
              <w:rPr>
                <w:rFonts w:hint="eastAsia" w:ascii="宋体" w:hAnsi="宋体"/>
                <w:szCs w:val="21"/>
              </w:rPr>
              <w:t xml:space="preserve"> 3</w:t>
            </w:r>
            <w:r>
              <w:rPr>
                <w:rFonts w:hint="eastAsia" w:ascii="宋体" w:hAnsi="宋体"/>
                <w:b/>
                <w:szCs w:val="21"/>
              </w:rPr>
              <w:t>宣传培训方案</w:t>
            </w:r>
            <w:r>
              <w:rPr>
                <w:rFonts w:hint="eastAsia" w:ascii="宋体" w:hAnsi="宋体"/>
                <w:szCs w:val="21"/>
              </w:rPr>
              <w:t>：根据招标文件采购需求针对培训及讲座、宣传活动、网络辅导等制定实施方案，根据方案内容进行综合评分，优秀得31-45分,良好得16-30分，一般得0-15分。</w:t>
            </w:r>
          </w:p>
        </w:tc>
        <w:tc>
          <w:tcPr>
            <w:tcW w:w="584" w:type="pct"/>
            <w:vAlign w:val="center"/>
          </w:tcPr>
          <w:p>
            <w:pPr>
              <w:jc w:val="center"/>
              <w:rPr>
                <w:rFonts w:hint="eastAsia" w:ascii="宋体" w:hAnsi="宋体"/>
                <w:spacing w:val="-6"/>
                <w:szCs w:val="21"/>
              </w:rPr>
            </w:pPr>
            <w:r>
              <w:rPr>
                <w:rFonts w:hint="eastAsia" w:ascii="宋体" w:hAnsi="宋体"/>
                <w:szCs w:val="21"/>
              </w:rPr>
              <w:t>0-45分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66" w:type="pct"/>
            <w:vMerge w:val="continue"/>
            <w:vAlign w:val="center"/>
          </w:tcPr>
          <w:p>
            <w:pPr>
              <w:spacing w:line="280" w:lineRule="exact"/>
              <w:jc w:val="center"/>
              <w:rPr>
                <w:rFonts w:hint="eastAsia" w:ascii="宋体" w:hAnsi="宋体"/>
                <w:szCs w:val="21"/>
              </w:rPr>
            </w:pPr>
          </w:p>
        </w:tc>
        <w:tc>
          <w:tcPr>
            <w:tcW w:w="476" w:type="pct"/>
            <w:vAlign w:val="center"/>
          </w:tcPr>
          <w:p>
            <w:pPr>
              <w:spacing w:line="280" w:lineRule="exact"/>
              <w:jc w:val="center"/>
              <w:rPr>
                <w:rFonts w:hint="eastAsia" w:ascii="宋体" w:hAnsi="宋体"/>
                <w:szCs w:val="21"/>
              </w:rPr>
            </w:pPr>
            <w:r>
              <w:rPr>
                <w:rFonts w:hint="eastAsia" w:ascii="宋体" w:hAnsi="宋体"/>
                <w:szCs w:val="21"/>
              </w:rPr>
              <w:t>业绩</w:t>
            </w:r>
          </w:p>
        </w:tc>
        <w:tc>
          <w:tcPr>
            <w:tcW w:w="3372" w:type="pct"/>
          </w:tcPr>
          <w:p>
            <w:pPr>
              <w:rPr>
                <w:rFonts w:hint="eastAsia" w:ascii="宋体" w:hAnsi="宋体"/>
                <w:b/>
                <w:bCs/>
                <w:szCs w:val="21"/>
              </w:rPr>
            </w:pPr>
            <w:r>
              <w:rPr>
                <w:rFonts w:hint="eastAsia" w:ascii="宋体" w:hAnsi="宋体"/>
                <w:szCs w:val="21"/>
              </w:rPr>
              <w:t>2020年1月1日以来，具有社会工作服务项目业绩，服务内容含婚姻家庭咨询、指导等内容，每提供1 例合同得5分，最高10分。</w:t>
            </w:r>
          </w:p>
          <w:p>
            <w:pPr>
              <w:rPr>
                <w:rFonts w:hint="eastAsia" w:ascii="宋体" w:hAnsi="宋体"/>
                <w:szCs w:val="21"/>
              </w:rPr>
            </w:pPr>
            <w:r>
              <w:rPr>
                <w:rFonts w:hint="eastAsia" w:ascii="宋体" w:hAnsi="宋体"/>
                <w:b/>
                <w:bCs/>
                <w:szCs w:val="21"/>
              </w:rPr>
              <w:t xml:space="preserve">注：响应文件中须提供业绩合同扫描件或影印件。如合同不能反映相关内容的，须提供业主单位出具的书面材料扫描件或影印件。 </w:t>
            </w:r>
          </w:p>
        </w:tc>
        <w:tc>
          <w:tcPr>
            <w:tcW w:w="584" w:type="pct"/>
            <w:vAlign w:val="center"/>
          </w:tcPr>
          <w:p>
            <w:pPr>
              <w:jc w:val="center"/>
              <w:rPr>
                <w:rFonts w:hint="eastAsia" w:ascii="宋体" w:hAnsi="宋体"/>
                <w:b/>
                <w:bCs/>
                <w:szCs w:val="21"/>
              </w:rPr>
            </w:pPr>
            <w:r>
              <w:rPr>
                <w:rFonts w:hint="eastAsia" w:ascii="宋体" w:hAnsi="宋体"/>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566" w:type="pct"/>
            <w:vMerge w:val="continue"/>
          </w:tcPr>
          <w:p>
            <w:pPr>
              <w:spacing w:line="280" w:lineRule="exact"/>
              <w:rPr>
                <w:rFonts w:hint="eastAsia" w:ascii="宋体" w:hAnsi="宋体"/>
                <w:szCs w:val="21"/>
              </w:rPr>
            </w:pPr>
          </w:p>
        </w:tc>
        <w:tc>
          <w:tcPr>
            <w:tcW w:w="476" w:type="pct"/>
            <w:vAlign w:val="center"/>
          </w:tcPr>
          <w:p>
            <w:pPr>
              <w:spacing w:line="280" w:lineRule="exact"/>
              <w:jc w:val="center"/>
              <w:rPr>
                <w:rFonts w:hint="eastAsia" w:ascii="宋体" w:hAnsi="宋体"/>
                <w:szCs w:val="21"/>
              </w:rPr>
            </w:pPr>
            <w:r>
              <w:rPr>
                <w:rFonts w:hint="eastAsia" w:ascii="宋体" w:hAnsi="宋体"/>
                <w:szCs w:val="21"/>
              </w:rPr>
              <w:t>专业</w:t>
            </w:r>
          </w:p>
          <w:p>
            <w:pPr>
              <w:spacing w:line="280" w:lineRule="exact"/>
              <w:jc w:val="center"/>
              <w:rPr>
                <w:rFonts w:hint="eastAsia" w:ascii="宋体" w:hAnsi="宋体"/>
                <w:szCs w:val="21"/>
              </w:rPr>
            </w:pPr>
            <w:r>
              <w:rPr>
                <w:rFonts w:hint="eastAsia" w:ascii="宋体" w:hAnsi="宋体"/>
                <w:szCs w:val="21"/>
              </w:rPr>
              <w:t>资信</w:t>
            </w:r>
          </w:p>
        </w:tc>
        <w:tc>
          <w:tcPr>
            <w:tcW w:w="3372" w:type="pct"/>
            <w:vAlign w:val="center"/>
          </w:tcPr>
          <w:p>
            <w:pPr>
              <w:rPr>
                <w:rFonts w:hint="eastAsia" w:ascii="宋体" w:hAnsi="宋体"/>
                <w:szCs w:val="21"/>
              </w:rPr>
            </w:pPr>
            <w:r>
              <w:rPr>
                <w:rFonts w:hint="eastAsia" w:ascii="宋体" w:hAnsi="宋体"/>
                <w:szCs w:val="21"/>
              </w:rPr>
              <w:t>机构法定代表人具有全日制社会工作专业本科及以上学历，得10分，获得过省级及以上社会工作荣誉的，另得10分，本项最高20分。</w:t>
            </w:r>
          </w:p>
          <w:p>
            <w:pPr>
              <w:rPr>
                <w:rFonts w:hint="eastAsia" w:ascii="宋体" w:hAnsi="宋体"/>
                <w:color w:val="000000"/>
                <w:szCs w:val="21"/>
              </w:rPr>
            </w:pPr>
            <w:r>
              <w:rPr>
                <w:rFonts w:hint="eastAsia" w:ascii="宋体" w:hAnsi="宋体"/>
                <w:b/>
                <w:bCs/>
                <w:szCs w:val="21"/>
              </w:rPr>
              <w:t>注：以响应文件中提供的法定代表人学历证书、荣誉证书（或文件）复印件或影印件为评审依据。</w:t>
            </w:r>
          </w:p>
        </w:tc>
        <w:tc>
          <w:tcPr>
            <w:tcW w:w="584" w:type="pct"/>
            <w:vAlign w:val="center"/>
          </w:tcPr>
          <w:p>
            <w:pPr>
              <w:spacing w:line="420" w:lineRule="exact"/>
              <w:jc w:val="center"/>
              <w:rPr>
                <w:rFonts w:hint="eastAsia" w:ascii="宋体" w:hAnsi="宋体"/>
                <w:szCs w:val="21"/>
              </w:rPr>
            </w:pPr>
            <w:r>
              <w:rPr>
                <w:rFonts w:hint="eastAsia" w:ascii="宋体" w:hAnsi="宋体"/>
                <w:szCs w:val="21"/>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0" w:hRule="atLeast"/>
          <w:jc w:val="center"/>
        </w:trPr>
        <w:tc>
          <w:tcPr>
            <w:tcW w:w="566" w:type="pct"/>
            <w:vMerge w:val="continue"/>
          </w:tcPr>
          <w:p>
            <w:pPr>
              <w:spacing w:line="280" w:lineRule="exact"/>
              <w:rPr>
                <w:rFonts w:hint="eastAsia" w:ascii="宋体" w:hAnsi="宋体"/>
                <w:szCs w:val="21"/>
              </w:rPr>
            </w:pPr>
          </w:p>
        </w:tc>
        <w:tc>
          <w:tcPr>
            <w:tcW w:w="476" w:type="pct"/>
            <w:vAlign w:val="center"/>
          </w:tcPr>
          <w:p>
            <w:pPr>
              <w:spacing w:line="280" w:lineRule="exact"/>
              <w:jc w:val="center"/>
              <w:rPr>
                <w:rFonts w:hint="eastAsia" w:ascii="宋体" w:hAnsi="宋体"/>
                <w:szCs w:val="21"/>
              </w:rPr>
            </w:pPr>
            <w:r>
              <w:rPr>
                <w:rFonts w:hint="eastAsia" w:ascii="宋体" w:hAnsi="宋体"/>
                <w:szCs w:val="21"/>
              </w:rPr>
              <w:t>人员配备</w:t>
            </w:r>
          </w:p>
        </w:tc>
        <w:tc>
          <w:tcPr>
            <w:tcW w:w="3372" w:type="pct"/>
            <w:vAlign w:val="center"/>
          </w:tcPr>
          <w:p>
            <w:pPr>
              <w:rPr>
                <w:rFonts w:hint="eastAsia" w:ascii="宋体" w:hAnsi="宋体"/>
                <w:szCs w:val="21"/>
              </w:rPr>
            </w:pPr>
            <w:r>
              <w:rPr>
                <w:rFonts w:hint="eastAsia" w:ascii="宋体" w:hAnsi="宋体"/>
                <w:szCs w:val="21"/>
              </w:rPr>
              <w:t xml:space="preserve">1、机构人员中具有律师、社工师等证书的，得15分，没有的，不得分。 </w:t>
            </w:r>
          </w:p>
          <w:p>
            <w:pPr>
              <w:rPr>
                <w:rFonts w:hint="eastAsia" w:ascii="宋体" w:hAnsi="宋体"/>
                <w:szCs w:val="21"/>
              </w:rPr>
            </w:pPr>
            <w:r>
              <w:rPr>
                <w:rFonts w:hint="eastAsia" w:ascii="宋体" w:hAnsi="宋体"/>
                <w:szCs w:val="21"/>
              </w:rPr>
              <w:t>注：以响应文件中提供的证书复印件或影印件为评审依据， 所提供的资料应能反映相关信息，投标人须对材料的真实性负责。</w:t>
            </w:r>
          </w:p>
          <w:p>
            <w:pPr>
              <w:spacing w:line="280" w:lineRule="exact"/>
              <w:ind w:firstLine="422" w:firstLineChars="200"/>
              <w:rPr>
                <w:rFonts w:hint="eastAsia" w:ascii="宋体" w:hAnsi="宋体"/>
                <w:color w:val="000000"/>
                <w:szCs w:val="21"/>
              </w:rPr>
            </w:pPr>
            <w:r>
              <w:rPr>
                <w:rFonts w:hint="eastAsia" w:ascii="宋体" w:hAnsi="宋体"/>
                <w:b/>
                <w:bCs/>
                <w:szCs w:val="21"/>
              </w:rPr>
              <w:t xml:space="preserve">注：以响应文件中提供的证书复印件或影印件为评审依据。所提供的资料应能反映相关信息，投标人须对材料的真实性负责。 </w:t>
            </w:r>
          </w:p>
        </w:tc>
        <w:tc>
          <w:tcPr>
            <w:tcW w:w="584" w:type="pct"/>
            <w:vAlign w:val="center"/>
          </w:tcPr>
          <w:p>
            <w:pPr>
              <w:spacing w:line="420" w:lineRule="exact"/>
              <w:jc w:val="center"/>
              <w:rPr>
                <w:rFonts w:hint="eastAsia" w:ascii="宋体" w:hAnsi="宋体"/>
                <w:spacing w:val="-6"/>
                <w:szCs w:val="21"/>
              </w:rPr>
            </w:pPr>
            <w:r>
              <w:rPr>
                <w:rFonts w:hint="eastAsia" w:ascii="宋体" w:hAnsi="宋体"/>
                <w:szCs w:val="21"/>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2" w:hRule="atLeast"/>
          <w:jc w:val="center"/>
        </w:trPr>
        <w:tc>
          <w:tcPr>
            <w:tcW w:w="566" w:type="pct"/>
          </w:tcPr>
          <w:p>
            <w:pPr>
              <w:spacing w:line="280" w:lineRule="exact"/>
              <w:rPr>
                <w:rFonts w:hint="eastAsia" w:ascii="宋体" w:hAnsi="宋体"/>
                <w:szCs w:val="21"/>
              </w:rPr>
            </w:pPr>
          </w:p>
          <w:p>
            <w:pPr>
              <w:spacing w:line="280" w:lineRule="exact"/>
              <w:jc w:val="center"/>
              <w:rPr>
                <w:rFonts w:hint="eastAsia" w:ascii="宋体" w:hAnsi="宋体"/>
                <w:szCs w:val="21"/>
              </w:rPr>
            </w:pPr>
          </w:p>
          <w:p>
            <w:pPr>
              <w:spacing w:line="280" w:lineRule="exact"/>
              <w:jc w:val="center"/>
              <w:rPr>
                <w:rFonts w:hint="eastAsia" w:ascii="宋体" w:hAnsi="宋体"/>
                <w:szCs w:val="21"/>
              </w:rPr>
            </w:pPr>
            <w:r>
              <w:rPr>
                <w:rFonts w:hint="eastAsia" w:ascii="宋体" w:hAnsi="宋体"/>
                <w:szCs w:val="21"/>
              </w:rPr>
              <w:t>价格得分</w:t>
            </w:r>
          </w:p>
          <w:p>
            <w:pPr>
              <w:spacing w:line="280" w:lineRule="exact"/>
              <w:jc w:val="center"/>
              <w:rPr>
                <w:rFonts w:hint="eastAsia" w:ascii="宋体" w:hAnsi="宋体"/>
                <w:szCs w:val="21"/>
              </w:rPr>
            </w:pPr>
            <w:r>
              <w:rPr>
                <w:rFonts w:hint="eastAsia" w:ascii="宋体" w:hAnsi="宋体"/>
                <w:szCs w:val="21"/>
              </w:rPr>
              <w:t>（10分）</w:t>
            </w:r>
          </w:p>
        </w:tc>
        <w:tc>
          <w:tcPr>
            <w:tcW w:w="476" w:type="pct"/>
            <w:vAlign w:val="center"/>
          </w:tcPr>
          <w:p>
            <w:pPr>
              <w:spacing w:line="280" w:lineRule="exact"/>
              <w:rPr>
                <w:rFonts w:hint="eastAsia" w:ascii="宋体" w:hAnsi="宋体"/>
                <w:szCs w:val="21"/>
              </w:rPr>
            </w:pPr>
            <w:r>
              <w:rPr>
                <w:rFonts w:hint="eastAsia" w:ascii="宋体" w:hAnsi="宋体"/>
                <w:szCs w:val="21"/>
              </w:rPr>
              <w:t>最 终 投</w:t>
            </w:r>
          </w:p>
          <w:p>
            <w:pPr>
              <w:spacing w:line="280" w:lineRule="exact"/>
              <w:rPr>
                <w:rFonts w:hint="eastAsia" w:ascii="宋体" w:hAnsi="宋体"/>
                <w:szCs w:val="21"/>
              </w:rPr>
            </w:pPr>
            <w:r>
              <w:rPr>
                <w:rFonts w:hint="eastAsia" w:ascii="宋体" w:hAnsi="宋体"/>
                <w:szCs w:val="21"/>
              </w:rPr>
              <w:t>标 报 价</w:t>
            </w:r>
          </w:p>
        </w:tc>
        <w:tc>
          <w:tcPr>
            <w:tcW w:w="3372" w:type="pct"/>
            <w:vAlign w:val="center"/>
          </w:tcPr>
          <w:p>
            <w:pPr>
              <w:spacing w:line="280" w:lineRule="exact"/>
              <w:ind w:firstLine="420" w:firstLineChars="200"/>
              <w:rPr>
                <w:rFonts w:hint="eastAsia" w:ascii="宋体" w:hAnsi="宋体"/>
                <w:szCs w:val="21"/>
              </w:rPr>
            </w:pPr>
            <w:r>
              <w:rPr>
                <w:rFonts w:hint="eastAsia" w:ascii="宋体" w:hAnsi="宋体"/>
                <w:szCs w:val="21"/>
              </w:rPr>
              <w:t>价格分统一采用低价优先法，即满足招标要求且投标价格最低的投标报价为评标基准价，其价格分为满分 10分。其他投标供应商的价格分统一按照下列公式计算：</w:t>
            </w:r>
          </w:p>
          <w:p>
            <w:pPr>
              <w:rPr>
                <w:rFonts w:hint="eastAsia" w:ascii="宋体" w:hAnsi="宋体"/>
                <w:szCs w:val="21"/>
              </w:rPr>
            </w:pPr>
            <w:r>
              <w:rPr>
                <w:rFonts w:hint="eastAsia" w:ascii="宋体" w:hAnsi="宋体"/>
                <w:szCs w:val="21"/>
              </w:rPr>
              <w:t>投标报价得分＝（评标基准价/投标报价）×10％×100</w:t>
            </w:r>
          </w:p>
        </w:tc>
        <w:tc>
          <w:tcPr>
            <w:tcW w:w="584" w:type="pct"/>
            <w:vAlign w:val="center"/>
          </w:tcPr>
          <w:p>
            <w:pPr>
              <w:spacing w:line="420" w:lineRule="exact"/>
              <w:jc w:val="center"/>
              <w:rPr>
                <w:rFonts w:hint="eastAsia" w:ascii="宋体" w:hAnsi="宋体"/>
                <w:szCs w:val="21"/>
              </w:rPr>
            </w:pPr>
            <w:r>
              <w:rPr>
                <w:rFonts w:hint="eastAsia" w:ascii="宋体" w:hAnsi="宋体"/>
                <w:szCs w:val="21"/>
              </w:rPr>
              <w:t>0-10分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2</w:t>
    </w:r>
    <w:r>
      <w:fldChar w:fldCharType="end"/>
    </w:r>
  </w:p>
  <w:p>
    <w:pPr>
      <w:pStyle w:val="12"/>
      <w:rPr>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850"/>
    <w:multiLevelType w:val="singleLevel"/>
    <w:tmpl w:val="0B3528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75"/>
    <w:rsid w:val="00016BAF"/>
    <w:rsid w:val="0057015F"/>
    <w:rsid w:val="00720275"/>
    <w:rsid w:val="009532E4"/>
    <w:rsid w:val="00954E66"/>
    <w:rsid w:val="00FC36E8"/>
    <w:rsid w:val="1C6041B4"/>
    <w:rsid w:val="719662A0"/>
    <w:rsid w:val="78EA3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Calibri" w:hAnsi="Calibri" w:eastAsia="宋体" w:cs="宋体"/>
      <w:kern w:val="2"/>
      <w:sz w:val="21"/>
      <w:szCs w:val="22"/>
      <w:lang w:val="en-US" w:eastAsia="zh-CN" w:bidi="ar-SA"/>
      <w14:ligatures w14:val="none"/>
    </w:rPr>
  </w:style>
  <w:style w:type="paragraph" w:styleId="3">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21"/>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6">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7">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rPr>
  </w:style>
  <w:style w:type="paragraph" w:styleId="8">
    <w:name w:val="heading 6"/>
    <w:basedOn w:val="1"/>
    <w:next w:val="1"/>
    <w:link w:val="25"/>
    <w:semiHidden/>
    <w:unhideWhenUsed/>
    <w:qFormat/>
    <w:uiPriority w:val="9"/>
    <w:pPr>
      <w:keepNext/>
      <w:keepLines/>
      <w:spacing w:before="40"/>
      <w:outlineLvl w:val="5"/>
    </w:pPr>
    <w:rPr>
      <w:rFonts w:cstheme="majorBidi"/>
      <w:b/>
      <w:bCs/>
      <w:color w:val="2F5597" w:themeColor="accent1" w:themeShade="BF"/>
    </w:rPr>
  </w:style>
  <w:style w:type="paragraph" w:styleId="9">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1"/>
    <w:semiHidden/>
    <w:unhideWhenUsed/>
    <w:qFormat/>
    <w:uiPriority w:val="99"/>
    <w:pPr>
      <w:spacing w:after="120"/>
    </w:pPr>
  </w:style>
  <w:style w:type="paragraph" w:styleId="12">
    <w:name w:val="footer"/>
    <w:basedOn w:val="1"/>
    <w:link w:val="38"/>
    <w:qFormat/>
    <w:uiPriority w:val="0"/>
    <w:pPr>
      <w:tabs>
        <w:tab w:val="center" w:pos="4153"/>
        <w:tab w:val="right" w:pos="8306"/>
      </w:tabs>
      <w:snapToGrid w:val="0"/>
      <w:jc w:val="left"/>
    </w:pPr>
    <w:rPr>
      <w:sz w:val="18"/>
      <w:szCs w:val="18"/>
    </w:rPr>
  </w:style>
  <w:style w:type="paragraph" w:styleId="13">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qFormat/>
    <w:uiPriority w:val="0"/>
    <w:pPr>
      <w:jc w:val="left"/>
    </w:pPr>
    <w:rPr>
      <w:kern w:val="0"/>
      <w:sz w:val="24"/>
    </w:rPr>
  </w:style>
  <w:style w:type="paragraph" w:styleId="16">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9">
    <w:name w:val="page number"/>
    <w:basedOn w:val="18"/>
    <w:qFormat/>
    <w:uiPriority w:val="0"/>
  </w:style>
  <w:style w:type="character" w:customStyle="1" w:styleId="20">
    <w:name w:val="标题 1 字符"/>
    <w:basedOn w:val="18"/>
    <w:link w:val="3"/>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8"/>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8"/>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8"/>
    <w:link w:val="6"/>
    <w:semiHidden/>
    <w:qFormat/>
    <w:uiPriority w:val="9"/>
    <w:rPr>
      <w:rFonts w:cstheme="majorBidi"/>
      <w:color w:val="2F5597" w:themeColor="accent1" w:themeShade="BF"/>
      <w:sz w:val="28"/>
      <w:szCs w:val="28"/>
    </w:rPr>
  </w:style>
  <w:style w:type="character" w:customStyle="1" w:styleId="24">
    <w:name w:val="标题 5 字符"/>
    <w:basedOn w:val="18"/>
    <w:link w:val="7"/>
    <w:semiHidden/>
    <w:qFormat/>
    <w:uiPriority w:val="9"/>
    <w:rPr>
      <w:rFonts w:cstheme="majorBidi"/>
      <w:color w:val="2F5597" w:themeColor="accent1" w:themeShade="BF"/>
      <w:sz w:val="24"/>
    </w:rPr>
  </w:style>
  <w:style w:type="character" w:customStyle="1" w:styleId="25">
    <w:name w:val="标题 6 字符"/>
    <w:basedOn w:val="18"/>
    <w:link w:val="8"/>
    <w:semiHidden/>
    <w:qFormat/>
    <w:uiPriority w:val="9"/>
    <w:rPr>
      <w:rFonts w:cstheme="majorBidi"/>
      <w:b/>
      <w:bCs/>
      <w:color w:val="2F5597" w:themeColor="accent1" w:themeShade="BF"/>
    </w:rPr>
  </w:style>
  <w:style w:type="character" w:customStyle="1" w:styleId="26">
    <w:name w:val="标题 7 字符"/>
    <w:basedOn w:val="18"/>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8"/>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8"/>
    <w:link w:val="35"/>
    <w:qFormat/>
    <w:uiPriority w:val="30"/>
    <w:rPr>
      <w:i/>
      <w:iCs/>
      <w:color w:val="2F5597" w:themeColor="accent1" w:themeShade="BF"/>
    </w:rPr>
  </w:style>
  <w:style w:type="character" w:customStyle="1" w:styleId="37">
    <w:name w:val="Intense Reference"/>
    <w:basedOn w:val="18"/>
    <w:qFormat/>
    <w:uiPriority w:val="32"/>
    <w:rPr>
      <w:b/>
      <w:bCs/>
      <w:smallCaps/>
      <w:color w:val="2F5597" w:themeColor="accent1" w:themeShade="BF"/>
      <w:spacing w:val="5"/>
    </w:rPr>
  </w:style>
  <w:style w:type="character" w:customStyle="1" w:styleId="38">
    <w:name w:val="页脚 字符"/>
    <w:basedOn w:val="18"/>
    <w:link w:val="12"/>
    <w:uiPriority w:val="0"/>
    <w:rPr>
      <w:rFonts w:ascii="Calibri" w:hAnsi="Calibri" w:eastAsia="宋体" w:cs="宋体"/>
      <w:sz w:val="18"/>
      <w:szCs w:val="18"/>
      <w14:ligatures w14:val="none"/>
    </w:rPr>
  </w:style>
  <w:style w:type="character" w:customStyle="1" w:styleId="39">
    <w:name w:val="页眉 字符"/>
    <w:basedOn w:val="18"/>
    <w:link w:val="13"/>
    <w:qFormat/>
    <w:uiPriority w:val="0"/>
    <w:rPr>
      <w:rFonts w:ascii="Calibri" w:hAnsi="Calibri" w:eastAsia="宋体" w:cs="宋体"/>
      <w:sz w:val="18"/>
      <w:szCs w:val="18"/>
      <w14:ligatures w14:val="none"/>
    </w:rPr>
  </w:style>
  <w:style w:type="paragraph" w:customStyle="1" w:styleId="40">
    <w:name w:val="首行缩进"/>
    <w:basedOn w:val="1"/>
    <w:qFormat/>
    <w:uiPriority w:val="0"/>
    <w:pPr>
      <w:ind w:firstLine="480" w:firstLineChars="200"/>
    </w:pPr>
    <w:rPr>
      <w:lang w:val="zh-CN"/>
    </w:rPr>
  </w:style>
  <w:style w:type="character" w:customStyle="1" w:styleId="41">
    <w:name w:val="正文文本 字符"/>
    <w:basedOn w:val="18"/>
    <w:link w:val="2"/>
    <w:semiHidden/>
    <w:qFormat/>
    <w:uiPriority w:val="99"/>
    <w:rPr>
      <w:rFonts w:ascii="Calibri" w:hAnsi="Calibri" w:eastAsia="宋体" w:cs="宋体"/>
      <w:sz w:val="21"/>
      <w:szCs w:val="22"/>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Words>
  <Characters>1967</Characters>
  <Lines>16</Lines>
  <Paragraphs>4</Paragraphs>
  <TotalTime>0</TotalTime>
  <ScaleCrop>false</ScaleCrop>
  <LinksUpToDate>false</LinksUpToDate>
  <CharactersWithSpaces>2308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2025-05-08T10:09:00Z</dcterms:created>
  <dc:creator>林森 杨</dc:creator>
  <cp:lastModifiedBy>Administrator</cp:lastModifiedBy>
  <dcterms:modified xsi:type="dcterms:W3CDTF">2025-05-09T05:08:46Z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