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650934751_WPSOffice_Level2"/>
      <w:bookmarkStart w:id="1" w:name="_Toc2106821466_WPSOffice_Level2"/>
      <w:bookmarkStart w:id="2" w:name="_Toc226610434_WPSOffice_Level2"/>
      <w:bookmarkStart w:id="3" w:name="_Toc1734282539_WPSOffice_Level2"/>
      <w:bookmarkStart w:id="4" w:name="_Toc88893436_WPSOffice_Level2"/>
      <w:bookmarkStart w:id="5" w:name="_Toc1276627973_WPSOffice_Level2"/>
      <w:bookmarkStart w:id="6" w:name="_Toc437239372_WPSOffice_Level2"/>
      <w:bookmarkStart w:id="7" w:name="_Toc908657466_WPSOffice_Level2"/>
      <w:bookmarkStart w:id="8" w:name="_Toc1524053835_WPSOffice_Level2"/>
      <w:bookmarkStart w:id="9" w:name="_Toc1533415924_WPSOffice_Level2"/>
      <w:bookmarkStart w:id="10" w:name="_Toc1089899263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合新征补安置〔2025〕6号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拟征收三十头社区</w:t>
      </w:r>
      <w:r>
        <w:rPr>
          <w:rFonts w:hint="eastAsia" w:ascii="仿宋_GB2312" w:hAnsi="仿宋_GB2312" w:eastAsia="仿宋_GB2312" w:cs="仿宋_GB2312"/>
          <w:sz w:val="32"/>
          <w:szCs w:val="32"/>
          <w:lang w:val="en-US" w:eastAsia="zh-CN"/>
        </w:rPr>
        <w:t>瓦岗</w:t>
      </w:r>
      <w:r>
        <w:rPr>
          <w:rFonts w:hint="eastAsia" w:ascii="仿宋_GB2312" w:hAnsi="仿宋_GB2312" w:eastAsia="仿宋_GB2312" w:cs="仿宋_GB2312"/>
          <w:sz w:val="32"/>
          <w:szCs w:val="32"/>
          <w:lang w:eastAsia="zh-CN"/>
        </w:rPr>
        <w:t>社居委</w:t>
      </w:r>
      <w:r>
        <w:rPr>
          <w:rFonts w:hint="eastAsia" w:ascii="仿宋_GB2312" w:hAnsi="仿宋_GB2312" w:eastAsia="仿宋_GB2312" w:cs="仿宋_GB2312"/>
          <w:sz w:val="32"/>
          <w:szCs w:val="32"/>
          <w:lang w:val="en-US" w:eastAsia="zh-CN"/>
        </w:rPr>
        <w:t>集体所有土地7.5287公顷（112.93亩）。合肥市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443975713_WPSOffice_Level2"/>
      <w:bookmarkStart w:id="12" w:name="_Toc1679503548_WPSOffice_Level2"/>
      <w:bookmarkStart w:id="13" w:name="_Toc578883702_WPSOffice_Level2"/>
      <w:bookmarkStart w:id="14" w:name="_Toc1832649515_WPSOffice_Level2"/>
      <w:bookmarkStart w:id="15" w:name="_Toc802291213_WPSOffice_Level2"/>
      <w:bookmarkStart w:id="16" w:name="_Toc537904310_WPSOffice_Level2"/>
      <w:bookmarkStart w:id="17" w:name="_Toc765628073_WPSOffice_Level2"/>
      <w:bookmarkStart w:id="18" w:name="_Toc632482870_WPSOffice_Level2"/>
      <w:bookmarkStart w:id="19" w:name="_Toc833057009_WPSOffice_Level2"/>
      <w:bookmarkStart w:id="20" w:name="_Toc1610220081_WPSOffice_Level2"/>
      <w:bookmarkStart w:id="21" w:name="_Toc1279259828_WPSOffice_Level2"/>
      <w:bookmarkStart w:id="22" w:name="_Toc1314462221_WPSOffice_Level2"/>
      <w:bookmarkStart w:id="23" w:name="_Toc470650155_WPSOffice_Level2"/>
      <w:bookmarkStart w:id="24" w:name="_Toc1874996178_WPSOffice_Level2"/>
      <w:bookmarkStart w:id="25" w:name="_Toc576164039_WPSOffice_Level2"/>
      <w:bookmarkStart w:id="26" w:name="_Toc2031788750_WPSOffice_Level2"/>
      <w:bookmarkStart w:id="27" w:name="_Toc2113160398_WPSOffice_Level2"/>
      <w:bookmarkStart w:id="28" w:name="_Toc1973002850_WPSOffice_Level2"/>
      <w:bookmarkStart w:id="29" w:name="_Toc507668059_WPSOffice_Level2"/>
      <w:bookmarkStart w:id="30" w:name="_Toc1878334967_WPSOffice_Level2"/>
      <w:bookmarkStart w:id="31" w:name="_Toc357609837_WPSOffice_Level2"/>
      <w:bookmarkStart w:id="32" w:name="_Toc929609418_WPSOffice_Level2"/>
      <w:bookmarkStart w:id="33" w:name="_Toc17765422_WPSOffice_Level2"/>
      <w:bookmarkStart w:id="34" w:name="_Toc768684435_WPSOffice_Level2"/>
      <w:bookmarkStart w:id="35" w:name="_Toc1046254205_WPSOffice_Level2"/>
      <w:bookmarkStart w:id="36" w:name="_Toc1971470553_WPSOffice_Level2"/>
      <w:bookmarkStart w:id="37" w:name="_Toc2064467114_WPSOffice_Level2"/>
      <w:bookmarkStart w:id="38" w:name="_Toc1536859539_WPSOffice_Level2"/>
      <w:bookmarkStart w:id="39" w:name="_Toc1031674409_WPSOffice_Level2"/>
      <w:bookmarkStart w:id="40" w:name="_Toc1978309802_WPSOffice_Level2"/>
      <w:bookmarkStart w:id="41" w:name="_Toc1839250869_WPSOffice_Level2"/>
      <w:bookmarkStart w:id="42" w:name="_Toc1735760388_WPSOffice_Level2"/>
      <w:bookmarkStart w:id="43" w:name="_Toc1962734358_WPSOffice_Level2"/>
      <w:bookmarkStart w:id="44" w:name="_Toc1029896115_WPSOffice_Level2"/>
      <w:bookmarkStart w:id="45" w:name="_Toc1697907087_WPSOffice_Level2"/>
      <w:bookmarkStart w:id="46" w:name="_Toc1377746671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2E8FA73F">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本次拟征收土地东至怀远路、南至西淝河路、西至通宝路、北至双凤路。</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54D1BA1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为合肥市人民政府组织实施的成片开发建设需要，符合《中华人民共和国土地管理法》第四十五条第一款第五项规定可以征收集体所有土地的情形，《合肥新站高新技术产业开发区片区六土地征收成片开发方案》已于2023年7月25日经省人民政府批准，《合肥新站高新技术产业开发区片区二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7.5287公顷（112.93亩），其中：农用地7.3706公顷（110.56亩），含耕地3.6343公顷（54.51亩）；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0.1581</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424409192_WPSOffice_Level2"/>
      <w:bookmarkStart w:id="48" w:name="_Toc1494225044_WPSOffice_Level2"/>
      <w:bookmarkStart w:id="49" w:name="_Toc1580307894_WPSOffice_Level2"/>
      <w:bookmarkStart w:id="50" w:name="_Toc1296955827_WPSOffice_Level2"/>
      <w:bookmarkStart w:id="51" w:name="_Toc1789357424_WPSOffice_Level2"/>
      <w:bookmarkStart w:id="52" w:name="_Toc125653788_WPSOffice_Level2"/>
      <w:bookmarkStart w:id="53" w:name="_Toc650153536_WPSOffice_Level2"/>
      <w:bookmarkStart w:id="54" w:name="_Toc473461991_WPSOffice_Level2"/>
      <w:bookmarkStart w:id="55" w:name="_Toc217441217_WPSOffice_Level2"/>
      <w:bookmarkStart w:id="56" w:name="_Toc2083684849_WPSOffice_Level2"/>
      <w:bookmarkStart w:id="57" w:name="_Toc1041571537_WPSOffice_Level2"/>
      <w:bookmarkStart w:id="58" w:name="_Toc127198294_WPSOffice_Level2"/>
      <w:r>
        <w:rPr>
          <w:rFonts w:ascii="仿宋_GB2312" w:eastAsia="仿宋_GB2312"/>
          <w:color w:val="auto"/>
          <w:sz w:val="30"/>
          <w:szCs w:val="30"/>
        </w:rPr>
        <w:pict>
          <v:shape id="Object 43" o:spid="_x0000_s2058" o:spt="75" type="#_x0000_t75" style="position:absolute;left:0pt;margin-left:0.95pt;margin-top:3pt;height:155.25pt;width:441.6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7553304_WPSOffice_Level2"/>
      <w:bookmarkStart w:id="60"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329049666_WPSOffice_Level2"/>
      <w:bookmarkStart w:id="62" w:name="_Toc1148964088_WPSOffice_Level2"/>
      <w:bookmarkStart w:id="63" w:name="_Toc634236862_WPSOffice_Level2"/>
      <w:bookmarkStart w:id="64" w:name="_Toc188211335_WPSOffice_Level2"/>
      <w:bookmarkStart w:id="65" w:name="_Toc1986460666_WPSOffice_Level2"/>
      <w:bookmarkStart w:id="66" w:name="_Toc1000278795_WPSOffice_Level2"/>
      <w:bookmarkStart w:id="67" w:name="_Toc1435324770_WPSOffice_Level2"/>
      <w:bookmarkStart w:id="68" w:name="_Toc1103212559_WPSOffice_Level2"/>
      <w:bookmarkStart w:id="69" w:name="_Toc447364602_WPSOffice_Level2"/>
      <w:bookmarkStart w:id="70" w:name="_Toc17731528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772704336_WPSOffice_Level2"/>
      <w:bookmarkStart w:id="74" w:name="_Toc175068690_WPSOffice_Level2"/>
      <w:bookmarkStart w:id="75" w:name="_Toc1614451897_WPSOffice_Level2"/>
      <w:bookmarkStart w:id="76" w:name="_Toc965102608_WPSOffice_Level2"/>
      <w:bookmarkStart w:id="77" w:name="_Toc125538419_WPSOffice_Level2"/>
      <w:bookmarkStart w:id="78" w:name="_Toc307805787_WPSOffice_Level2"/>
      <w:bookmarkStart w:id="79" w:name="_Toc119771292_WPSOffice_Level2"/>
      <w:bookmarkStart w:id="80" w:name="_Toc2002406008_WPSOffice_Level2"/>
      <w:bookmarkStart w:id="81" w:name="_Toc102298473_WPSOffice_Level2"/>
      <w:bookmarkStart w:id="82" w:name="_Toc1021552370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的三十头社区</w:t>
      </w:r>
      <w:r>
        <w:rPr>
          <w:rFonts w:hint="eastAsia" w:ascii="仿宋_GB2312" w:hAnsi="仿宋_GB2312" w:eastAsia="仿宋_GB2312" w:cs="仿宋_GB2312"/>
          <w:sz w:val="32"/>
          <w:szCs w:val="32"/>
          <w:lang w:val="en-US" w:eastAsia="zh-CN"/>
        </w:rPr>
        <w:t>瓦岗</w:t>
      </w:r>
      <w:r>
        <w:rPr>
          <w:rFonts w:hint="eastAsia" w:ascii="仿宋_GB2312" w:hAnsi="仿宋_GB2312" w:eastAsia="仿宋_GB2312" w:cs="仿宋_GB2312"/>
          <w:sz w:val="32"/>
          <w:szCs w:val="32"/>
          <w:lang w:eastAsia="zh-CN"/>
        </w:rPr>
        <w:t>社居委八大户、塘拐、张大郢组</w:t>
      </w:r>
      <w:r>
        <w:rPr>
          <w:rFonts w:hint="eastAsia" w:ascii="仿宋_GB2312" w:hAnsi="仿宋_GB2312" w:eastAsia="仿宋_GB2312" w:cs="仿宋_GB2312"/>
          <w:sz w:val="32"/>
          <w:szCs w:val="32"/>
          <w:lang w:val="en-US" w:eastAsia="zh-CN"/>
        </w:rPr>
        <w:t>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将书面通知拟征收土地所有权人、使用权人补办。通知补办后仍不办理的，补偿登记事项根据土地现状调查结果予以确定。</w:t>
      </w:r>
    </w:p>
    <w:p w14:paraId="6F0C3A2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w:t>
      </w:r>
      <w:bookmarkStart w:id="83" w:name="_GoBack"/>
      <w:bookmarkEnd w:id="83"/>
      <w:r>
        <w:rPr>
          <w:rFonts w:hint="eastAsia" w:ascii="仿宋_GB2312" w:hAnsi="仿宋_GB2312" w:eastAsia="仿宋_GB2312" w:cs="仿宋_GB2312"/>
          <w:bCs/>
          <w:sz w:val="32"/>
          <w:szCs w:val="32"/>
          <w:u w:val="none"/>
          <w:lang w:val="en-US" w:eastAsia="zh-CN"/>
        </w:rPr>
        <w:t>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三十头社区管委会将于2025年5月21日后组织开展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229BA7A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附件：附图</w:t>
      </w:r>
    </w:p>
    <w:p w14:paraId="66F2B2B2">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eastAsia="zh-CN"/>
        </w:rPr>
      </w:pPr>
    </w:p>
    <w:p w14:paraId="1EF96BC7">
      <w:pPr>
        <w:pStyle w:val="3"/>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9CD476C"/>
    <w:rsid w:val="0F8652D4"/>
    <w:rsid w:val="107C49F4"/>
    <w:rsid w:val="10E464B8"/>
    <w:rsid w:val="1A345788"/>
    <w:rsid w:val="1AF6245A"/>
    <w:rsid w:val="1D5560EB"/>
    <w:rsid w:val="1E1A1A0F"/>
    <w:rsid w:val="2A081A09"/>
    <w:rsid w:val="2E235365"/>
    <w:rsid w:val="336A5633"/>
    <w:rsid w:val="37212047"/>
    <w:rsid w:val="4083041C"/>
    <w:rsid w:val="4125782F"/>
    <w:rsid w:val="443F3126"/>
    <w:rsid w:val="5E2106C5"/>
    <w:rsid w:val="66F439CB"/>
    <w:rsid w:val="69BF50C6"/>
    <w:rsid w:val="6A2A51C5"/>
    <w:rsid w:val="72044630"/>
    <w:rsid w:val="75BD6C05"/>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2401</Words>
  <Characters>2546</Characters>
  <Lines>0</Lines>
  <Paragraphs>0</Paragraphs>
  <TotalTime>1</TotalTime>
  <ScaleCrop>false</ScaleCrop>
  <LinksUpToDate>false</LinksUpToDate>
  <CharactersWithSpaces>2546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2025-05-29T00:52:31Z</cp:lastPrinted>
  <dcterms:modified xsi:type="dcterms:W3CDTF">2025-05-29T00:52:36Z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