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F464E5">
      <w:pPr>
        <w:keepNext w:val="0"/>
        <w:keepLines w:val="0"/>
        <w:pageBreakBefore w:val="0"/>
        <w:widowControl w:val="0"/>
        <w:kinsoku/>
        <w:wordWrap/>
        <w:overflowPunct/>
        <w:topLinePunct w:val="0"/>
        <w:bidi w:val="0"/>
        <w:adjustRightInd/>
        <w:snapToGrid/>
        <w:spacing w:line="560" w:lineRule="exact"/>
        <w:jc w:val="center"/>
        <w:textAlignment w:val="auto"/>
        <w:rPr>
          <w:rFonts w:hint="eastAsia" w:eastAsia="黑体" w:cs="Times New Roman"/>
          <w:sz w:val="36"/>
          <w:szCs w:val="36"/>
          <w:u w:val="none"/>
          <w:lang w:val="en-US" w:eastAsia="zh-CN"/>
        </w:rPr>
      </w:pPr>
      <w:bookmarkStart w:id="0" w:name="_Toc88893436_WPSOffice_Level2"/>
      <w:bookmarkStart w:id="1" w:name="_Toc226610434_WPSOffice_Level2"/>
      <w:bookmarkStart w:id="2" w:name="_Toc1276627973_WPSOffice_Level2"/>
      <w:bookmarkStart w:id="3" w:name="_Toc908657466_WPSOffice_Level2"/>
      <w:bookmarkStart w:id="4" w:name="_Toc1734282539_WPSOffice_Level2"/>
      <w:bookmarkStart w:id="5" w:name="_Toc1533415924_WPSOffice_Level2"/>
      <w:bookmarkStart w:id="6" w:name="_Toc437239372_WPSOffice_Level2"/>
      <w:bookmarkStart w:id="7" w:name="_Toc1089899263_WPSOffice_Level2"/>
      <w:bookmarkStart w:id="8" w:name="_Toc650934751_WPSOffice_Level2"/>
      <w:bookmarkStart w:id="9" w:name="_Toc1524053835_WPSOffice_Level2"/>
      <w:bookmarkStart w:id="10" w:name="_Toc2106821466_WPSOffice_Level2"/>
      <w:r>
        <w:rPr>
          <w:color w:val="auto"/>
        </w:rPr>
        <mc:AlternateContent>
          <mc:Choice Requires="wpg">
            <w:drawing>
              <wp:anchor distT="0" distB="0" distL="114300" distR="114300" simplePos="0" relativeHeight="251659264" behindDoc="0" locked="0" layoutInCell="1" allowOverlap="1">
                <wp:simplePos x="0" y="0"/>
                <wp:positionH relativeFrom="column">
                  <wp:posOffset>-224790</wp:posOffset>
                </wp:positionH>
                <wp:positionV relativeFrom="page">
                  <wp:posOffset>1369060</wp:posOffset>
                </wp:positionV>
                <wp:extent cx="6120130" cy="8331200"/>
                <wp:effectExtent l="0" t="0" r="13970" b="31750"/>
                <wp:wrapNone/>
                <wp:docPr id="1" name="组合 1"/>
                <wp:cNvGraphicFramePr/>
                <a:graphic xmlns:a="http://schemas.openxmlformats.org/drawingml/2006/main">
                  <a:graphicData uri="http://schemas.microsoft.com/office/word/2010/wordprocessingGroup">
                    <wpg:wgp>
                      <wpg:cNvGrpSpPr/>
                      <wpg:grpSpPr>
                        <a:xfrm>
                          <a:off x="0" y="0"/>
                          <a:ext cx="6120130" cy="8331200"/>
                          <a:chOff x="1164" y="1701"/>
                          <a:chExt cx="9638" cy="13948"/>
                        </a:xfrm>
                        <a:effectLst/>
                      </wpg:grpSpPr>
                      <wps:wsp>
                        <wps:cNvPr id="2" name="Rectangle 3"/>
                        <wps:cNvSpPr>
                          <a:spLocks noChangeArrowheads="1"/>
                        </wps:cNvSpPr>
                        <wps:spPr bwMode="auto">
                          <a:xfrm>
                            <a:off x="1791" y="1701"/>
                            <a:ext cx="8323" cy="1129"/>
                          </a:xfrm>
                          <a:prstGeom prst="rect">
                            <a:avLst/>
                          </a:prstGeom>
                          <a:solidFill>
                            <a:srgbClr val="FFFFFF"/>
                          </a:solidFill>
                          <a:ln>
                            <a:noFill/>
                          </a:ln>
                          <a:effectLst/>
                        </wps:spPr>
                        <wps:txbx>
                          <w:txbxContent>
                            <w:p w14:paraId="1C8104DD">
                              <w:pPr>
                                <w:spacing w:line="1200" w:lineRule="exact"/>
                                <w:jc w:val="center"/>
                                <w:rPr>
                                  <w:color w:val="FF0000"/>
                                </w:rPr>
                              </w:pPr>
                              <w:r>
                                <w:rPr>
                                  <w:rFonts w:hint="eastAsia" w:eastAsia="方正小标宋简体"/>
                                  <w:color w:val="FF0000"/>
                                  <w:spacing w:val="44"/>
                                  <w:w w:val="91"/>
                                  <w:sz w:val="112"/>
                                  <w:szCs w:val="112"/>
                                </w:rPr>
                                <w:t>合肥市人民政</w:t>
                              </w:r>
                              <w:r>
                                <w:rPr>
                                  <w:rFonts w:hint="eastAsia" w:eastAsia="方正小标宋简体"/>
                                  <w:color w:val="FF0000"/>
                                  <w:w w:val="91"/>
                                  <w:sz w:val="112"/>
                                  <w:szCs w:val="112"/>
                                </w:rPr>
                                <w:t>府</w:t>
                              </w:r>
                            </w:p>
                          </w:txbxContent>
                        </wps:txbx>
                        <wps:bodyPr rot="0" vert="horz" wrap="square" lIns="0" tIns="0" rIns="0" bIns="0" anchor="t" anchorCtr="0" upright="1">
                          <a:noAutofit/>
                        </wps:bodyPr>
                      </wps:wsp>
                      <wpg:grpSp>
                        <wpg:cNvPr id="3" name="Group 4"/>
                        <wpg:cNvGrpSpPr/>
                        <wpg:grpSpPr>
                          <a:xfrm>
                            <a:off x="1164" y="3045"/>
                            <a:ext cx="9638" cy="12604"/>
                            <a:chOff x="1134" y="2835"/>
                            <a:chExt cx="9638" cy="12667"/>
                          </a:xfrm>
                          <a:effectLst/>
                        </wpg:grpSpPr>
                        <wps:wsp>
                          <wps:cNvPr id="4" name="Line 5"/>
                          <wps:cNvCnPr/>
                          <wps:spPr bwMode="auto">
                            <a:xfrm>
                              <a:off x="1134" y="15502"/>
                              <a:ext cx="9638" cy="0"/>
                            </a:xfrm>
                            <a:prstGeom prst="line">
                              <a:avLst/>
                            </a:prstGeom>
                            <a:noFill/>
                            <a:ln w="63500" cmpd="thinThick">
                              <a:solidFill>
                                <a:srgbClr val="FF0000"/>
                              </a:solidFill>
                              <a:round/>
                            </a:ln>
                            <a:effectLst/>
                          </wps:spPr>
                          <wps:bodyPr/>
                        </wps:wsp>
                        <wps:wsp>
                          <wps:cNvPr id="5" name="Line 6"/>
                          <wps:cNvCnPr/>
                          <wps:spPr bwMode="auto">
                            <a:xfrm>
                              <a:off x="1134" y="2835"/>
                              <a:ext cx="9638" cy="0"/>
                            </a:xfrm>
                            <a:prstGeom prst="line">
                              <a:avLst/>
                            </a:prstGeom>
                            <a:noFill/>
                            <a:ln w="63500" cmpd="thickThin">
                              <a:solidFill>
                                <a:srgbClr val="FF0000"/>
                              </a:solidFill>
                              <a:round/>
                            </a:ln>
                            <a:effectLst/>
                          </wps:spPr>
                          <wps:bodyPr/>
                        </wps:wsp>
                      </wpg:grpSp>
                    </wpg:wgp>
                  </a:graphicData>
                </a:graphic>
              </wp:anchor>
            </w:drawing>
          </mc:Choice>
          <mc:Fallback>
            <w:pict>
              <v:group id="_x0000_s1026" o:spid="_x0000_s1026" o:spt="203" style="position:absolute;left:0pt;margin-left:-17.7pt;margin-top:107.8pt;height:656pt;width:481.9pt;mso-position-vertical-relative:page;z-index:251659264;mso-width-relative:page;mso-height-relative:page;" coordorigin="1164,1701" coordsize="9638,13948" o:gfxdata="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">
                <o:lock v:ext="edit" aspectratio="f"/>
                <v:rect id="Rectangle 3" o:spid="_x0000_s1026" o:spt="1" style="position:absolute;left:1791;top:1701;height:1129;width:8323;" fillcolor="#FFFFFF" filled="t" stroked="f" coordsize="21600,21600" o:gfxdata="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os/xrsAAADa&#10;AAAADwAAAAAAAAABACAAAAAiAAAAZHJzL2Rvd25yZXYueG1sUEsBAhQAFAAAAAgAh07iQDMvBZ47&#10;AAAAOQAAABAAAAAAAAAAAQAgAAAACgEAAGRycy9zaGFwZXhtbC54bWxQSwUGAAAAAAYABgBbAQAA&#10;tAMAAAAA&#10;">
                  <v:fill on="t" focussize="0,0"/>
                  <v:stroke on="f"/>
                  <v:imagedata o:title=""/>
                  <o:lock v:ext="edit" aspectratio="f"/>
                  <v:textbox inset="0mm,0mm,0mm,0mm">
                    <w:txbxContent>
                      <w:p w14:paraId="1C8104DD">
                        <w:pPr>
                          <w:spacing w:line="1200" w:lineRule="exact"/>
                          <w:jc w:val="center"/>
                          <w:rPr>
                            <w:color w:val="FF0000"/>
                          </w:rPr>
                        </w:pPr>
                        <w:r>
                          <w:rPr>
                            <w:rFonts w:hint="eastAsia" w:eastAsia="方正小标宋简体"/>
                            <w:color w:val="FF0000"/>
                            <w:spacing w:val="44"/>
                            <w:w w:val="91"/>
                            <w:sz w:val="112"/>
                            <w:szCs w:val="112"/>
                          </w:rPr>
                          <w:t>合肥市人民政</w:t>
                        </w:r>
                        <w:r>
                          <w:rPr>
                            <w:rFonts w:hint="eastAsia" w:eastAsia="方正小标宋简体"/>
                            <w:color w:val="FF0000"/>
                            <w:w w:val="91"/>
                            <w:sz w:val="112"/>
                            <w:szCs w:val="112"/>
                          </w:rPr>
                          <w:t>府</w:t>
                        </w:r>
                      </w:p>
                    </w:txbxContent>
                  </v:textbox>
                </v:rect>
                <v:group id="Group 4" o:spid="_x0000_s1026" o:spt="203" style="position:absolute;left:1164;top:3045;height:12604;width:9638;" coordorigin="1134,2835" coordsize="9638,12667"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line id="Line 5" o:spid="_x0000_s1026" o:spt="20" style="position:absolute;left:1134;top:15502;height:0;width:9638;" filled="f" stroked="t" coordsize="21600,21600" o:gfxdata="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Ymj8S5AAAA2gAA&#10;AA8AAAAAAAAAAQAgAAAAIgAAAGRycy9kb3ducmV2LnhtbFBLAQIUABQAAAAIAIdO4kAzLwWeOwAA&#10;ADkAAAAQAAAAAAAAAAEAIAAAAAgBAABkcnMvc2hhcGV4bWwueG1sUEsFBgAAAAAGAAYAWwEAALID&#10;AAAAAA==&#10;">
                    <v:fill on="f" focussize="0,0"/>
                    <v:stroke weight="5pt" color="#FF0000" linestyle="thinThick" joinstyle="round"/>
                    <v:imagedata o:title=""/>
                    <o:lock v:ext="edit" aspectratio="f"/>
                  </v:line>
                  <v:line id="Line 6" o:spid="_x0000_s1026" o:spt="20" style="position:absolute;left:1134;top:2835;height:0;width:9638;" filled="f" stroked="t" coordsize="21600,21600" o:gfxdata="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OsYim2AAAA2gAAAA8A&#10;AAAAAAAAAQAgAAAAIgAAAGRycy9kb3ducmV2LnhtbFBLAQIUABQAAAAIAIdO4kAzLwWeOwAAADkA&#10;AAAQAAAAAAAAAAEAIAAAAAUBAABkcnMvc2hhcGV4bWwueG1sUEsFBgAAAAAGAAYAWwEAAK8DAAAA&#10;AA==&#10;">
                    <v:fill on="f" focussize="0,0"/>
                    <v:stroke weight="5pt" color="#FF0000" linestyle="thickThin" joinstyle="round"/>
                    <v:imagedata o:title=""/>
                    <o:lock v:ext="edit" aspectratio="f"/>
                  </v:line>
                </v:group>
              </v:group>
            </w:pict>
          </mc:Fallback>
        </mc:AlternateContent>
      </w:r>
    </w:p>
    <w:p w14:paraId="2757E05E">
      <w:pPr>
        <w:keepNext w:val="0"/>
        <w:keepLines w:val="0"/>
        <w:pageBreakBefore w:val="0"/>
        <w:widowControl w:val="0"/>
        <w:kinsoku/>
        <w:wordWrap/>
        <w:overflowPunct/>
        <w:topLinePunct w:val="0"/>
        <w:bidi w:val="0"/>
        <w:adjustRightInd/>
        <w:snapToGrid/>
        <w:spacing w:line="560" w:lineRule="exact"/>
        <w:jc w:val="center"/>
        <w:textAlignment w:val="auto"/>
        <w:rPr>
          <w:rFonts w:hint="eastAsia" w:eastAsia="黑体" w:cs="Times New Roman"/>
          <w:sz w:val="36"/>
          <w:szCs w:val="36"/>
          <w:u w:val="none"/>
          <w:lang w:val="en-US" w:eastAsia="zh-CN"/>
        </w:rPr>
      </w:pPr>
    </w:p>
    <w:p w14:paraId="21497B7C">
      <w:pPr>
        <w:keepNext w:val="0"/>
        <w:keepLines w:val="0"/>
        <w:pageBreakBefore w:val="0"/>
        <w:widowControl w:val="0"/>
        <w:kinsoku/>
        <w:wordWrap/>
        <w:overflowPunct/>
        <w:topLinePunct w:val="0"/>
        <w:bidi w:val="0"/>
        <w:adjustRightInd/>
        <w:snapToGrid/>
        <w:spacing w:line="560" w:lineRule="exact"/>
        <w:jc w:val="center"/>
        <w:textAlignment w:val="auto"/>
        <w:rPr>
          <w:rFonts w:hint="eastAsia" w:eastAsia="黑体" w:cs="Times New Roman"/>
          <w:sz w:val="36"/>
          <w:szCs w:val="36"/>
          <w:u w:val="none"/>
          <w:lang w:val="en-US" w:eastAsia="zh-CN"/>
        </w:rPr>
      </w:pPr>
    </w:p>
    <w:p w14:paraId="40FB6307">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楷体_GB2312" w:hAnsi="楷体_GB2312" w:eastAsia="楷体_GB2312" w:cs="楷体_GB2312"/>
          <w:bCs/>
          <w:sz w:val="32"/>
          <w:szCs w:val="32"/>
          <w:lang w:val="en-US" w:eastAsia="zh-CN"/>
        </w:rPr>
      </w:pPr>
      <w:r>
        <w:rPr>
          <w:rFonts w:hint="eastAsia" w:eastAsia="黑体" w:cs="Times New Roman"/>
          <w:sz w:val="36"/>
          <w:szCs w:val="36"/>
          <w:u w:val="none"/>
          <w:lang w:val="en-US" w:eastAsia="zh-CN"/>
        </w:rPr>
        <w:t>合肥市</w:t>
      </w:r>
      <w:r>
        <w:rPr>
          <w:rFonts w:eastAsia="黑体" w:cs="Times New Roman"/>
          <w:sz w:val="36"/>
          <w:szCs w:val="36"/>
          <w:u w:val="none"/>
        </w:rPr>
        <w:t>人民政府征地</w:t>
      </w:r>
      <w:r>
        <w:rPr>
          <w:rFonts w:hint="eastAsia" w:eastAsia="黑体" w:cs="Times New Roman"/>
          <w:sz w:val="36"/>
          <w:szCs w:val="36"/>
          <w:u w:val="none"/>
          <w:lang w:eastAsia="zh-CN"/>
        </w:rPr>
        <w:t>补偿安置方案公告</w:t>
      </w:r>
      <w:bookmarkEnd w:id="0"/>
      <w:bookmarkEnd w:id="1"/>
      <w:bookmarkEnd w:id="2"/>
      <w:bookmarkEnd w:id="3"/>
      <w:bookmarkEnd w:id="4"/>
      <w:bookmarkEnd w:id="5"/>
      <w:bookmarkEnd w:id="6"/>
      <w:bookmarkEnd w:id="7"/>
      <w:bookmarkEnd w:id="8"/>
      <w:bookmarkEnd w:id="9"/>
      <w:bookmarkEnd w:id="10"/>
    </w:p>
    <w:p w14:paraId="0D5FF4E8">
      <w:pPr>
        <w:keepNext w:val="0"/>
        <w:keepLines w:val="0"/>
        <w:pageBreakBefore w:val="0"/>
        <w:widowControl w:val="0"/>
        <w:kinsoku/>
        <w:wordWrap/>
        <w:overflowPunct/>
        <w:topLinePunct w:val="0"/>
        <w:bidi w:val="0"/>
        <w:adjustRightInd/>
        <w:snapToGrid/>
        <w:spacing w:line="560" w:lineRule="exact"/>
        <w:ind w:firstLine="610" w:firstLineChars="200"/>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合新征补安置〔2025〕13号</w:t>
      </w:r>
    </w:p>
    <w:p w14:paraId="7E5711DD">
      <w:pPr>
        <w:keepNext w:val="0"/>
        <w:keepLines w:val="0"/>
        <w:pageBreakBefore w:val="0"/>
        <w:widowControl w:val="0"/>
        <w:kinsoku/>
        <w:wordWrap/>
        <w:overflowPunct/>
        <w:topLinePunct w:val="0"/>
        <w:bidi w:val="0"/>
        <w:adjustRightInd/>
        <w:snapToGrid/>
        <w:spacing w:line="560" w:lineRule="exact"/>
        <w:ind w:firstLine="610" w:firstLineChars="200"/>
        <w:jc w:val="center"/>
        <w:textAlignment w:val="auto"/>
        <w:rPr>
          <w:rFonts w:hint="eastAsia" w:ascii="楷体_GB2312" w:hAnsi="楷体_GB2312" w:eastAsia="楷体_GB2312" w:cs="楷体_GB2312"/>
          <w:sz w:val="32"/>
          <w:szCs w:val="32"/>
          <w:lang w:val="en-US" w:eastAsia="zh-CN"/>
        </w:rPr>
      </w:pPr>
    </w:p>
    <w:p w14:paraId="1370BC7B">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根据《中华人民共和国土地管理法》第四十七条、第四十八条，《中华人民共和国土地管理法实施条例》第二十七</w:t>
      </w:r>
      <w:r>
        <w:rPr>
          <w:rFonts w:hint="eastAsia" w:ascii="仿宋_GB2312" w:hAnsi="仿宋_GB2312" w:eastAsia="仿宋_GB2312" w:cs="仿宋_GB2312"/>
          <w:sz w:val="32"/>
          <w:szCs w:val="32"/>
          <w:lang w:eastAsia="zh-CN"/>
        </w:rPr>
        <w:t>条、第二十八</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以及</w:t>
      </w:r>
      <w:r>
        <w:rPr>
          <w:rFonts w:hint="eastAsia" w:ascii="仿宋_GB2312" w:hAnsi="仿宋_GB2312" w:eastAsia="仿宋_GB2312" w:cs="仿宋_GB2312"/>
          <w:bCs/>
          <w:sz w:val="32"/>
          <w:szCs w:val="32"/>
          <w:u w:val="none"/>
          <w:lang w:val="en-US" w:eastAsia="zh-CN"/>
        </w:rPr>
        <w:t>《安徽省土地征收及补偿安置办法》第十一条</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规定，依据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合肥市人民政府征收土地预公告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（合新</w:t>
      </w:r>
      <w:r>
        <w:rPr>
          <w:rFonts w:hint="eastAsia" w:ascii="仿宋_GB2312" w:hAnsi="仿宋_GB2312" w:eastAsia="仿宋_GB2312" w:cs="仿宋_GB2312"/>
          <w:sz w:val="32"/>
          <w:szCs w:val="32"/>
        </w:rPr>
        <w:t>征</w:t>
      </w:r>
      <w:r>
        <w:rPr>
          <w:rFonts w:hint="eastAsia" w:ascii="仿宋_GB2312" w:hAnsi="仿宋_GB2312" w:eastAsia="仿宋_GB2312" w:cs="仿宋_GB2312"/>
          <w:sz w:val="32"/>
          <w:szCs w:val="32"/>
          <w:lang w:eastAsia="zh-CN"/>
        </w:rPr>
        <w:t>预</w:t>
      </w:r>
      <w:r>
        <w:rPr>
          <w:rFonts w:hint="eastAsia" w:ascii="仿宋_GB2312" w:hAnsi="仿宋_GB2312" w:eastAsia="仿宋_GB2312" w:cs="仿宋_GB2312"/>
          <w:sz w:val="32"/>
          <w:szCs w:val="32"/>
        </w:rPr>
        <w:t>告〔20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开展的拟征收土地现状调查</w:t>
      </w:r>
      <w:r>
        <w:rPr>
          <w:rFonts w:hint="eastAsia" w:ascii="仿宋_GB2312" w:hAnsi="仿宋_GB2312" w:eastAsia="仿宋_GB2312" w:cs="仿宋_GB2312"/>
          <w:sz w:val="32"/>
          <w:szCs w:val="32"/>
          <w:lang w:eastAsia="zh-CN"/>
        </w:rPr>
        <w:t>、勘测定界成果审核及</w:t>
      </w:r>
      <w:r>
        <w:rPr>
          <w:rFonts w:hint="eastAsia" w:ascii="仿宋_GB2312" w:hAnsi="仿宋_GB2312" w:eastAsia="仿宋_GB2312" w:cs="仿宋_GB2312"/>
          <w:sz w:val="32"/>
          <w:szCs w:val="32"/>
        </w:rPr>
        <w:t>社会稳定风险评估结果，</w:t>
      </w:r>
      <w:r>
        <w:rPr>
          <w:rFonts w:hint="eastAsia" w:ascii="仿宋_GB2312" w:hAnsi="仿宋_GB2312" w:eastAsia="仿宋_GB2312" w:cs="仿宋_GB2312"/>
          <w:sz w:val="32"/>
          <w:szCs w:val="32"/>
          <w:lang w:eastAsia="zh-CN"/>
        </w:rPr>
        <w:t>拟征收三十头社区瓦岗社居委、磨店社区群治社居委、八联社居委集体所有土地1.2198公顷（18.30亩）。</w:t>
      </w:r>
      <w:r>
        <w:rPr>
          <w:rFonts w:hint="eastAsia" w:ascii="仿宋_GB2312" w:hAnsi="仿宋_GB2312" w:eastAsia="仿宋_GB2312" w:cs="仿宋_GB2312"/>
          <w:sz w:val="32"/>
          <w:szCs w:val="32"/>
          <w:lang w:val="en-US" w:eastAsia="zh-CN"/>
        </w:rPr>
        <w:t>合肥市</w:t>
      </w:r>
      <w:r>
        <w:rPr>
          <w:rFonts w:hint="eastAsia" w:ascii="仿宋_GB2312" w:hAnsi="仿宋_GB2312" w:eastAsia="仿宋_GB2312" w:cs="仿宋_GB2312"/>
          <w:sz w:val="32"/>
          <w:szCs w:val="32"/>
        </w:rPr>
        <w:t>人民政</w:t>
      </w:r>
      <w:r>
        <w:rPr>
          <w:rFonts w:hint="eastAsia" w:ascii="仿宋_GB2312" w:hAnsi="仿宋_GB2312" w:eastAsia="仿宋_GB2312" w:cs="仿宋_GB2312"/>
          <w:sz w:val="32"/>
          <w:szCs w:val="32"/>
          <w:lang w:val="en-US" w:eastAsia="zh-CN"/>
        </w:rPr>
        <w:t>府委托安徽合肥新站高新技术产业开发区管理委员会组织自然资源、财政、农业农村、人力资源和社会保障等部门拟定了征地补偿安置方案，现将方案有关事项公告如下。</w:t>
      </w:r>
    </w:p>
    <w:p w14:paraId="7A2758A4">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黑体" w:hAnsi="黑体" w:eastAsia="黑体" w:cs="黑体"/>
          <w:b w:val="0"/>
          <w:bCs/>
          <w:sz w:val="32"/>
          <w:szCs w:val="32"/>
        </w:rPr>
      </w:pPr>
      <w:bookmarkStart w:id="11" w:name="_Toc1679503548_WPSOffice_Level2"/>
      <w:bookmarkStart w:id="12" w:name="_Toc1314462221_WPSOffice_Level2"/>
      <w:bookmarkStart w:id="13" w:name="_Toc578883702_WPSOffice_Level2"/>
      <w:bookmarkStart w:id="14" w:name="_Toc802291213_WPSOffice_Level2"/>
      <w:bookmarkStart w:id="15" w:name="_Toc537904310_WPSOffice_Level2"/>
      <w:bookmarkStart w:id="16" w:name="_Toc1279259828_WPSOffice_Level2"/>
      <w:bookmarkStart w:id="17" w:name="_Toc1610220081_WPSOffice_Level2"/>
      <w:bookmarkStart w:id="18" w:name="_Toc833057009_WPSOffice_Level2"/>
      <w:bookmarkStart w:id="19" w:name="_Toc632482870_WPSOffice_Level2"/>
      <w:bookmarkStart w:id="20" w:name="_Toc443975713_WPSOffice_Level2"/>
      <w:bookmarkStart w:id="21" w:name="_Toc1832649515_WPSOffice_Level2"/>
      <w:bookmarkStart w:id="22" w:name="_Toc765628073_WPSOffice_Level2"/>
      <w:bookmarkStart w:id="23" w:name="_Toc507668059_WPSOffice_Level2"/>
      <w:bookmarkStart w:id="24" w:name="_Toc929609418_WPSOffice_Level2"/>
      <w:bookmarkStart w:id="25" w:name="_Toc357609837_WPSOffice_Level2"/>
      <w:bookmarkStart w:id="26" w:name="_Toc470650155_WPSOffice_Level2"/>
      <w:bookmarkStart w:id="27" w:name="_Toc576164039_WPSOffice_Level2"/>
      <w:bookmarkStart w:id="28" w:name="_Toc2031788750_WPSOffice_Level2"/>
      <w:bookmarkStart w:id="29" w:name="_Toc768684435_WPSOffice_Level2"/>
      <w:bookmarkStart w:id="30" w:name="_Toc1874996178_WPSOffice_Level2"/>
      <w:bookmarkStart w:id="31" w:name="_Toc17765422_WPSOffice_Level2"/>
      <w:bookmarkStart w:id="32" w:name="_Toc1973002850_WPSOffice_Level2"/>
      <w:bookmarkStart w:id="33" w:name="_Toc2113160398_WPSOffice_Level2"/>
      <w:bookmarkStart w:id="34" w:name="_Toc1878334967_WPSOffice_Level2"/>
      <w:bookmarkStart w:id="35" w:name="_Toc1536859539_WPSOffice_Level2"/>
      <w:bookmarkStart w:id="36" w:name="_Toc1978309802_WPSOffice_Level2"/>
      <w:bookmarkStart w:id="37" w:name="_Toc1377746671_WPSOffice_Level2"/>
      <w:bookmarkStart w:id="38" w:name="_Toc2064467114_WPSOffice_Level2"/>
      <w:bookmarkStart w:id="39" w:name="_Toc1029896115_WPSOffice_Level2"/>
      <w:bookmarkStart w:id="40" w:name="_Toc1839250869_WPSOffice_Level2"/>
      <w:bookmarkStart w:id="41" w:name="_Toc1735760388_WPSOffice_Level2"/>
      <w:bookmarkStart w:id="42" w:name="_Toc1031674409_WPSOffice_Level2"/>
      <w:bookmarkStart w:id="43" w:name="_Toc1046254205_WPSOffice_Level2"/>
      <w:bookmarkStart w:id="44" w:name="_Toc1971470553_WPSOffice_Level2"/>
      <w:bookmarkStart w:id="45" w:name="_Toc1697907087_WPSOffice_Level2"/>
      <w:bookmarkStart w:id="46" w:name="_Toc1962734358_WPSOffice_Level2"/>
      <w:r>
        <w:rPr>
          <w:rFonts w:hint="eastAsia" w:ascii="黑体" w:hAnsi="黑体" w:eastAsia="黑体" w:cs="黑体"/>
          <w:b w:val="0"/>
          <w:bCs/>
          <w:sz w:val="32"/>
          <w:szCs w:val="32"/>
        </w:rPr>
        <w:t>一、</w:t>
      </w:r>
      <w:r>
        <w:rPr>
          <w:rFonts w:hint="eastAsia" w:ascii="黑体" w:hAnsi="黑体" w:eastAsia="黑体" w:cs="黑体"/>
          <w:b w:val="0"/>
          <w:bCs/>
          <w:sz w:val="32"/>
          <w:szCs w:val="32"/>
          <w:lang w:eastAsia="zh-CN"/>
        </w:rPr>
        <w:t>拟征收土地目的和</w:t>
      </w:r>
      <w:r>
        <w:rPr>
          <w:rFonts w:hint="eastAsia" w:ascii="黑体" w:hAnsi="黑体" w:eastAsia="黑体" w:cs="黑体"/>
          <w:b w:val="0"/>
          <w:bCs/>
          <w:sz w:val="32"/>
          <w:szCs w:val="32"/>
        </w:rPr>
        <w:t>范围</w:t>
      </w:r>
      <w:bookmarkEnd w:id="11"/>
      <w:bookmarkEnd w:id="12"/>
      <w:bookmarkEnd w:id="13"/>
      <w:bookmarkEnd w:id="14"/>
      <w:bookmarkEnd w:id="15"/>
      <w:bookmarkEnd w:id="16"/>
      <w:bookmarkEnd w:id="17"/>
      <w:bookmarkEnd w:id="18"/>
      <w:bookmarkEnd w:id="19"/>
      <w:bookmarkEnd w:id="20"/>
      <w:bookmarkEnd w:id="21"/>
      <w:bookmarkEnd w:id="22"/>
    </w:p>
    <w:p w14:paraId="0254C24F">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本次拟征收土地位于三十头社区瓦岗社居委卫田、毛小郢组，磨店社区群治社居委三房组、八联社居委南二、南中、许中、中一、许西组境内</w:t>
      </w:r>
    </w:p>
    <w:p w14:paraId="01594568">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具体四至范围详见附图。</w:t>
      </w:r>
    </w:p>
    <w:p w14:paraId="236E5451">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本次拟征收土地目的为治淮路、祁东路建设需要，符合《中华人民共和国土地管理法》第四十五条第一款第（二）项规定，属于由政府组织实施的交通类建设活动，确需征收农民集体所有土地。</w:t>
      </w:r>
    </w:p>
    <w:p w14:paraId="45108CC8">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二、土地现状</w:t>
      </w:r>
      <w:bookmarkEnd w:id="23"/>
      <w:bookmarkEnd w:id="24"/>
      <w:bookmarkEnd w:id="25"/>
      <w:bookmarkEnd w:id="26"/>
      <w:bookmarkEnd w:id="27"/>
      <w:bookmarkEnd w:id="28"/>
      <w:bookmarkEnd w:id="29"/>
      <w:bookmarkEnd w:id="30"/>
      <w:bookmarkEnd w:id="31"/>
      <w:bookmarkEnd w:id="32"/>
      <w:bookmarkEnd w:id="33"/>
      <w:bookmarkEnd w:id="34"/>
    </w:p>
    <w:p w14:paraId="3A3176E8">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rPr>
      </w:pPr>
      <w:bookmarkStart w:id="47" w:name="_Toc473461991_WPSOffice_Level2"/>
      <w:bookmarkStart w:id="48" w:name="_Toc2083684849_WPSOffice_Level2"/>
      <w:bookmarkStart w:id="49" w:name="_Toc1296955827_WPSOffice_Level2"/>
      <w:bookmarkStart w:id="50" w:name="_Toc1580307894_WPSOffice_Level2"/>
      <w:bookmarkStart w:id="51" w:name="_Toc217441217_WPSOffice_Level2"/>
      <w:bookmarkStart w:id="52" w:name="_Toc1789357424_WPSOffice_Level2"/>
      <w:bookmarkStart w:id="53" w:name="_Toc650153536_WPSOffice_Level2"/>
      <w:bookmarkStart w:id="54" w:name="_Toc127198294_WPSOffice_Level2"/>
      <w:bookmarkStart w:id="55" w:name="_Toc1424409192_WPSOffice_Level2"/>
      <w:bookmarkStart w:id="56" w:name="_Toc125653788_WPSOffice_Level2"/>
      <w:bookmarkStart w:id="57" w:name="_Toc1041571537_WPSOffice_Level2"/>
      <w:bookmarkStart w:id="58" w:name="_Toc1494225044_WPSOffice_Level2"/>
      <w:r>
        <w:rPr>
          <w:rFonts w:hint="eastAsia" w:ascii="仿宋_GB2312" w:hAnsi="仿宋_GB2312" w:eastAsia="仿宋_GB2312" w:cs="仿宋_GB2312"/>
          <w:sz w:val="32"/>
          <w:szCs w:val="32"/>
        </w:rPr>
        <w:t>根据拟征收土地现状调查结果，本次拟征收土地面积1.2198公顷（18.3亩），其中：农用地1.0268公顷（15.4亩），含耕地0.9397公顷（14.1亩）；建设用地0.193公顷（2.9亩）。具体现状如下：</w:t>
      </w:r>
    </w:p>
    <w:p w14:paraId="5E731B33">
      <w:pPr>
        <w:keepNext w:val="0"/>
        <w:keepLines w:val="0"/>
        <w:pageBreakBefore w:val="0"/>
        <w:widowControl w:val="0"/>
        <w:kinsoku/>
        <w:wordWrap/>
        <w:overflowPunct/>
        <w:topLinePunct w:val="0"/>
        <w:bidi w:val="0"/>
        <w:adjustRightInd/>
        <w:snapToGrid/>
        <w:spacing w:line="560" w:lineRule="exact"/>
        <w:ind w:firstLine="570" w:firstLineChars="200"/>
        <w:textAlignment w:val="auto"/>
        <w:rPr>
          <w:rFonts w:hint="eastAsia" w:ascii="黑体" w:hAnsi="黑体" w:eastAsia="黑体" w:cs="黑体"/>
          <w:b w:val="0"/>
          <w:bCs/>
          <w:sz w:val="32"/>
          <w:szCs w:val="32"/>
        </w:rPr>
      </w:pPr>
      <w:r>
        <w:rPr>
          <w:rFonts w:ascii="仿宋_GB2312" w:eastAsia="仿宋_GB2312"/>
          <w:color w:val="auto"/>
          <w:sz w:val="30"/>
          <w:szCs w:val="30"/>
        </w:rPr>
        <w:pict>
          <v:shape id="Object 43" o:spid="_x0000_s2060" o:spt="75" alt="" type="#_x0000_t75" style="position:absolute;left:0pt;margin-left:0.95pt;margin-top:4.25pt;height:185.2pt;width:442.75pt;mso-wrap-distance-bottom:0pt;mso-wrap-distance-top:0pt;z-index:251660288;mso-width-relative:page;mso-height-relative:page;" o:ole="t" filled="f" o:preferrelative="t" stroked="f" coordsize="21600,21600">
            <v:path/>
            <v:fill on="f" focussize="0,0"/>
            <v:stroke on="f"/>
            <v:imagedata r:id="rId5" o:title=""/>
            <o:lock v:ext="edit" aspectratio="t"/>
            <w10:wrap type="topAndBottom"/>
          </v:shape>
          <o:OLEObject Type="Embed" ProgID="Excel.Sheet.8" ShapeID="Object 43" DrawAspect="Content" ObjectID="_1468075725" r:id="rId4">
            <o:LockedField>false</o:LockedField>
          </o:OLEObject>
        </w:pict>
      </w:r>
      <w:r>
        <w:rPr>
          <w:rFonts w:hint="eastAsia" w:ascii="黑体" w:hAnsi="黑体" w:eastAsia="黑体" w:cs="黑体"/>
          <w:b w:val="0"/>
          <w:bCs/>
          <w:sz w:val="32"/>
          <w:szCs w:val="32"/>
          <w:lang w:eastAsia="zh-CN"/>
        </w:rPr>
        <w:t>三</w:t>
      </w:r>
      <w:r>
        <w:rPr>
          <w:rFonts w:hint="eastAsia" w:ascii="黑体" w:hAnsi="黑体" w:eastAsia="黑体" w:cs="黑体"/>
          <w:b w:val="0"/>
          <w:bCs/>
          <w:sz w:val="32"/>
          <w:szCs w:val="32"/>
        </w:rPr>
        <w:t>、补偿方式与标准</w:t>
      </w:r>
      <w:bookmarkEnd w:id="47"/>
      <w:bookmarkEnd w:id="48"/>
      <w:bookmarkEnd w:id="49"/>
      <w:bookmarkEnd w:id="50"/>
      <w:bookmarkEnd w:id="51"/>
      <w:bookmarkEnd w:id="52"/>
      <w:bookmarkEnd w:id="53"/>
      <w:bookmarkEnd w:id="54"/>
      <w:bookmarkEnd w:id="55"/>
      <w:bookmarkEnd w:id="56"/>
      <w:bookmarkEnd w:id="57"/>
      <w:bookmarkEnd w:id="58"/>
    </w:p>
    <w:p w14:paraId="5FCE544D">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w:t>
      </w:r>
      <w:r>
        <w:rPr>
          <w:rFonts w:hint="eastAsia" w:ascii="楷体_GB2312" w:hAnsi="楷体_GB2312" w:eastAsia="楷体_GB2312" w:cs="楷体_GB2312"/>
          <w:kern w:val="2"/>
          <w:sz w:val="32"/>
          <w:szCs w:val="32"/>
          <w:lang w:val="en-US" w:bidi="ar-SA"/>
        </w:rPr>
        <w:t>土地补偿费和安置补助费</w:t>
      </w:r>
      <w:r>
        <w:rPr>
          <w:rFonts w:hint="eastAsia" w:ascii="楷体_GB2312" w:hAnsi="楷体_GB2312" w:eastAsia="楷体_GB2312" w:cs="楷体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本次征收土地补偿费、安置补助费标准按照《安徽省实施〈中华人民共和国土地管理法〉办法》及《安徽省人民政府关于公布全省征地区片综合地价标准的通知》（皖政〔2023〕62号）执行。其中</w:t>
      </w:r>
      <w:bookmarkStart w:id="83" w:name="_GoBack"/>
      <w:bookmarkEnd w:id="83"/>
      <w:r>
        <w:rPr>
          <w:rFonts w:hint="eastAsia" w:ascii="仿宋_GB2312" w:hAnsi="仿宋_GB2312" w:eastAsia="仿宋_GB2312" w:cs="仿宋_GB2312"/>
          <w:kern w:val="2"/>
          <w:sz w:val="32"/>
          <w:szCs w:val="32"/>
          <w:lang w:val="en-US" w:eastAsia="zh-CN" w:bidi="ar-SA"/>
        </w:rPr>
        <w:t>：征收建设用地（含宅基地）采用宗地评估方式进行补偿安置。该项目委托评估机构为庐江县宏瑞房地产评估所，经评估公司采用调研形式评估，该项目建设用地评估单价为105010元/亩。</w:t>
      </w:r>
    </w:p>
    <w:p w14:paraId="654BB8AA">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（二）地上附着物及青苗。</w:t>
      </w:r>
      <w:r>
        <w:rPr>
          <w:rFonts w:hint="eastAsia" w:ascii="仿宋_GB2312" w:hAnsi="仿宋_GB2312" w:eastAsia="仿宋_GB2312" w:cs="仿宋_GB2312"/>
          <w:kern w:val="2"/>
          <w:sz w:val="32"/>
          <w:szCs w:val="32"/>
          <w:lang w:val="en-US" w:eastAsia="zh-CN" w:bidi="ar-SA"/>
        </w:rPr>
        <w:t>本次征收土地地上</w:t>
      </w:r>
      <w:r>
        <w:rPr>
          <w:rFonts w:hint="default" w:ascii="仿宋_GB2312" w:hAnsi="仿宋_GB2312" w:eastAsia="仿宋_GB2312" w:cs="仿宋_GB2312"/>
          <w:kern w:val="2"/>
          <w:sz w:val="32"/>
          <w:szCs w:val="32"/>
          <w:lang w:val="en-US" w:eastAsia="zh-CN" w:bidi="ar-SA"/>
        </w:rPr>
        <w:t>附着物及青苗</w:t>
      </w:r>
      <w:r>
        <w:rPr>
          <w:rFonts w:hint="eastAsia" w:ascii="仿宋_GB2312" w:hAnsi="仿宋_GB2312" w:eastAsia="仿宋_GB2312" w:cs="仿宋_GB2312"/>
          <w:kern w:val="2"/>
          <w:sz w:val="32"/>
          <w:szCs w:val="32"/>
          <w:lang w:val="en-US" w:eastAsia="zh-CN" w:bidi="ar-SA"/>
        </w:rPr>
        <w:t>按照《合肥市人民政府关于调整合肥市区被征收土地上房屋其他附着物及青苗补偿标准的通知》（合政秘〔2021〕1号）执行，按照土地现状调查登记工作确定的附属物类别、数量和合政秘〔2021〕1号标准予以补偿。</w:t>
      </w:r>
    </w:p>
    <w:p w14:paraId="7A11E11F">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（三）农村村民住宅。</w:t>
      </w:r>
      <w:r>
        <w:rPr>
          <w:rFonts w:hint="eastAsia" w:ascii="仿宋_GB2312" w:hAnsi="仿宋_GB2312" w:eastAsia="仿宋_GB2312" w:cs="仿宋_GB2312"/>
          <w:kern w:val="2"/>
          <w:sz w:val="32"/>
          <w:szCs w:val="32"/>
          <w:lang w:val="en-US" w:eastAsia="zh-CN" w:bidi="ar-SA"/>
        </w:rPr>
        <w:t>本次征收土地涉及农村村民住宅按照</w:t>
      </w:r>
      <w:r>
        <w:rPr>
          <w:rFonts w:hint="default" w:ascii="仿宋_GB2312" w:hAnsi="仿宋_GB2312" w:eastAsia="仿宋_GB2312" w:cs="仿宋_GB2312"/>
          <w:kern w:val="2"/>
          <w:sz w:val="32"/>
          <w:szCs w:val="32"/>
          <w:lang w:val="en-US" w:eastAsia="zh-CN" w:bidi="ar-SA"/>
        </w:rPr>
        <w:t>《合肥市被征收集体土地上房屋补偿安置办法》（合政〔2018〕4号）</w:t>
      </w:r>
      <w:r>
        <w:rPr>
          <w:rFonts w:hint="eastAsia" w:ascii="仿宋_GB2312" w:hAnsi="仿宋_GB2312" w:eastAsia="仿宋_GB2312" w:cs="仿宋_GB2312"/>
          <w:kern w:val="2"/>
          <w:sz w:val="32"/>
          <w:szCs w:val="32"/>
          <w:lang w:val="en-US" w:eastAsia="zh-CN" w:bidi="ar-SA"/>
        </w:rPr>
        <w:t>执行，按照土地现状调查登记工作确定的附属物类别、数量和</w:t>
      </w:r>
      <w:r>
        <w:rPr>
          <w:rFonts w:hint="default" w:ascii="仿宋_GB2312" w:hAnsi="仿宋_GB2312" w:eastAsia="仿宋_GB2312" w:cs="仿宋_GB2312"/>
          <w:kern w:val="2"/>
          <w:sz w:val="32"/>
          <w:szCs w:val="32"/>
          <w:lang w:val="en-US" w:eastAsia="zh-CN" w:bidi="ar-SA"/>
        </w:rPr>
        <w:t>合政〔2018〕4号</w:t>
      </w:r>
      <w:r>
        <w:rPr>
          <w:rFonts w:hint="eastAsia" w:ascii="仿宋_GB2312" w:hAnsi="仿宋_GB2312" w:eastAsia="仿宋_GB2312" w:cs="仿宋_GB2312"/>
          <w:kern w:val="2"/>
          <w:sz w:val="32"/>
          <w:szCs w:val="32"/>
          <w:lang w:val="en-US" w:eastAsia="zh-CN" w:bidi="ar-SA"/>
        </w:rPr>
        <w:t>标准予以补偿。</w:t>
      </w:r>
    </w:p>
    <w:p w14:paraId="58B265FA">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default" w:ascii="仿宋_GB2312" w:hAnsi="仿宋_GB2312" w:eastAsia="仿宋_GB2312" w:cs="仿宋_GB2312"/>
          <w:kern w:val="2"/>
          <w:sz w:val="32"/>
          <w:szCs w:val="32"/>
          <w:lang w:val="en-US" w:eastAsia="zh-CN" w:bidi="ar-SA"/>
        </w:rPr>
      </w:pPr>
      <w:bookmarkStart w:id="59" w:name="_Toc97553304_WPSOffice_Level2"/>
      <w:bookmarkStart w:id="60" w:name="_Toc94473742_WPSOffice_Level2"/>
      <w:r>
        <w:rPr>
          <w:rFonts w:hint="eastAsia" w:ascii="仿宋_GB2312" w:hAnsi="仿宋_GB2312" w:eastAsia="仿宋_GB2312" w:cs="仿宋_GB2312"/>
          <w:kern w:val="2"/>
          <w:sz w:val="32"/>
          <w:szCs w:val="32"/>
          <w:lang w:val="en-US" w:eastAsia="zh-CN" w:bidi="ar-SA"/>
        </w:rPr>
        <w:t>本次土地征收的补偿方式为：货币。</w:t>
      </w:r>
    </w:p>
    <w:p w14:paraId="1C4AB686">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eastAsia" w:ascii="黑体" w:hAnsi="黑体" w:eastAsia="黑体" w:cs="黑体"/>
          <w:b w:val="0"/>
          <w:bCs/>
          <w:sz w:val="32"/>
          <w:szCs w:val="32"/>
        </w:rPr>
      </w:pPr>
      <w:bookmarkStart w:id="61" w:name="_Toc329049666_WPSOffice_Level2"/>
      <w:bookmarkStart w:id="62" w:name="_Toc1103212559_WPSOffice_Level2"/>
      <w:bookmarkStart w:id="63" w:name="_Toc634236862_WPSOffice_Level2"/>
      <w:bookmarkStart w:id="64" w:name="_Toc1000278795_WPSOffice_Level2"/>
      <w:bookmarkStart w:id="65" w:name="_Toc447364602_WPSOffice_Level2"/>
      <w:bookmarkStart w:id="66" w:name="_Toc17731528_WPSOffice_Level2"/>
      <w:bookmarkStart w:id="67" w:name="_Toc188211335_WPSOffice_Level2"/>
      <w:bookmarkStart w:id="68" w:name="_Toc1986460666_WPSOffice_Level2"/>
      <w:bookmarkStart w:id="69" w:name="_Toc1435324770_WPSOffice_Level2"/>
      <w:bookmarkStart w:id="70" w:name="_Toc1148964088_WPSOffice_Level2"/>
      <w:r>
        <w:rPr>
          <w:rFonts w:hint="eastAsia" w:ascii="黑体" w:hAnsi="黑体" w:eastAsia="黑体" w:cs="黑体"/>
          <w:b w:val="0"/>
          <w:bCs/>
          <w:sz w:val="32"/>
          <w:szCs w:val="32"/>
          <w:lang w:eastAsia="zh-CN"/>
        </w:rPr>
        <w:t>四、</w:t>
      </w:r>
      <w:r>
        <w:rPr>
          <w:rFonts w:hint="eastAsia" w:ascii="黑体" w:hAnsi="黑体" w:eastAsia="黑体" w:cs="黑体"/>
          <w:b w:val="0"/>
          <w:bCs/>
          <w:sz w:val="32"/>
          <w:szCs w:val="32"/>
        </w:rPr>
        <w:t>安置对象、</w:t>
      </w:r>
      <w:r>
        <w:rPr>
          <w:rFonts w:hint="eastAsia" w:ascii="黑体" w:hAnsi="黑体" w:eastAsia="黑体" w:cs="黑体"/>
          <w:b w:val="0"/>
          <w:bCs/>
          <w:sz w:val="32"/>
          <w:szCs w:val="32"/>
          <w:lang w:eastAsia="zh-CN"/>
        </w:rPr>
        <w:t>安置</w:t>
      </w:r>
      <w:r>
        <w:rPr>
          <w:rFonts w:hint="eastAsia" w:ascii="黑体" w:hAnsi="黑体" w:eastAsia="黑体" w:cs="黑体"/>
          <w:b w:val="0"/>
          <w:bCs/>
          <w:sz w:val="32"/>
          <w:szCs w:val="32"/>
        </w:rPr>
        <w:t>方式</w:t>
      </w:r>
      <w:bookmarkEnd w:id="59"/>
      <w:bookmarkEnd w:id="60"/>
      <w:bookmarkEnd w:id="61"/>
      <w:bookmarkEnd w:id="62"/>
      <w:bookmarkEnd w:id="63"/>
      <w:bookmarkEnd w:id="64"/>
      <w:bookmarkEnd w:id="65"/>
      <w:bookmarkEnd w:id="66"/>
      <w:bookmarkEnd w:id="67"/>
      <w:bookmarkEnd w:id="68"/>
      <w:bookmarkEnd w:id="69"/>
      <w:bookmarkEnd w:id="70"/>
    </w:p>
    <w:bookmarkEnd w:id="35"/>
    <w:bookmarkEnd w:id="36"/>
    <w:bookmarkEnd w:id="37"/>
    <w:bookmarkEnd w:id="38"/>
    <w:bookmarkEnd w:id="39"/>
    <w:bookmarkEnd w:id="40"/>
    <w:bookmarkEnd w:id="41"/>
    <w:bookmarkEnd w:id="42"/>
    <w:bookmarkEnd w:id="43"/>
    <w:bookmarkEnd w:id="44"/>
    <w:bookmarkEnd w:id="45"/>
    <w:bookmarkEnd w:id="46"/>
    <w:p w14:paraId="36D715E1">
      <w:pPr>
        <w:keepNext w:val="0"/>
        <w:keepLines w:val="0"/>
        <w:pageBreakBefore w:val="0"/>
        <w:widowControl w:val="0"/>
        <w:kinsoku/>
        <w:wordWrap/>
        <w:overflowPunct/>
        <w:topLinePunct w:val="0"/>
        <w:autoSpaceDE w:val="0"/>
        <w:autoSpaceDN w:val="0"/>
        <w:bidi w:val="0"/>
        <w:adjustRightInd/>
        <w:snapToGrid/>
        <w:spacing w:line="560" w:lineRule="exact"/>
        <w:ind w:firstLine="61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本次征收土地的安置对象根据《安徽省土地征收及补偿安置办法》第三十三条、第三十四条、第三十五条、第三十六条、第三十七条等规定确定。</w:t>
      </w:r>
      <w:bookmarkStart w:id="71" w:name="_Toc386360555_WPSOffice_Level2"/>
      <w:bookmarkStart w:id="72" w:name="_Toc1831468841_WPSOffice_Level2"/>
      <w:r>
        <w:rPr>
          <w:rFonts w:hint="eastAsia" w:ascii="仿宋_GB2312" w:hAnsi="仿宋_GB2312" w:eastAsia="仿宋_GB2312" w:cs="仿宋_GB2312"/>
          <w:kern w:val="2"/>
          <w:sz w:val="32"/>
          <w:szCs w:val="32"/>
          <w:lang w:val="en-US" w:eastAsia="zh-CN" w:bidi="ar-SA"/>
        </w:rPr>
        <w:t>土地补偿费、安置补助费主要用于被征地农户。被征收的土地已经确权到户的，土地补偿费的百分之八十以上归被征地农户所有，其余部分留给农村集体经济组织，安置补助费全部归被征地农户所有；被征收的土地未确权到户的，土地补偿费、安置补助费归农村集体经济组织所有。农村集体经济组织成员因务工、经商、服役、就学等原因暂时离开集体经济组织，不影响其享有征地补偿安置的权利。农村集体经济组织妇女成员不因丧偶、离婚而影响其享有征地补偿安置的权利。因结婚、生育、抚养收养和政策性移民等原因加入农村集体经济组织的，应当享有征地补偿安置的权利。</w:t>
      </w:r>
    </w:p>
    <w:p w14:paraId="585440BE">
      <w:pPr>
        <w:keepNext w:val="0"/>
        <w:keepLines w:val="0"/>
        <w:pageBreakBefore w:val="0"/>
        <w:widowControl w:val="0"/>
        <w:kinsoku/>
        <w:wordWrap/>
        <w:overflowPunct/>
        <w:topLinePunct w:val="0"/>
        <w:autoSpaceDE w:val="0"/>
        <w:autoSpaceDN w:val="0"/>
        <w:bidi w:val="0"/>
        <w:adjustRightInd/>
        <w:snapToGrid/>
        <w:spacing w:line="560" w:lineRule="exact"/>
        <w:ind w:firstLine="61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本次征收土地涉及人口采用货币和社会保障方式进行安置。</w:t>
      </w:r>
    </w:p>
    <w:p w14:paraId="2EBFB9DF">
      <w:pPr>
        <w:keepNext w:val="0"/>
        <w:keepLines w:val="0"/>
        <w:pageBreakBefore w:val="0"/>
        <w:widowControl w:val="0"/>
        <w:kinsoku/>
        <w:wordWrap/>
        <w:overflowPunct/>
        <w:topLinePunct w:val="0"/>
        <w:autoSpaceDE w:val="0"/>
        <w:autoSpaceDN w:val="0"/>
        <w:bidi w:val="0"/>
        <w:adjustRightInd/>
        <w:snapToGrid/>
        <w:spacing w:line="560" w:lineRule="exact"/>
        <w:ind w:firstLine="610" w:firstLineChars="200"/>
        <w:jc w:val="both"/>
        <w:textAlignment w:val="auto"/>
        <w:rPr>
          <w:rFonts w:hint="eastAsia" w:ascii="黑体" w:hAnsi="黑体" w:eastAsia="黑体" w:cs="黑体"/>
          <w:b w:val="0"/>
          <w:bCs/>
          <w:kern w:val="0"/>
          <w:sz w:val="32"/>
          <w:szCs w:val="32"/>
          <w:lang w:val="zh-CN" w:eastAsia="zh-CN" w:bidi="zh-CN"/>
        </w:rPr>
      </w:pPr>
      <w:bookmarkStart w:id="73" w:name="_Toc307805787_WPSOffice_Level2"/>
      <w:bookmarkStart w:id="74" w:name="_Toc175068690_WPSOffice_Level2"/>
      <w:bookmarkStart w:id="75" w:name="_Toc119771292_WPSOffice_Level2"/>
      <w:bookmarkStart w:id="76" w:name="_Toc102298473_WPSOffice_Level2"/>
      <w:bookmarkStart w:id="77" w:name="_Toc125538419_WPSOffice_Level2"/>
      <w:bookmarkStart w:id="78" w:name="_Toc1614451897_WPSOffice_Level2"/>
      <w:bookmarkStart w:id="79" w:name="_Toc1772704336_WPSOffice_Level2"/>
      <w:bookmarkStart w:id="80" w:name="_Toc2002406008_WPSOffice_Level2"/>
      <w:bookmarkStart w:id="81" w:name="_Toc1021552370_WPSOffice_Level2"/>
      <w:bookmarkStart w:id="82" w:name="_Toc965102608_WPSOffice_Level2"/>
      <w:r>
        <w:rPr>
          <w:rFonts w:hint="eastAsia" w:ascii="黑体" w:hAnsi="黑体" w:eastAsia="黑体" w:cs="黑体"/>
          <w:b w:val="0"/>
          <w:bCs/>
          <w:kern w:val="0"/>
          <w:sz w:val="32"/>
          <w:szCs w:val="32"/>
          <w:lang w:val="zh-CN" w:eastAsia="zh-CN" w:bidi="zh-CN"/>
        </w:rPr>
        <w:t>五、社会保障措施</w:t>
      </w:r>
      <w:bookmarkEnd w:id="71"/>
      <w:bookmarkEnd w:id="72"/>
      <w:bookmarkEnd w:id="73"/>
      <w:bookmarkEnd w:id="74"/>
      <w:bookmarkEnd w:id="75"/>
      <w:bookmarkEnd w:id="76"/>
      <w:bookmarkEnd w:id="77"/>
      <w:bookmarkEnd w:id="78"/>
      <w:bookmarkEnd w:id="79"/>
      <w:bookmarkEnd w:id="80"/>
      <w:bookmarkEnd w:id="81"/>
      <w:bookmarkEnd w:id="82"/>
    </w:p>
    <w:p w14:paraId="26EDC694">
      <w:pPr>
        <w:keepNext w:val="0"/>
        <w:keepLines w:val="0"/>
        <w:pageBreakBefore w:val="0"/>
        <w:widowControl/>
        <w:suppressLineNumbers w:val="0"/>
        <w:kinsoku/>
        <w:wordWrap/>
        <w:overflowPunct/>
        <w:topLinePunct w:val="0"/>
        <w:bidi w:val="0"/>
        <w:adjustRightInd/>
        <w:snapToGrid/>
        <w:spacing w:line="560" w:lineRule="exact"/>
        <w:ind w:firstLine="610" w:firstLineChars="200"/>
        <w:jc w:val="both"/>
        <w:textAlignment w:val="auto"/>
        <w:rPr>
          <w:rFonts w:hint="default"/>
          <w:lang w:val="en-US"/>
        </w:rPr>
      </w:pPr>
      <w:r>
        <w:rPr>
          <w:rFonts w:hint="eastAsia" w:ascii="仿宋_GB2312" w:hAnsi="仿宋_GB2312" w:eastAsia="仿宋_GB2312" w:cs="仿宋_GB2312"/>
          <w:kern w:val="2"/>
          <w:sz w:val="32"/>
          <w:szCs w:val="32"/>
          <w:lang w:val="en-US" w:eastAsia="zh-CN" w:bidi="ar-SA"/>
        </w:rPr>
        <w:t>本次被征地农民的社会保障措施按照《安徽省人民政府关于对符合条件的被征地农民社会保障对象实行基本养老保险缴费补贴政策的通知》（皖政〔2023〕72号）《安徽省人力资源和社会保障厅 安徽省财政厅 安徽省自然资源厅 安徽省农业农村厅关于印发对符合条件的被征地农民社会保障对象实行基本养老保险缴费补贴实施细则的通知》（皖人社发〔2023〕18号）《合肥市对符合条件的被征地农民社会保障对象实行基本养老保险缴费补贴办法》（合政〔2025〕69号）等有关规定执行，缴费补贴对象为我市市区、开发区（合肥经开区、合肥高新区、合肥新站高新区）内，农民集体所有土地被依法批准征收时需安置人口中，失去全部或大部分土地（人均所剩耕地面积不足0.3亩）、年满16周岁的人员。补贴标准为征地被依法批准之日合肥市区平均土地区片综合地价。</w:t>
      </w:r>
      <w:r>
        <w:rPr>
          <w:rFonts w:ascii="仿宋_GB2312" w:hAnsi="宋体" w:eastAsia="仿宋_GB2312" w:cs="仿宋_GB2312"/>
          <w:color w:val="000000"/>
          <w:kern w:val="0"/>
          <w:sz w:val="31"/>
          <w:szCs w:val="31"/>
          <w:lang w:val="en-US" w:eastAsia="zh-CN" w:bidi="ar"/>
        </w:rPr>
        <w:t>对符合条件的被征地</w:t>
      </w:r>
      <w:r>
        <w:rPr>
          <w:rFonts w:hint="eastAsia" w:ascii="仿宋_GB2312" w:hAnsi="宋体" w:eastAsia="仿宋_GB2312" w:cs="仿宋_GB2312"/>
          <w:color w:val="000000"/>
          <w:kern w:val="0"/>
          <w:sz w:val="31"/>
          <w:szCs w:val="31"/>
          <w:lang w:val="en-US" w:eastAsia="zh-CN" w:bidi="ar"/>
        </w:rPr>
        <w:t>农民社会保障对象参加城乡居民基本养老保险的实行缴费补贴。</w:t>
      </w:r>
    </w:p>
    <w:p w14:paraId="46799F62">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六、其他事项</w:t>
      </w:r>
    </w:p>
    <w:p w14:paraId="42AE1B7C">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kern w:val="0"/>
          <w:sz w:val="32"/>
          <w:szCs w:val="32"/>
          <w:lang w:eastAsia="zh-CN" w:bidi="zh-CN"/>
        </w:rPr>
        <w:t>（一）</w:t>
      </w:r>
      <w:r>
        <w:rPr>
          <w:rFonts w:hint="eastAsia" w:ascii="仿宋_GB2312" w:hAnsi="仿宋_GB2312" w:eastAsia="仿宋_GB2312" w:cs="仿宋_GB2312"/>
          <w:bCs/>
          <w:kern w:val="0"/>
          <w:sz w:val="32"/>
          <w:szCs w:val="32"/>
          <w:lang w:bidi="zh-CN"/>
        </w:rPr>
        <w:t>本方案</w:t>
      </w:r>
      <w:r>
        <w:rPr>
          <w:rFonts w:hint="eastAsia" w:ascii="仿宋_GB2312" w:hAnsi="仿宋_GB2312" w:eastAsia="仿宋_GB2312" w:cs="仿宋_GB2312"/>
          <w:bCs/>
          <w:kern w:val="0"/>
          <w:sz w:val="32"/>
          <w:szCs w:val="32"/>
          <w:lang w:eastAsia="zh-CN" w:bidi="zh-CN"/>
        </w:rPr>
        <w:t>在</w:t>
      </w:r>
      <w:r>
        <w:rPr>
          <w:rFonts w:hint="eastAsia" w:ascii="仿宋_GB2312" w:hAnsi="仿宋_GB2312" w:eastAsia="仿宋_GB2312" w:cs="仿宋_GB2312"/>
          <w:bCs/>
          <w:kern w:val="0"/>
          <w:sz w:val="32"/>
          <w:szCs w:val="32"/>
          <w:lang w:bidi="zh-CN"/>
        </w:rPr>
        <w:t>拟征收土</w:t>
      </w:r>
      <w:r>
        <w:rPr>
          <w:rFonts w:hint="eastAsia" w:ascii="仿宋_GB2312" w:hAnsi="仿宋_GB2312" w:eastAsia="仿宋_GB2312" w:cs="仿宋_GB2312"/>
          <w:sz w:val="32"/>
          <w:szCs w:val="32"/>
        </w:rPr>
        <w:t>地所在</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三十头社区瓦岗社居委卫田、毛小郢组，磨店社区群治社居委三房组、八联社居委南二、南中、许中、中一、许西组范围，采用乡镇（街道）政务公开栏及村务公开栏张贴/电子屏显示等方式</w:t>
      </w:r>
      <w:r>
        <w:rPr>
          <w:rFonts w:hint="eastAsia" w:ascii="仿宋_GB2312" w:hAnsi="仿宋_GB2312" w:eastAsia="仿宋_GB2312" w:cs="仿宋_GB2312"/>
          <w:sz w:val="32"/>
          <w:szCs w:val="32"/>
        </w:rPr>
        <w:t>进行公告</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瑶海</w:t>
      </w:r>
      <w:r>
        <w:rPr>
          <w:rFonts w:hint="eastAsia" w:ascii="仿宋_GB2312" w:hAnsi="仿宋_GB2312" w:eastAsia="仿宋_GB2312" w:cs="仿宋_GB2312"/>
          <w:sz w:val="32"/>
          <w:szCs w:val="32"/>
        </w:rPr>
        <w:t>区政府门户网站（https://www.hfyaohai.gov.cn/）</w:t>
      </w:r>
      <w:r>
        <w:rPr>
          <w:rFonts w:hint="eastAsia" w:ascii="仿宋_GB2312" w:hAnsi="仿宋_GB2312" w:eastAsia="仿宋_GB2312" w:cs="仿宋_GB2312"/>
          <w:sz w:val="32"/>
          <w:szCs w:val="32"/>
          <w:lang w:eastAsia="zh-CN"/>
        </w:rPr>
        <w:t>发布，</w:t>
      </w:r>
      <w:r>
        <w:rPr>
          <w:rFonts w:hint="eastAsia" w:ascii="仿宋_GB2312" w:hAnsi="仿宋_GB2312" w:eastAsia="仿宋_GB2312" w:cs="仿宋_GB2312"/>
          <w:kern w:val="2"/>
          <w:sz w:val="32"/>
          <w:szCs w:val="32"/>
          <w:lang w:val="en-US" w:eastAsia="zh-CN" w:bidi="ar-SA"/>
        </w:rPr>
        <w:t>听取被征地的农村集体经济组织及其成员、村民委员会和其他利害关系人的意见。方案</w:t>
      </w:r>
      <w:r>
        <w:rPr>
          <w:rFonts w:hint="eastAsia" w:ascii="仿宋_GB2312" w:hAnsi="仿宋_GB2312" w:eastAsia="仿宋_GB2312" w:cs="仿宋_GB2312"/>
          <w:sz w:val="32"/>
          <w:szCs w:val="32"/>
        </w:rPr>
        <w:t>公告期限不少于</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w:t>
      </w:r>
    </w:p>
    <w:p w14:paraId="73DD6411">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u w:val="none"/>
          <w:lang w:val="en-US" w:eastAsia="zh-CN"/>
        </w:rPr>
        <w:t>（二）本次</w:t>
      </w:r>
      <w:r>
        <w:rPr>
          <w:rFonts w:hint="eastAsia" w:ascii="仿宋_GB2312" w:hAnsi="仿宋_GB2312" w:eastAsia="仿宋_GB2312" w:cs="仿宋_GB2312"/>
          <w:sz w:val="32"/>
          <w:szCs w:val="32"/>
          <w:lang w:val="en-US" w:eastAsia="zh-CN"/>
        </w:rPr>
        <w:t>土地征收的实施单位为三十头社区管委会、磨店社区管委会，将组织办理补偿登记及</w:t>
      </w:r>
      <w:r>
        <w:rPr>
          <w:rFonts w:hint="eastAsia" w:ascii="仿宋_GB2312" w:hAnsi="仿宋_GB2312" w:eastAsia="仿宋_GB2312" w:cs="仿宋_GB2312"/>
          <w:sz w:val="32"/>
          <w:szCs w:val="32"/>
          <w:lang w:eastAsia="zh-CN"/>
        </w:rPr>
        <w:t>征地补偿安置协议签订等事项</w:t>
      </w:r>
      <w:r>
        <w:rPr>
          <w:rFonts w:hint="eastAsia" w:ascii="仿宋_GB2312" w:hAnsi="仿宋_GB2312" w:eastAsia="仿宋_GB2312" w:cs="仿宋_GB2312"/>
          <w:sz w:val="32"/>
          <w:szCs w:val="32"/>
          <w:lang w:val="en-US" w:eastAsia="zh-CN"/>
        </w:rPr>
        <w:t>。拟征收土地范围内的土地所有权人、使用权人应当在本公告发布之日起30日内，持不动产权属证明材料至属地政府办理补偿登记。拟征收土地所有权人、使用权人不能亲自办理补偿登记的，可以委托他人办理。未在规定期限内办理补偿登记的，三十头社区管委会、磨店社区管委会将书面通知拟征收土地所有权人、使用权人补办。通知补办后仍不办理的，补偿登记事项根据土地现状调查结果予以确定。</w:t>
      </w:r>
    </w:p>
    <w:p w14:paraId="7001314C">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对本征地补偿安置方案公告有异议的，拟征收土地范围内的土地所有权人、使用权人应在公告发布之日起至公告期满后5个工作日内，以书面形式向三十头社区管理委员会，联系人：杨晋，联系电话：0551-66338110；磨店社区管理委员会，联系人：杨帆，联系电话：0551-64323155提出。相关土地权利人在规定时间内未提交书面意见的，视为无异议。</w:t>
      </w:r>
    </w:p>
    <w:p w14:paraId="22489711">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（四）如过半数被征地的农村集体经济组织成员认为征地补偿安置方案不符合法律、法规规定，三十头社区管委会、磨店社区管委会将依法组织听证。</w:t>
      </w:r>
    </w:p>
    <w:p w14:paraId="789BD41D">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bCs/>
          <w:sz w:val="32"/>
          <w:szCs w:val="32"/>
          <w:u w:val="none"/>
          <w:lang w:val="en-US" w:eastAsia="zh-CN"/>
        </w:rPr>
      </w:pPr>
      <w:r>
        <w:rPr>
          <w:rFonts w:hint="eastAsia" w:ascii="仿宋_GB2312" w:hAnsi="仿宋_GB2312" w:eastAsia="仿宋_GB2312" w:cs="仿宋_GB2312"/>
          <w:sz w:val="32"/>
          <w:szCs w:val="32"/>
          <w:lang w:val="en-US" w:eastAsia="zh-CN"/>
        </w:rPr>
        <w:t>（五）本次土地征收范围和面积以</w:t>
      </w:r>
      <w:r>
        <w:rPr>
          <w:rFonts w:hint="eastAsia" w:ascii="仿宋_GB2312" w:hAnsi="仿宋_GB2312" w:eastAsia="仿宋_GB2312" w:cs="仿宋_GB2312"/>
          <w:bCs/>
          <w:sz w:val="32"/>
          <w:szCs w:val="32"/>
          <w:u w:val="none"/>
          <w:lang w:val="en-US" w:eastAsia="zh-CN"/>
        </w:rPr>
        <w:t>最终土地征收批准文件载明的内容为准。</w:t>
      </w:r>
    </w:p>
    <w:p w14:paraId="34DCCCA2">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u w:val="none"/>
          <w:lang w:val="en-US" w:eastAsia="zh-CN"/>
        </w:rPr>
        <w:t>（六）</w:t>
      </w:r>
      <w:r>
        <w:rPr>
          <w:rFonts w:hint="eastAsia" w:ascii="仿宋_GB2312" w:hAnsi="仿宋_GB2312" w:eastAsia="仿宋_GB2312" w:cs="仿宋_GB2312"/>
          <w:sz w:val="32"/>
          <w:szCs w:val="32"/>
          <w:lang w:val="en-US" w:eastAsia="zh-CN"/>
        </w:rPr>
        <w:t>三十头社区管委会、磨店社区管委会将于2025年5月29日后组织开展</w:t>
      </w:r>
      <w:r>
        <w:rPr>
          <w:rFonts w:hint="eastAsia" w:ascii="仿宋_GB2312" w:hAnsi="仿宋_GB2312" w:eastAsia="仿宋_GB2312" w:cs="仿宋_GB2312"/>
          <w:sz w:val="32"/>
          <w:szCs w:val="32"/>
          <w:lang w:eastAsia="zh-CN"/>
        </w:rPr>
        <w:t>征地补偿安置协议签订工作，</w:t>
      </w:r>
      <w:r>
        <w:rPr>
          <w:rFonts w:hint="eastAsia" w:ascii="仿宋_GB2312" w:hAnsi="仿宋_GB2312" w:eastAsia="仿宋_GB2312" w:cs="仿宋_GB2312"/>
          <w:sz w:val="32"/>
          <w:szCs w:val="32"/>
          <w:lang w:val="en-US" w:eastAsia="zh-CN"/>
        </w:rPr>
        <w:t>拟征收土地范围内的土地所有权人、使用权人应当予以配合。</w:t>
      </w:r>
    </w:p>
    <w:p w14:paraId="07517314">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val="en-US" w:eastAsia="zh-CN"/>
        </w:rPr>
      </w:pPr>
    </w:p>
    <w:p w14:paraId="229BA7AE">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附件：附图</w:t>
      </w:r>
    </w:p>
    <w:p w14:paraId="66F2B2B2">
      <w:pPr>
        <w:pStyle w:val="2"/>
        <w:keepNext w:val="0"/>
        <w:keepLines w:val="0"/>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sz w:val="32"/>
          <w:szCs w:val="32"/>
          <w:lang w:eastAsia="zh-CN"/>
        </w:rPr>
      </w:pPr>
    </w:p>
    <w:p w14:paraId="7BCBD5A1">
      <w:pPr>
        <w:keepNext w:val="0"/>
        <w:keepLines w:val="0"/>
        <w:pageBreakBefore w:val="0"/>
        <w:widowControl w:val="0"/>
        <w:kinsoku/>
        <w:wordWrap/>
        <w:overflowPunct/>
        <w:topLinePunct w:val="0"/>
        <w:bidi w:val="0"/>
        <w:adjustRightInd/>
        <w:snapToGrid/>
        <w:spacing w:line="560" w:lineRule="exact"/>
        <w:ind w:firstLine="61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合肥市人民政府</w:t>
      </w:r>
    </w:p>
    <w:p w14:paraId="44E3DB95">
      <w:pPr>
        <w:keepNext w:val="0"/>
        <w:keepLines w:val="0"/>
        <w:pageBreakBefore w:val="0"/>
        <w:widowControl w:val="0"/>
        <w:kinsoku/>
        <w:wordWrap/>
        <w:overflowPunct/>
        <w:topLinePunct w:val="0"/>
        <w:bidi w:val="0"/>
        <w:adjustRightInd/>
        <w:snapToGrid/>
        <w:spacing w:line="560" w:lineRule="exact"/>
        <w:ind w:firstLine="61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2025年5月29日</w:t>
      </w:r>
    </w:p>
    <w:p w14:paraId="498A58CD">
      <w:pPr>
        <w:keepNext w:val="0"/>
        <w:keepLines w:val="0"/>
        <w:pageBreakBefore w:val="0"/>
        <w:widowControl w:val="0"/>
        <w:kinsoku/>
        <w:wordWrap/>
        <w:overflowPunct/>
        <w:topLinePunct w:val="0"/>
        <w:bidi w:val="0"/>
        <w:adjustRightInd/>
        <w:snapToGrid/>
        <w:spacing w:line="560" w:lineRule="exact"/>
        <w:textAlignment w:val="auto"/>
        <w:rPr>
          <w:rFonts w:hint="default" w:ascii="黑体" w:hAnsi="黑体" w:eastAsia="黑体" w:cs="黑体"/>
          <w:sz w:val="32"/>
          <w:szCs w:val="32"/>
          <w:lang w:val="en-US" w:eastAsia="zh-CN"/>
        </w:rPr>
      </w:pPr>
    </w:p>
    <w:sectPr>
      <w:pgSz w:w="11906" w:h="16838"/>
      <w:pgMar w:top="2098" w:right="1474" w:bottom="1984" w:left="1587" w:header="851" w:footer="992" w:gutter="0"/>
      <w:cols w:space="0" w:num="1"/>
      <w:rtlGutter w:val="0"/>
      <w:docGrid w:type="linesAndChars" w:linePitch="579" w:charSpace="-32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52"/>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wYmIxNjU1ZWQzMzI5NDE5YWJmMWVkM2JhMmNmMTQifQ=="/>
  </w:docVars>
  <w:rsids>
    <w:rsidRoot w:val="2E235365"/>
    <w:rsid w:val="05472CDF"/>
    <w:rsid w:val="0653652C"/>
    <w:rsid w:val="0F8652D4"/>
    <w:rsid w:val="107C49F4"/>
    <w:rsid w:val="10E464B8"/>
    <w:rsid w:val="157A0BA6"/>
    <w:rsid w:val="1AF6245A"/>
    <w:rsid w:val="1D5557F6"/>
    <w:rsid w:val="1D5560EB"/>
    <w:rsid w:val="1E1A1A0F"/>
    <w:rsid w:val="2A081A09"/>
    <w:rsid w:val="2E235365"/>
    <w:rsid w:val="303E417F"/>
    <w:rsid w:val="336A5633"/>
    <w:rsid w:val="36550E69"/>
    <w:rsid w:val="37212047"/>
    <w:rsid w:val="4083041C"/>
    <w:rsid w:val="5ACE5C4B"/>
    <w:rsid w:val="5E2106C5"/>
    <w:rsid w:val="647D70C4"/>
    <w:rsid w:val="66F439CB"/>
    <w:rsid w:val="69BF50C6"/>
    <w:rsid w:val="6A2A51C5"/>
    <w:rsid w:val="72044630"/>
    <w:rsid w:val="786642E5"/>
    <w:rsid w:val="797D7D31"/>
    <w:rsid w:val="7A237432"/>
    <w:rsid w:val="7DD95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autoSpaceDE w:val="0"/>
      <w:autoSpaceDN w:val="0"/>
      <w:jc w:val="left"/>
    </w:pPr>
    <w:rPr>
      <w:rFonts w:ascii="宋体" w:hAnsi="宋体" w:cs="宋体"/>
      <w:kern w:val="0"/>
      <w:sz w:val="32"/>
      <w:szCs w:val="32"/>
      <w:lang w:val="zh-CN" w:bidi="zh-CN"/>
    </w:rPr>
  </w:style>
  <w:style w:type="paragraph" w:styleId="3">
    <w:name w:val="toc 5"/>
    <w:basedOn w:val="1"/>
    <w:next w:val="1"/>
    <w:qFormat/>
    <w:uiPriority w:val="0"/>
    <w:pPr>
      <w:ind w:left="1680" w:leftChars="8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206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2454</Words>
  <Characters>2598</Characters>
  <Lines>0</Lines>
  <Paragraphs>0</Paragraphs>
  <TotalTime>1</TotalTime>
  <ScaleCrop>false</ScaleCrop>
  <LinksUpToDate>false</LinksUpToDate>
  <CharactersWithSpaces>2648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2024-06-06T08:45:00Z</dcterms:created>
  <dc:creator>岳</dc:creator>
  <cp:lastModifiedBy>岳</cp:lastModifiedBy>
  <cp:lastPrinted>2025-06-03T03:27:14Z</cp:lastPrinted>
  <dcterms:modified xsi:type="dcterms:W3CDTF">2025-06-03T03:27:48Z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E9CCF0A56FFE4CAE8726C930976E830D_11</vt:lpwstr>
  </property>
  <property fmtid="{D5CDD505-2E9C-101B-9397-08002B2CF9AE}" pid="4" name="KSOTemplateDocerSaveRecord">
    <vt:lpwstr>eyJoZGlkIjoiNjkwYmIxNjU1ZWQzMzI5NDE5YWJmMWVkM2JhMmNmMTQiLCJ1c2VySWQiOiI1NTU3MDI1OTYifQ==</vt:lpwstr>
  </property>
</Properties>
</file>