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68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60" w:beforeAutospacing="0" w:after="260" w:afterAutospacing="0" w:line="23" w:lineRule="atLeast"/>
        <w:ind w:left="0" w:right="0" w:firstLine="0"/>
        <w:jc w:val="left"/>
        <w:textAlignment w:val="baseline"/>
        <w:rPr>
          <w:rFonts w:hint="eastAsia" w:ascii="仿宋" w:hAnsi="仿宋" w:eastAsia="仿宋" w:cs="仿宋"/>
          <w:b w:val="0"/>
          <w:bCs w:val="0"/>
          <w:i w:val="0"/>
          <w:iCs w:val="0"/>
          <w:caps w:val="0"/>
          <w:color w:val="333333"/>
          <w:spacing w:val="0"/>
          <w:sz w:val="32"/>
          <w:szCs w:val="32"/>
          <w:shd w:val="clear" w:fill="FFFFFF"/>
          <w:vertAlign w:val="baseline"/>
        </w:rPr>
      </w:pPr>
      <w:r>
        <w:rPr>
          <w:rFonts w:hint="eastAsia" w:ascii="仿宋" w:hAnsi="仿宋" w:eastAsia="仿宋" w:cs="仿宋"/>
          <w:b w:val="0"/>
          <w:bCs w:val="0"/>
          <w:i w:val="0"/>
          <w:iCs w:val="0"/>
          <w:caps w:val="0"/>
          <w:color w:val="333333"/>
          <w:spacing w:val="0"/>
          <w:sz w:val="32"/>
          <w:szCs w:val="32"/>
          <w:shd w:val="clear" w:fill="FFFFFF"/>
          <w:vertAlign w:val="baseline"/>
          <w:lang w:eastAsia="zh-CN"/>
        </w:rPr>
        <w:t>附件</w:t>
      </w:r>
      <w:r>
        <w:rPr>
          <w:rFonts w:hint="eastAsia" w:ascii="仿宋" w:hAnsi="仿宋" w:eastAsia="仿宋" w:cs="仿宋"/>
          <w:b w:val="0"/>
          <w:bCs w:val="0"/>
          <w:i w:val="0"/>
          <w:iCs w:val="0"/>
          <w:caps w:val="0"/>
          <w:color w:val="333333"/>
          <w:spacing w:val="0"/>
          <w:sz w:val="32"/>
          <w:szCs w:val="32"/>
          <w:shd w:val="clear" w:fill="FFFFFF"/>
          <w:vertAlign w:val="baseline"/>
          <w:lang w:val="en-US" w:eastAsia="zh-CN"/>
        </w:rPr>
        <w:t>1</w:t>
      </w:r>
    </w:p>
    <w:p w14:paraId="0040B4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60" w:beforeAutospacing="0" w:after="260" w:afterAutospacing="0" w:line="23" w:lineRule="atLeast"/>
        <w:ind w:left="0" w:right="0" w:firstLine="0"/>
        <w:jc w:val="center"/>
        <w:textAlignment w:val="baseline"/>
        <w:rPr>
          <w:rFonts w:hint="eastAsia" w:ascii="微软雅黑" w:hAnsi="微软雅黑" w:eastAsia="微软雅黑" w:cs="微软雅黑"/>
          <w:b w:val="0"/>
          <w:bCs w:val="0"/>
          <w:i w:val="0"/>
          <w:iCs w:val="0"/>
          <w:caps w:val="0"/>
          <w:color w:val="333333"/>
          <w:spacing w:val="0"/>
          <w:sz w:val="44"/>
          <w:szCs w:val="44"/>
        </w:rPr>
      </w:pPr>
      <w:r>
        <w:rPr>
          <w:rFonts w:hint="eastAsia" w:ascii="微软雅黑" w:hAnsi="微软雅黑" w:eastAsia="微软雅黑" w:cs="微软雅黑"/>
          <w:b w:val="0"/>
          <w:bCs w:val="0"/>
          <w:i w:val="0"/>
          <w:iCs w:val="0"/>
          <w:caps w:val="0"/>
          <w:color w:val="333333"/>
          <w:spacing w:val="0"/>
          <w:sz w:val="44"/>
          <w:szCs w:val="44"/>
          <w:shd w:val="clear" w:fill="FFFFFF"/>
          <w:vertAlign w:val="baseline"/>
        </w:rPr>
        <w:t>采购需求</w:t>
      </w:r>
    </w:p>
    <w:p w14:paraId="73DCABC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both"/>
        <w:textAlignment w:val="baseline"/>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4"/>
          <w:sz w:val="32"/>
          <w:szCs w:val="32"/>
          <w:shd w:val="clear" w:fill="FFFFFF"/>
          <w:vertAlign w:val="baseline"/>
        </w:rPr>
        <w:t>一、采购需求前附表</w:t>
      </w:r>
    </w:p>
    <w:p w14:paraId="16F9614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8" w:lineRule="atLeast"/>
        <w:ind w:left="0" w:right="0" w:firstLine="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tbl>
      <w:tblPr>
        <w:tblStyle w:val="8"/>
        <w:tblW w:w="908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12"/>
        <w:gridCol w:w="1581"/>
        <w:gridCol w:w="6489"/>
      </w:tblGrid>
      <w:tr w14:paraId="3E1308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trPr>
        <w:tc>
          <w:tcPr>
            <w:tcW w:w="101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0EA8F9C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36" w:beforeAutospacing="0" w:after="0" w:afterAutospacing="0"/>
              <w:ind w:left="269" w:right="0"/>
              <w:jc w:val="both"/>
              <w:rPr>
                <w:rFonts w:hint="eastAsia" w:ascii="宋体" w:hAnsi="宋体" w:eastAsia="宋体" w:cs="宋体"/>
                <w:sz w:val="24"/>
                <w:szCs w:val="24"/>
              </w:rPr>
            </w:pPr>
            <w:r>
              <w:rPr>
                <w:rFonts w:hint="eastAsia" w:ascii="宋体" w:hAnsi="宋体" w:eastAsia="宋体" w:cs="宋体"/>
                <w:b/>
                <w:bCs/>
                <w:spacing w:val="-5"/>
                <w:sz w:val="28"/>
                <w:szCs w:val="28"/>
              </w:rPr>
              <w:t>序号</w:t>
            </w:r>
          </w:p>
        </w:tc>
        <w:tc>
          <w:tcPr>
            <w:tcW w:w="158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31DBCD8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36" w:beforeAutospacing="0" w:after="0" w:afterAutospacing="0"/>
              <w:ind w:right="0" w:firstLine="271" w:firstLineChars="100"/>
              <w:jc w:val="both"/>
              <w:rPr>
                <w:rFonts w:hint="eastAsia" w:ascii="宋体" w:hAnsi="宋体" w:eastAsia="宋体" w:cs="宋体"/>
                <w:sz w:val="24"/>
                <w:szCs w:val="24"/>
              </w:rPr>
            </w:pPr>
            <w:r>
              <w:rPr>
                <w:rFonts w:hint="eastAsia" w:ascii="宋体" w:hAnsi="宋体" w:eastAsia="宋体" w:cs="宋体"/>
                <w:b/>
                <w:bCs/>
                <w:spacing w:val="-5"/>
                <w:sz w:val="28"/>
                <w:szCs w:val="28"/>
              </w:rPr>
              <w:t>条款名称</w:t>
            </w:r>
          </w:p>
        </w:tc>
        <w:tc>
          <w:tcPr>
            <w:tcW w:w="648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650DD43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36" w:beforeAutospacing="0" w:after="0" w:afterAutospacing="0"/>
              <w:ind w:left="1813" w:right="0"/>
              <w:jc w:val="both"/>
              <w:rPr>
                <w:rFonts w:hint="eastAsia" w:ascii="宋体" w:hAnsi="宋体" w:eastAsia="宋体" w:cs="宋体"/>
                <w:sz w:val="24"/>
                <w:szCs w:val="24"/>
              </w:rPr>
            </w:pPr>
            <w:r>
              <w:rPr>
                <w:rFonts w:hint="eastAsia" w:ascii="宋体" w:hAnsi="宋体" w:eastAsia="宋体" w:cs="宋体"/>
                <w:b/>
                <w:bCs/>
                <w:spacing w:val="-7"/>
                <w:sz w:val="28"/>
                <w:szCs w:val="28"/>
              </w:rPr>
              <w:t>内容、说明与要求</w:t>
            </w:r>
          </w:p>
        </w:tc>
      </w:tr>
      <w:tr w14:paraId="123988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61"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2181063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7" w:lineRule="atLeast"/>
              <w:ind w:left="0" w:right="0"/>
              <w:jc w:val="left"/>
              <w:rPr>
                <w:rFonts w:hint="default" w:ascii="Times New Roman" w:hAnsi="Times New Roman" w:cs="Times New Roman"/>
                <w:sz w:val="21"/>
                <w:szCs w:val="21"/>
              </w:rPr>
            </w:pPr>
          </w:p>
          <w:p w14:paraId="109B2C7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78" w:beforeAutospacing="0" w:after="0" w:afterAutospacing="0"/>
              <w:ind w:left="0" w:right="0"/>
              <w:jc w:val="left"/>
              <w:rPr>
                <w:rFonts w:hint="eastAsia" w:ascii="宋体" w:hAnsi="宋体" w:eastAsia="宋体" w:cs="宋体"/>
                <w:sz w:val="24"/>
                <w:szCs w:val="24"/>
              </w:rPr>
            </w:pPr>
          </w:p>
          <w:p w14:paraId="7F85252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78" w:beforeAutospacing="0" w:after="0" w:afterAutospacing="0"/>
              <w:ind w:left="0" w:right="0"/>
              <w:jc w:val="left"/>
              <w:rPr>
                <w:rFonts w:hint="eastAsia" w:ascii="宋体" w:hAnsi="宋体" w:eastAsia="宋体" w:cs="宋体"/>
                <w:sz w:val="24"/>
                <w:szCs w:val="24"/>
              </w:rPr>
            </w:pPr>
          </w:p>
          <w:p w14:paraId="3129C77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78" w:beforeAutospacing="0" w:after="0" w:afterAutospacing="0"/>
              <w:ind w:left="0" w:right="0"/>
              <w:jc w:val="left"/>
              <w:rPr>
                <w:rFonts w:hint="eastAsia" w:ascii="宋体" w:hAnsi="宋体" w:eastAsia="宋体" w:cs="宋体"/>
                <w:sz w:val="28"/>
                <w:szCs w:val="28"/>
              </w:rPr>
            </w:pPr>
          </w:p>
          <w:p w14:paraId="68999FF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78" w:beforeAutospacing="0" w:after="0" w:afterAutospacing="0"/>
              <w:ind w:left="0" w:right="0"/>
              <w:jc w:val="left"/>
              <w:rPr>
                <w:rFonts w:hint="eastAsia" w:ascii="宋体" w:hAnsi="宋体" w:eastAsia="宋体" w:cs="宋体"/>
                <w:sz w:val="28"/>
                <w:szCs w:val="28"/>
              </w:rPr>
            </w:pPr>
          </w:p>
          <w:p w14:paraId="5336F66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78" w:beforeAutospacing="0" w:after="0" w:afterAutospacing="0"/>
              <w:ind w:right="0" w:firstLine="560" w:firstLineChars="200"/>
              <w:jc w:val="left"/>
              <w:rPr>
                <w:rFonts w:hint="eastAsia" w:ascii="宋体" w:hAnsi="宋体" w:eastAsia="宋体" w:cs="宋体"/>
                <w:sz w:val="24"/>
                <w:szCs w:val="24"/>
              </w:rPr>
            </w:pPr>
            <w:r>
              <w:rPr>
                <w:rFonts w:hint="eastAsia" w:ascii="宋体" w:hAnsi="宋体" w:eastAsia="宋体" w:cs="宋体"/>
                <w:sz w:val="28"/>
                <w:szCs w:val="28"/>
              </w:rPr>
              <w:t>1</w:t>
            </w:r>
          </w:p>
        </w:tc>
        <w:tc>
          <w:tcPr>
            <w:tcW w:w="1581"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9E58C7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78"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2"/>
                <w:sz w:val="28"/>
                <w:szCs w:val="28"/>
              </w:rPr>
              <w:t>付款方式</w:t>
            </w:r>
          </w:p>
        </w:tc>
        <w:tc>
          <w:tcPr>
            <w:tcW w:w="6489"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4257C1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atLeast"/>
              <w:ind w:left="0" w:right="0" w:firstLine="550"/>
              <w:jc w:val="both"/>
              <w:textAlignment w:val="auto"/>
              <w:rPr>
                <w:rFonts w:hint="default" w:ascii="宋体" w:hAnsi="宋体" w:eastAsia="宋体" w:cs="宋体"/>
                <w:i w:val="0"/>
                <w:iCs w:val="0"/>
                <w:caps w:val="0"/>
                <w:spacing w:val="0"/>
                <w:sz w:val="24"/>
                <w:szCs w:val="24"/>
                <w:shd w:val="clear" w:fill="FFFFFF"/>
              </w:rPr>
            </w:pPr>
            <w:r>
              <w:rPr>
                <w:rFonts w:hint="eastAsia" w:ascii="宋体" w:hAnsi="宋体" w:eastAsia="宋体" w:cs="宋体"/>
                <w:spacing w:val="-2"/>
                <w:sz w:val="24"/>
                <w:szCs w:val="24"/>
                <w:lang w:eastAsia="zh-CN"/>
              </w:rPr>
              <w:t>根据《</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瑶海区民政局关于印发</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&lt;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瑶海区购买基本公共养老、青少年服务活动和纾难解困项目指导意见</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&gt;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的通知</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（瑶民（2024）45号）</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及其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补充通知</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要求和实际评估结果支付服务款项。首期款</w:t>
            </w:r>
            <w:r>
              <w:rPr>
                <w:rFonts w:hint="eastAsia" w:ascii="宋体" w:hAnsi="宋体" w:eastAsia="宋体" w:cs="宋体"/>
                <w:spacing w:val="-2"/>
                <w:sz w:val="24"/>
                <w:szCs w:val="24"/>
              </w:rPr>
              <w:t>合同签订后一个月内</w:t>
            </w:r>
            <w:r>
              <w:rPr>
                <w:rFonts w:hint="eastAsia" w:ascii="宋体" w:hAnsi="宋体" w:eastAsia="宋体" w:cs="宋体"/>
                <w:spacing w:val="-2"/>
                <w:sz w:val="24"/>
                <w:szCs w:val="24"/>
                <w:lang w:eastAsia="zh-CN"/>
              </w:rPr>
              <w:t>支</w:t>
            </w:r>
            <w:r>
              <w:rPr>
                <w:rFonts w:hint="eastAsia" w:ascii="宋体" w:hAnsi="宋体" w:eastAsia="宋体" w:cs="宋体"/>
                <w:spacing w:val="-2"/>
                <w:sz w:val="24"/>
                <w:szCs w:val="24"/>
              </w:rPr>
              <w:t>付合同价的40%</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服务期</w:t>
            </w:r>
            <w:r>
              <w:rPr>
                <w:rFonts w:hint="eastAsia" w:ascii="宋体" w:hAnsi="宋体" w:eastAsia="宋体" w:cs="宋体"/>
                <w:spacing w:val="-3"/>
                <w:sz w:val="24"/>
                <w:szCs w:val="24"/>
              </w:rPr>
              <w:t>内中</w:t>
            </w:r>
            <w:r>
              <w:rPr>
                <w:rFonts w:hint="eastAsia" w:ascii="宋体" w:hAnsi="宋体" w:eastAsia="宋体" w:cs="宋体"/>
                <w:spacing w:val="-2"/>
                <w:sz w:val="24"/>
                <w:szCs w:val="24"/>
              </w:rPr>
              <w:t>期评估通过后付合同价</w:t>
            </w:r>
            <w:r>
              <w:rPr>
                <w:rFonts w:hint="eastAsia" w:ascii="宋体" w:hAnsi="宋体" w:eastAsia="宋体" w:cs="宋体"/>
                <w:spacing w:val="-2"/>
                <w:sz w:val="24"/>
                <w:szCs w:val="24"/>
                <w:lang w:eastAsia="zh-CN"/>
              </w:rPr>
              <w:t>的</w:t>
            </w:r>
            <w:r>
              <w:rPr>
                <w:rFonts w:hint="eastAsia" w:ascii="宋体" w:hAnsi="宋体" w:eastAsia="宋体" w:cs="宋体"/>
                <w:spacing w:val="-2"/>
                <w:sz w:val="24"/>
                <w:szCs w:val="24"/>
              </w:rPr>
              <w:t>30%，末期评估通过后付</w:t>
            </w:r>
            <w:r>
              <w:rPr>
                <w:rFonts w:hint="eastAsia" w:ascii="宋体" w:hAnsi="宋体" w:eastAsia="宋体" w:cs="宋体"/>
                <w:spacing w:val="-3"/>
                <w:sz w:val="24"/>
                <w:szCs w:val="24"/>
              </w:rPr>
              <w:t>合同价</w:t>
            </w:r>
            <w:r>
              <w:rPr>
                <w:rFonts w:hint="eastAsia" w:ascii="宋体" w:hAnsi="宋体" w:eastAsia="宋体" w:cs="宋体"/>
                <w:spacing w:val="-3"/>
                <w:sz w:val="24"/>
                <w:szCs w:val="24"/>
                <w:lang w:eastAsia="zh-CN"/>
              </w:rPr>
              <w:t>的</w:t>
            </w:r>
            <w:r>
              <w:rPr>
                <w:rFonts w:hint="eastAsia" w:ascii="宋体" w:hAnsi="宋体" w:eastAsia="宋体" w:cs="宋体"/>
                <w:spacing w:val="-48"/>
                <w:sz w:val="24"/>
                <w:szCs w:val="24"/>
              </w:rPr>
              <w:t>3</w:t>
            </w:r>
            <w:r>
              <w:rPr>
                <w:rFonts w:hint="eastAsia" w:ascii="宋体" w:hAnsi="宋体" w:eastAsia="宋体" w:cs="宋体"/>
                <w:spacing w:val="-3"/>
                <w:sz w:val="24"/>
                <w:szCs w:val="24"/>
              </w:rPr>
              <w:t>0%。</w:t>
            </w:r>
            <w:r>
              <w:rPr>
                <w:rFonts w:hint="eastAsia" w:ascii="宋体" w:hAnsi="宋体" w:eastAsia="宋体" w:cs="宋体"/>
                <w:i w:val="0"/>
                <w:iCs w:val="0"/>
                <w:caps w:val="0"/>
                <w:spacing w:val="0"/>
                <w:sz w:val="24"/>
                <w:szCs w:val="24"/>
                <w:shd w:val="clear" w:fill="FFFFFF"/>
              </w:rPr>
              <w:t>评估结果为“合格”的全额拨付阶段款项，评估结果为“基本合格”的，限期一周整改，整改“合格”后拨付该阶段80%款项，整改后仍“不合格”的不予拨付该阶段款项；评估结果为“不合格”，不予拨付该阶段项目款项。连续两次评估中出现“不合格”情况，则立即中止服务，并取消供应商资格，且该供应商连续三年内不得再承接我街道民政服务领域项目。</w:t>
            </w:r>
          </w:p>
        </w:tc>
      </w:tr>
      <w:tr w14:paraId="6B694C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49"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7A1058A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75"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8"/>
                <w:szCs w:val="28"/>
              </w:rPr>
              <w:t>2</w:t>
            </w:r>
          </w:p>
        </w:tc>
        <w:tc>
          <w:tcPr>
            <w:tcW w:w="1581"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5502A4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36"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3"/>
                <w:sz w:val="28"/>
                <w:szCs w:val="28"/>
              </w:rPr>
              <w:t>服务地点</w:t>
            </w:r>
          </w:p>
        </w:tc>
        <w:tc>
          <w:tcPr>
            <w:tcW w:w="6489"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58A092C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136" w:beforeAutospacing="0" w:after="0" w:afterAutospacing="0" w:line="240" w:lineRule="atLeast"/>
              <w:ind w:left="102" w:leftChars="0" w:right="0"/>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瑶海区</w:t>
            </w:r>
            <w:r>
              <w:rPr>
                <w:rFonts w:hint="eastAsia" w:ascii="宋体" w:hAnsi="宋体" w:eastAsia="宋体" w:cs="宋体"/>
                <w:spacing w:val="-1"/>
                <w:sz w:val="24"/>
                <w:szCs w:val="24"/>
                <w:lang w:eastAsia="zh-CN"/>
              </w:rPr>
              <w:t>城东</w:t>
            </w:r>
            <w:r>
              <w:rPr>
                <w:rFonts w:hint="eastAsia" w:ascii="宋体" w:hAnsi="宋体" w:eastAsia="宋体" w:cs="宋体"/>
                <w:spacing w:val="-1"/>
                <w:sz w:val="24"/>
                <w:szCs w:val="24"/>
              </w:rPr>
              <w:t>街道（采购人指定地点）</w:t>
            </w:r>
          </w:p>
        </w:tc>
      </w:tr>
      <w:tr w14:paraId="632B6D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31"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E34818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21" w:beforeAutospacing="0" w:after="0" w:afterAutospacing="0" w:line="21" w:lineRule="atLeast"/>
              <w:ind w:left="112" w:right="108" w:firstLine="2"/>
              <w:jc w:val="center"/>
              <w:rPr>
                <w:rFonts w:hint="eastAsia" w:ascii="宋体" w:hAnsi="宋体" w:eastAsia="宋体" w:cs="宋体"/>
                <w:sz w:val="24"/>
                <w:szCs w:val="24"/>
              </w:rPr>
            </w:pPr>
            <w:r>
              <w:rPr>
                <w:rFonts w:hint="eastAsia" w:ascii="宋体" w:hAnsi="宋体" w:eastAsia="宋体" w:cs="宋体"/>
                <w:spacing w:val="-10"/>
                <w:sz w:val="28"/>
                <w:szCs w:val="28"/>
              </w:rPr>
              <w:t>3</w:t>
            </w:r>
          </w:p>
        </w:tc>
        <w:tc>
          <w:tcPr>
            <w:tcW w:w="1581"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E91DD1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21" w:beforeAutospacing="0" w:after="0" w:afterAutospacing="0" w:line="21" w:lineRule="atLeast"/>
              <w:ind w:left="112" w:right="108" w:firstLine="2"/>
              <w:jc w:val="center"/>
              <w:rPr>
                <w:rFonts w:hint="eastAsia" w:ascii="宋体" w:hAnsi="宋体" w:eastAsia="宋体" w:cs="宋体"/>
                <w:sz w:val="24"/>
                <w:szCs w:val="24"/>
              </w:rPr>
            </w:pPr>
            <w:r>
              <w:rPr>
                <w:rFonts w:hint="eastAsia" w:ascii="宋体" w:hAnsi="宋体" w:eastAsia="宋体" w:cs="宋体"/>
                <w:spacing w:val="-10"/>
                <w:sz w:val="28"/>
                <w:szCs w:val="28"/>
              </w:rPr>
              <w:t>服务期限</w:t>
            </w:r>
          </w:p>
        </w:tc>
        <w:tc>
          <w:tcPr>
            <w:tcW w:w="6489"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252640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1" w:beforeAutospacing="0" w:after="0" w:afterAutospacing="0" w:line="520" w:lineRule="atLeast"/>
              <w:ind w:left="113" w:right="108" w:firstLine="440" w:firstLineChars="200"/>
              <w:jc w:val="both"/>
              <w:textAlignment w:val="auto"/>
              <w:rPr>
                <w:rFonts w:hint="eastAsia" w:ascii="宋体" w:hAnsi="宋体" w:eastAsia="宋体" w:cs="宋体"/>
                <w:sz w:val="24"/>
                <w:szCs w:val="24"/>
              </w:rPr>
            </w:pPr>
            <w:r>
              <w:rPr>
                <w:rFonts w:hint="eastAsia" w:ascii="宋体" w:hAnsi="宋体" w:eastAsia="宋体" w:cs="宋体"/>
                <w:spacing w:val="-10"/>
                <w:sz w:val="24"/>
                <w:szCs w:val="24"/>
              </w:rPr>
              <w:t>本次合同服务期限一年。如合同履约情况良好，经</w:t>
            </w:r>
            <w:r>
              <w:rPr>
                <w:rFonts w:hint="eastAsia" w:ascii="宋体" w:hAnsi="宋体" w:eastAsia="宋体" w:cs="宋体"/>
                <w:spacing w:val="-1"/>
                <w:sz w:val="24"/>
                <w:szCs w:val="24"/>
              </w:rPr>
              <w:t>采购人考核合格，在保持总费用不变，年度预算能保障的前提下，经采购人和中标人双方同意，可续</w:t>
            </w:r>
            <w:r>
              <w:rPr>
                <w:rFonts w:hint="eastAsia" w:ascii="宋体" w:hAnsi="宋体" w:eastAsia="宋体" w:cs="宋体"/>
                <w:spacing w:val="-2"/>
                <w:sz w:val="24"/>
                <w:szCs w:val="24"/>
              </w:rPr>
              <w:t>签下一年合同，合同一年一签，最多续签2年</w:t>
            </w:r>
            <w:r>
              <w:rPr>
                <w:rFonts w:hint="eastAsia" w:ascii="宋体" w:hAnsi="宋体" w:eastAsia="宋体" w:cs="宋体"/>
                <w:spacing w:val="-3"/>
                <w:sz w:val="24"/>
                <w:szCs w:val="24"/>
              </w:rPr>
              <w:t>。采</w:t>
            </w:r>
            <w:r>
              <w:rPr>
                <w:rFonts w:hint="eastAsia" w:ascii="宋体" w:hAnsi="宋体" w:eastAsia="宋体" w:cs="宋体"/>
                <w:spacing w:val="-1"/>
                <w:sz w:val="24"/>
                <w:szCs w:val="24"/>
              </w:rPr>
              <w:t>购人与中标人有任何一方不同意续签，合同不予续</w:t>
            </w:r>
            <w:r>
              <w:rPr>
                <w:rFonts w:hint="eastAsia" w:ascii="宋体" w:hAnsi="宋体" w:eastAsia="宋体" w:cs="宋体"/>
                <w:spacing w:val="-11"/>
                <w:sz w:val="24"/>
                <w:szCs w:val="24"/>
              </w:rPr>
              <w:t>签。</w:t>
            </w:r>
          </w:p>
        </w:tc>
      </w:tr>
    </w:tbl>
    <w:p w14:paraId="4FEEF89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rPr>
        <w:t> </w:t>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w:t>
      </w:r>
    </w:p>
    <w:p w14:paraId="052171B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firstLine="627" w:firstLineChars="200"/>
        <w:jc w:val="both"/>
        <w:textAlignment w:val="baseline"/>
        <w:rPr>
          <w:rFonts w:hint="eastAsia"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333333"/>
          <w:spacing w:val="-4"/>
          <w:sz w:val="32"/>
          <w:szCs w:val="32"/>
          <w:shd w:val="clear" w:fill="FFFFFF"/>
          <w:vertAlign w:val="baseline"/>
        </w:rPr>
        <w:t>二、项目概况</w:t>
      </w:r>
    </w:p>
    <w:p w14:paraId="5520EAC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52"/>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2"/>
          <w:sz w:val="28"/>
          <w:szCs w:val="28"/>
          <w:shd w:val="clear" w:fill="FFFFFF"/>
          <w:vertAlign w:val="baseline"/>
        </w:rPr>
        <w:t>1.根据市民政局、市财政局《关于印发合肥市政府购买社区基本公共养老、青少年活动服务实施办法的通知》（合民[2021]86号）、《关于印发&lt;合肥市纾难解困服务提升暨品牌创建在百街（镇）行动实施方案&gt;的通知》（合民社[2020]5号）、《安徽省民政厅关于推进“物质+服务”多元化社会救助建设的实施方案（征求意见稿）》、合肥市瑶海区民政局关于印发《瑶海区购买基本公共养老、青少年服务活动和纾难解困项目指导意见》的通知（瑶民[2024]45号）及其补充通知等相关文件精神要求，为进一步推动瑶海区基本公共养老、青少年和纾难解困服务工作开展，充分整合养老服务、青少年服务和纾难解困工作资金，提高服务资金使用效能，提高工作质效，有效发挥专业社会力量在推动公共服务、改善社会治理方面的作用，打造瑶海区</w:t>
      </w:r>
      <w:r>
        <w:rPr>
          <w:rFonts w:hint="eastAsia" w:ascii="仿宋" w:hAnsi="仿宋" w:eastAsia="仿宋" w:cs="仿宋"/>
          <w:i w:val="0"/>
          <w:iCs w:val="0"/>
          <w:caps w:val="0"/>
          <w:color w:val="333333"/>
          <w:spacing w:val="-2"/>
          <w:sz w:val="28"/>
          <w:szCs w:val="28"/>
          <w:shd w:val="clear" w:fill="FFFFFF"/>
          <w:vertAlign w:val="baseline"/>
          <w:lang w:eastAsia="zh-CN"/>
        </w:rPr>
        <w:t>城东街道</w:t>
      </w:r>
      <w:r>
        <w:rPr>
          <w:rFonts w:hint="eastAsia" w:ascii="仿宋" w:hAnsi="仿宋" w:eastAsia="仿宋" w:cs="仿宋"/>
          <w:i w:val="0"/>
          <w:iCs w:val="0"/>
          <w:caps w:val="0"/>
          <w:color w:val="333333"/>
          <w:spacing w:val="-2"/>
          <w:sz w:val="28"/>
          <w:szCs w:val="28"/>
          <w:shd w:val="clear" w:fill="FFFFFF"/>
          <w:vertAlign w:val="baseline"/>
        </w:rPr>
        <w:t>养老、青少年和纾难解困服务品牌，实现养老服务、青少年服务和纾难解困专业化发展。合肥市瑶海区</w:t>
      </w:r>
      <w:r>
        <w:rPr>
          <w:rFonts w:hint="eastAsia" w:ascii="仿宋" w:hAnsi="仿宋" w:eastAsia="仿宋" w:cs="仿宋"/>
          <w:i w:val="0"/>
          <w:iCs w:val="0"/>
          <w:caps w:val="0"/>
          <w:color w:val="333333"/>
          <w:spacing w:val="-2"/>
          <w:sz w:val="28"/>
          <w:szCs w:val="28"/>
          <w:shd w:val="clear" w:fill="FFFFFF"/>
          <w:vertAlign w:val="baseline"/>
          <w:lang w:eastAsia="zh-CN"/>
        </w:rPr>
        <w:t>城东街道</w:t>
      </w:r>
      <w:r>
        <w:rPr>
          <w:rFonts w:hint="eastAsia" w:ascii="仿宋" w:hAnsi="仿宋" w:eastAsia="仿宋" w:cs="仿宋"/>
          <w:i w:val="0"/>
          <w:iCs w:val="0"/>
          <w:caps w:val="0"/>
          <w:color w:val="333333"/>
          <w:spacing w:val="-2"/>
          <w:sz w:val="28"/>
          <w:szCs w:val="28"/>
          <w:shd w:val="clear" w:fill="FFFFFF"/>
          <w:vertAlign w:val="baseline"/>
        </w:rPr>
        <w:t>拟通过</w:t>
      </w:r>
      <w:r>
        <w:rPr>
          <w:rFonts w:hint="eastAsia" w:ascii="仿宋" w:hAnsi="仿宋" w:eastAsia="仿宋" w:cs="仿宋"/>
          <w:i w:val="0"/>
          <w:iCs w:val="0"/>
          <w:caps w:val="0"/>
          <w:color w:val="333333"/>
          <w:spacing w:val="-2"/>
          <w:sz w:val="28"/>
          <w:szCs w:val="28"/>
          <w:shd w:val="clear" w:fill="FFFFFF"/>
          <w:vertAlign w:val="baseline"/>
          <w:lang w:eastAsia="zh-CN"/>
        </w:rPr>
        <w:t>议</w:t>
      </w:r>
      <w:r>
        <w:rPr>
          <w:rFonts w:hint="eastAsia" w:ascii="仿宋" w:hAnsi="仿宋" w:eastAsia="仿宋" w:cs="仿宋"/>
          <w:i w:val="0"/>
          <w:iCs w:val="0"/>
          <w:caps w:val="0"/>
          <w:color w:val="333333"/>
          <w:spacing w:val="-2"/>
          <w:sz w:val="28"/>
          <w:szCs w:val="28"/>
          <w:shd w:val="clear" w:fill="FFFFFF"/>
          <w:vertAlign w:val="baseline"/>
        </w:rPr>
        <w:t>标方式采购1家服务单位，承接</w:t>
      </w:r>
      <w:r>
        <w:rPr>
          <w:rFonts w:hint="eastAsia" w:ascii="仿宋" w:hAnsi="仿宋" w:eastAsia="仿宋" w:cs="仿宋"/>
          <w:i w:val="0"/>
          <w:iCs w:val="0"/>
          <w:caps w:val="0"/>
          <w:color w:val="333333"/>
          <w:spacing w:val="-2"/>
          <w:sz w:val="28"/>
          <w:szCs w:val="28"/>
          <w:shd w:val="clear" w:fill="FFFFFF"/>
          <w:vertAlign w:val="baseline"/>
          <w:lang w:eastAsia="zh-CN"/>
        </w:rPr>
        <w:t>城东街道</w:t>
      </w:r>
      <w:r>
        <w:rPr>
          <w:rFonts w:hint="eastAsia" w:ascii="仿宋" w:hAnsi="仿宋" w:eastAsia="仿宋" w:cs="仿宋"/>
          <w:i w:val="0"/>
          <w:iCs w:val="0"/>
          <w:caps w:val="0"/>
          <w:color w:val="333333"/>
          <w:spacing w:val="-2"/>
          <w:sz w:val="28"/>
          <w:szCs w:val="28"/>
          <w:shd w:val="clear" w:fill="FFFFFF"/>
          <w:vertAlign w:val="baseline"/>
        </w:rPr>
        <w:t>2025年度基本公共养老服务、青少年活动和纾难解困服务项目。</w:t>
      </w:r>
    </w:p>
    <w:p w14:paraId="4D88B1A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52"/>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2"/>
          <w:sz w:val="28"/>
          <w:szCs w:val="28"/>
          <w:shd w:val="clear" w:fill="FFFFFF"/>
          <w:vertAlign w:val="baseline"/>
        </w:rPr>
        <w:t>2.采购方购买资金来源瑶海区基本公共养老、青少年服务活动项目资金和瑶海区纾难解困专项资金，本项目采取定价招标，定价金额为</w:t>
      </w:r>
      <w:r>
        <w:rPr>
          <w:rFonts w:hint="eastAsia" w:ascii="仿宋" w:hAnsi="仿宋" w:eastAsia="仿宋" w:cs="仿宋"/>
          <w:i w:val="0"/>
          <w:iCs w:val="0"/>
          <w:caps w:val="0"/>
          <w:color w:val="333333"/>
          <w:spacing w:val="-2"/>
          <w:sz w:val="28"/>
          <w:szCs w:val="28"/>
          <w:shd w:val="clear" w:fill="FFFFFF"/>
          <w:vertAlign w:val="baseline"/>
          <w:lang w:val="en-US" w:eastAsia="zh-CN"/>
        </w:rPr>
        <w:t>18</w:t>
      </w:r>
      <w:r>
        <w:rPr>
          <w:rFonts w:hint="eastAsia" w:ascii="仿宋" w:hAnsi="仿宋" w:eastAsia="仿宋" w:cs="仿宋"/>
          <w:i w:val="0"/>
          <w:iCs w:val="0"/>
          <w:caps w:val="0"/>
          <w:color w:val="333333"/>
          <w:spacing w:val="-2"/>
          <w:sz w:val="28"/>
          <w:szCs w:val="28"/>
          <w:shd w:val="clear" w:fill="FFFFFF"/>
          <w:vertAlign w:val="baseline"/>
        </w:rPr>
        <w:t xml:space="preserve"> 万元/年。项目资金使用组成包括但不仅限于人员工资、社保、公积金、绩效资金、项目活动资金、项目管理费用、微公益创投项目资金、培训费、税金、利润等为完成项目发生的一切费用。</w:t>
      </w:r>
    </w:p>
    <w:p w14:paraId="2058ABC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52"/>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2"/>
          <w:sz w:val="28"/>
          <w:szCs w:val="28"/>
          <w:shd w:val="clear" w:fill="FFFFFF"/>
          <w:vertAlign w:val="baseline"/>
        </w:rPr>
        <w:t>3.本项目服务对象为瑶海区</w:t>
      </w:r>
      <w:r>
        <w:rPr>
          <w:rFonts w:hint="eastAsia" w:ascii="仿宋" w:hAnsi="仿宋" w:eastAsia="仿宋" w:cs="仿宋"/>
          <w:i w:val="0"/>
          <w:iCs w:val="0"/>
          <w:caps w:val="0"/>
          <w:color w:val="333333"/>
          <w:spacing w:val="-2"/>
          <w:sz w:val="28"/>
          <w:szCs w:val="28"/>
          <w:shd w:val="clear" w:fill="FFFFFF"/>
          <w:vertAlign w:val="baseline"/>
          <w:lang w:eastAsia="zh-CN"/>
        </w:rPr>
        <w:t>城东街道</w:t>
      </w:r>
      <w:r>
        <w:rPr>
          <w:rFonts w:hint="eastAsia" w:ascii="仿宋" w:hAnsi="仿宋" w:eastAsia="仿宋" w:cs="仿宋"/>
          <w:i w:val="0"/>
          <w:iCs w:val="0"/>
          <w:caps w:val="0"/>
          <w:color w:val="333333"/>
          <w:spacing w:val="-2"/>
          <w:sz w:val="28"/>
          <w:szCs w:val="28"/>
          <w:shd w:val="clear" w:fill="FFFFFF"/>
          <w:vertAlign w:val="baseline"/>
        </w:rPr>
        <w:t>范围内老年人、青少年、低收入群体及其他接受公益性服务的居民。</w:t>
      </w:r>
    </w:p>
    <w:p w14:paraId="6AB2ADA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52"/>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2"/>
          <w:sz w:val="28"/>
          <w:szCs w:val="28"/>
          <w:shd w:val="clear" w:fill="FFFFFF"/>
          <w:vertAlign w:val="baseline"/>
        </w:rPr>
        <w:t>4.通过招标，中标方向采购方派驻两类人员：一是项目负责人1人，作为街道级项目主管；二是项目驻点社工不少于2人。其中，项目人员资金主要包含项目工作人员工资、社保、公积金和绩效奖金，不得低于总资金的60%，绩效资金不得高于总资金的5%。项目活动资金主要包含项目实施过程中产生的文印费用、物资费用、宣传费用等，不得超过总资金的15%。微公益创投项目资金主要包含支持微公益创投项目实施过程经费，不得低于总资金的10%。项目管理费用包含督导人员工资、人事和财务均摊费用和其他用于办公管理费用等，不得超过总资金的15%。中标单位要采用需求调查、方案设计、活动开展、服务提供、培训孵化、志愿者组织管理等专业社会工作方法，健全社区服务体系，利用社区服务设施提高社区社会服务质量和水平，不断提升居民的归属感、幸福感和满意度，全面推动辖区社区养老、青少年活动、纾难解困等综合社会服务体系建设发展。</w:t>
      </w:r>
    </w:p>
    <w:p w14:paraId="47059B0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46"/>
        <w:jc w:val="both"/>
        <w:textAlignment w:val="baseline"/>
        <w:rPr>
          <w:rFonts w:hint="eastAsia" w:ascii="宋体" w:hAnsi="宋体" w:eastAsia="宋体" w:cs="宋体"/>
          <w:b/>
          <w:bCs/>
          <w:i w:val="0"/>
          <w:iCs w:val="0"/>
          <w:caps w:val="0"/>
          <w:color w:val="333333"/>
          <w:spacing w:val="-4"/>
          <w:sz w:val="32"/>
          <w:szCs w:val="32"/>
          <w:shd w:val="clear" w:fill="FFFFFF"/>
          <w:vertAlign w:val="baseline"/>
        </w:rPr>
      </w:pPr>
      <w:r>
        <w:rPr>
          <w:rFonts w:hint="eastAsia" w:ascii="宋体" w:hAnsi="宋体" w:eastAsia="宋体" w:cs="宋体"/>
          <w:b/>
          <w:bCs/>
          <w:i w:val="0"/>
          <w:iCs w:val="0"/>
          <w:caps w:val="0"/>
          <w:color w:val="333333"/>
          <w:spacing w:val="-4"/>
          <w:sz w:val="32"/>
          <w:szCs w:val="32"/>
          <w:shd w:val="clear" w:fill="FFFFFF"/>
          <w:vertAlign w:val="baseline"/>
        </w:rPr>
        <w:t>三、服务需求</w:t>
      </w:r>
    </w:p>
    <w:p w14:paraId="0EB95CE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46"/>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4"/>
          <w:sz w:val="28"/>
          <w:szCs w:val="28"/>
          <w:shd w:val="clear" w:fill="FFFFFF"/>
          <w:vertAlign w:val="baseline"/>
        </w:rPr>
        <w:t>（一）基本公共养老服务</w:t>
      </w:r>
    </w:p>
    <w:p w14:paraId="7286C02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52"/>
        <w:jc w:val="both"/>
        <w:textAlignment w:val="baseline"/>
        <w:rPr>
          <w:rFonts w:hint="eastAsia" w:ascii="仿宋" w:hAnsi="仿宋" w:eastAsia="仿宋" w:cs="仿宋"/>
          <w:i w:val="0"/>
          <w:iCs w:val="0"/>
          <w:caps w:val="0"/>
          <w:color w:val="333333"/>
          <w:spacing w:val="-2"/>
          <w:sz w:val="28"/>
          <w:szCs w:val="28"/>
          <w:shd w:val="clear" w:fill="FFFFFF"/>
          <w:vertAlign w:val="baseline"/>
        </w:rPr>
      </w:pPr>
      <w:r>
        <w:rPr>
          <w:rFonts w:hint="eastAsia" w:ascii="仿宋" w:hAnsi="仿宋" w:eastAsia="仿宋" w:cs="仿宋"/>
          <w:i w:val="0"/>
          <w:iCs w:val="0"/>
          <w:caps w:val="0"/>
          <w:color w:val="333333"/>
          <w:spacing w:val="-2"/>
          <w:sz w:val="28"/>
          <w:szCs w:val="28"/>
          <w:shd w:val="clear" w:fill="FFFFFF"/>
          <w:vertAlign w:val="baseline"/>
        </w:rPr>
        <w:t>一是发动社区和社会力量开展特殊困难老年人探访关爱服务和“邻里守护”关爱活动，每周开展探访关爱不少于一次，实现特殊困难老年人周探访率100％。二是依托访视需求，开展针对性、系统化、可持续的服务项目，包括但不限于文体娱乐、精神慰藉、社会参与、生活照料、医疗保健等常态化服务，各社区每月为老服务不少于2场。三是积极发动社区和社会力量开展老年人信息普查机制，建立和完善辖区老年人群基础数据库，并录入瑶海区智慧养老服务平台，做到动态更新，原则上每月更新一次，完成区民政局年度目标考核任务。同时，做好政府购买居家养老服务、高龄津贴、老年助餐行动等政策宣传及信息核查、服务监督、问卷调查、跟踪回访、满意度测评、投诉处理、服务对象信息管理等。   </w:t>
      </w:r>
    </w:p>
    <w:p w14:paraId="6A212D9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52"/>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4"/>
          <w:sz w:val="28"/>
          <w:szCs w:val="28"/>
          <w:shd w:val="clear" w:fill="FFFFFF"/>
          <w:vertAlign w:val="baseline"/>
        </w:rPr>
        <w:t>（二）青少年服务</w:t>
      </w:r>
    </w:p>
    <w:p w14:paraId="5F9EC14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52"/>
        <w:jc w:val="both"/>
        <w:textAlignment w:val="baseline"/>
        <w:rPr>
          <w:rFonts w:hint="eastAsia" w:ascii="仿宋" w:hAnsi="仿宋" w:eastAsia="仿宋" w:cs="仿宋"/>
          <w:i w:val="0"/>
          <w:iCs w:val="0"/>
          <w:caps w:val="0"/>
          <w:color w:val="333333"/>
          <w:spacing w:val="-2"/>
          <w:sz w:val="28"/>
          <w:szCs w:val="28"/>
          <w:shd w:val="clear" w:fill="FFFFFF"/>
          <w:vertAlign w:val="baseline"/>
        </w:rPr>
      </w:pPr>
      <w:r>
        <w:rPr>
          <w:rFonts w:hint="eastAsia" w:ascii="仿宋" w:hAnsi="仿宋" w:eastAsia="仿宋" w:cs="仿宋"/>
          <w:i w:val="0"/>
          <w:iCs w:val="0"/>
          <w:caps w:val="0"/>
          <w:color w:val="333333"/>
          <w:spacing w:val="-2"/>
          <w:sz w:val="28"/>
          <w:szCs w:val="28"/>
          <w:shd w:val="clear" w:fill="FFFFFF"/>
          <w:vertAlign w:val="baseline"/>
        </w:rPr>
        <w:t>青少年服务以社区未成年人为服务对象，运用社会工作专业工作方法，开展青少年服务，主要包括但不限于课业辅导、兴趣培养、“五小”活动（小发明、小创造、小设计、小论文、小建议）、绘本阅读、经典诵读、素质课程、亲子教育、社区影院、书报阅读（读书会）、文体康乐、青少年辅助教育、兴趣培养及其他培训、咨询、教育等，做到服务精准、人群区分、成效显著，各社区每月不少于2场，每社区服务人次不低于50人次每月。</w:t>
      </w:r>
    </w:p>
    <w:p w14:paraId="655B226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52"/>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4"/>
          <w:sz w:val="28"/>
          <w:szCs w:val="28"/>
          <w:shd w:val="clear" w:fill="FFFFFF"/>
          <w:vertAlign w:val="baseline"/>
        </w:rPr>
        <w:t>（三）纾难解困服务</w:t>
      </w:r>
    </w:p>
    <w:p w14:paraId="0882221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52"/>
        <w:jc w:val="both"/>
        <w:textAlignment w:val="baseline"/>
        <w:rPr>
          <w:rFonts w:hint="eastAsia" w:ascii="仿宋" w:hAnsi="仿宋" w:eastAsia="仿宋" w:cs="仿宋"/>
          <w:i w:val="0"/>
          <w:iCs w:val="0"/>
          <w:caps w:val="0"/>
          <w:color w:val="333333"/>
          <w:spacing w:val="-2"/>
          <w:sz w:val="28"/>
          <w:szCs w:val="28"/>
          <w:shd w:val="clear" w:fill="FFFFFF"/>
          <w:vertAlign w:val="baseline"/>
        </w:rPr>
      </w:pPr>
      <w:r>
        <w:rPr>
          <w:rFonts w:hint="eastAsia" w:ascii="仿宋" w:hAnsi="仿宋" w:eastAsia="仿宋" w:cs="仿宋"/>
          <w:i w:val="0"/>
          <w:iCs w:val="0"/>
          <w:caps w:val="0"/>
          <w:color w:val="333333"/>
          <w:spacing w:val="-2"/>
          <w:sz w:val="28"/>
          <w:szCs w:val="28"/>
          <w:shd w:val="clear" w:fill="FFFFFF"/>
          <w:vertAlign w:val="baseline"/>
        </w:rPr>
        <w:t>一是服务对象以低保对象、特困人员、低保边缘户、支出型困难人口、困难老职工等低收入群体为主，完善服务档案，建立一户一档工作资料，深入了解服务对象问题及需求，建立分层分类帮扶工作机制，常态化开展探访慰问。二是依托访视需求，开展有针对性、系统化、可持续的服务救助，包括但不限于生活类(探访慰问、帮办代办、居所清洁等)、照护类(送医陪护、陪同康复训练等)、支持类(心理疏导、社会融入、能力提升等)、资源链接类(依程序转介给其他部门、公益组织提供相关救助)四大类服务救助。三是在街道党工委、办事处支持下，积极链接社会资源，开展帮扶服务。每社区每月开展帮扶服务活动不少于2次，服务对象月覆盖率不低于8%。</w:t>
      </w:r>
    </w:p>
    <w:p w14:paraId="0064EE9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52"/>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4"/>
          <w:sz w:val="28"/>
          <w:szCs w:val="28"/>
          <w:shd w:val="clear" w:fill="FFFFFF"/>
          <w:vertAlign w:val="baseline"/>
        </w:rPr>
        <w:t>（四）加强民政服务阵地建设</w:t>
      </w:r>
    </w:p>
    <w:p w14:paraId="1732EEC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52"/>
        <w:jc w:val="both"/>
        <w:textAlignment w:val="baseline"/>
        <w:rPr>
          <w:rFonts w:hint="eastAsia" w:ascii="仿宋" w:hAnsi="仿宋" w:eastAsia="仿宋" w:cs="仿宋"/>
          <w:i w:val="0"/>
          <w:iCs w:val="0"/>
          <w:caps w:val="0"/>
          <w:color w:val="333333"/>
          <w:spacing w:val="-2"/>
          <w:sz w:val="28"/>
          <w:szCs w:val="28"/>
          <w:shd w:val="clear" w:fill="FFFFFF"/>
          <w:vertAlign w:val="baseline"/>
        </w:rPr>
      </w:pPr>
      <w:r>
        <w:rPr>
          <w:rFonts w:hint="eastAsia" w:ascii="仿宋" w:hAnsi="仿宋" w:eastAsia="仿宋" w:cs="仿宋"/>
          <w:i w:val="0"/>
          <w:iCs w:val="0"/>
          <w:caps w:val="0"/>
          <w:color w:val="333333"/>
          <w:spacing w:val="-2"/>
          <w:sz w:val="28"/>
          <w:szCs w:val="28"/>
          <w:shd w:val="clear" w:fill="FFFFFF"/>
          <w:vertAlign w:val="baseline"/>
        </w:rPr>
        <w:t>以服务项目为抓手，利用居家养老服务站、未成年人保护工作站等服务场地，链接社会资源开展服务活动，以满足群众文化服务需求，各社区每月依托服务场地开展各项活动不少于2次。</w:t>
      </w:r>
    </w:p>
    <w:p w14:paraId="4E3D544E">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52"/>
        <w:jc w:val="both"/>
        <w:textAlignment w:val="baseline"/>
        <w:rPr>
          <w:rFonts w:hint="eastAsia" w:ascii="宋体" w:hAnsi="宋体" w:eastAsia="宋体" w:cs="宋体"/>
          <w:b/>
          <w:bCs/>
          <w:i w:val="0"/>
          <w:iCs w:val="0"/>
          <w:caps w:val="0"/>
          <w:color w:val="333333"/>
          <w:spacing w:val="-4"/>
          <w:sz w:val="28"/>
          <w:szCs w:val="28"/>
          <w:shd w:val="clear" w:fill="FFFFFF"/>
          <w:vertAlign w:val="baseline"/>
        </w:rPr>
      </w:pPr>
      <w:r>
        <w:rPr>
          <w:rFonts w:hint="eastAsia" w:ascii="宋体" w:hAnsi="宋体" w:eastAsia="宋体" w:cs="宋体"/>
          <w:b/>
          <w:bCs/>
          <w:i w:val="0"/>
          <w:iCs w:val="0"/>
          <w:caps w:val="0"/>
          <w:color w:val="333333"/>
          <w:spacing w:val="-4"/>
          <w:sz w:val="28"/>
          <w:szCs w:val="28"/>
          <w:shd w:val="clear" w:fill="FFFFFF"/>
          <w:vertAlign w:val="baseline"/>
        </w:rPr>
        <w:t>品牌化建设</w:t>
      </w:r>
    </w:p>
    <w:p w14:paraId="696AF5C1">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rightChars="0" w:firstLine="552" w:firstLineChars="20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2"/>
          <w:sz w:val="28"/>
          <w:szCs w:val="28"/>
          <w:shd w:val="clear" w:fill="FFFFFF"/>
          <w:vertAlign w:val="baseline"/>
        </w:rPr>
        <w:t>一是深入推动基本公共养老服务、青少年服务和纾难解困品牌化建设工作，各属地要围绕养老、青少年和纾难解困等重点工作，明确品牌化建设目标。依托社会资源、社会组织和社区社会组织构建服务体系，提升服务专业化水平。二是在街道统一领导下开展微公益创投工作，引导各类型社区社会组织、居民骨干参与微公益创投项目，充分培育社区社会组织和居民志愿者骨干，各社区支持微公益创投项目立项数量不少于2个。</w:t>
      </w:r>
    </w:p>
    <w:p w14:paraId="74A2AFE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46"/>
        <w:jc w:val="left"/>
        <w:rPr>
          <w:rFonts w:hint="eastAsia" w:ascii="仿宋" w:hAnsi="仿宋" w:eastAsia="仿宋" w:cs="仿宋"/>
          <w:i w:val="0"/>
          <w:iCs w:val="0"/>
          <w:caps w:val="0"/>
          <w:color w:val="333333"/>
          <w:spacing w:val="0"/>
          <w:sz w:val="21"/>
          <w:szCs w:val="21"/>
        </w:rPr>
      </w:pPr>
      <w:r>
        <w:rPr>
          <w:rFonts w:hint="eastAsia" w:ascii="宋体" w:hAnsi="宋体" w:eastAsia="宋体" w:cs="宋体"/>
          <w:b/>
          <w:bCs/>
          <w:i w:val="0"/>
          <w:iCs w:val="0"/>
          <w:caps w:val="0"/>
          <w:color w:val="333333"/>
          <w:spacing w:val="-4"/>
          <w:sz w:val="28"/>
          <w:szCs w:val="28"/>
          <w:shd w:val="clear" w:fill="FFFFFF"/>
        </w:rPr>
        <w:t>（六）其他  </w:t>
      </w:r>
      <w:r>
        <w:rPr>
          <w:rFonts w:hint="eastAsia" w:ascii="宋体" w:hAnsi="宋体" w:eastAsia="宋体" w:cs="宋体"/>
          <w:i w:val="0"/>
          <w:iCs w:val="0"/>
          <w:caps w:val="0"/>
          <w:color w:val="333333"/>
          <w:spacing w:val="-2"/>
          <w:sz w:val="28"/>
          <w:szCs w:val="28"/>
          <w:shd w:val="clear" w:fill="FFFFFF"/>
        </w:rPr>
        <w:t>      </w:t>
      </w:r>
      <w:r>
        <w:rPr>
          <w:rFonts w:hint="eastAsia" w:ascii="仿宋" w:hAnsi="仿宋" w:eastAsia="仿宋" w:cs="仿宋"/>
          <w:i w:val="0"/>
          <w:iCs w:val="0"/>
          <w:caps w:val="0"/>
          <w:color w:val="333333"/>
          <w:spacing w:val="-2"/>
          <w:sz w:val="28"/>
          <w:szCs w:val="28"/>
          <w:shd w:val="clear" w:fill="FFFFFF"/>
        </w:rPr>
        <w:t>                                   </w:t>
      </w:r>
    </w:p>
    <w:p w14:paraId="614F489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52"/>
        <w:jc w:val="both"/>
        <w:textAlignment w:val="baseline"/>
        <w:rPr>
          <w:rFonts w:hint="eastAsia" w:ascii="仿宋" w:hAnsi="仿宋" w:eastAsia="仿宋" w:cs="仿宋"/>
          <w:i w:val="0"/>
          <w:iCs w:val="0"/>
          <w:caps w:val="0"/>
          <w:color w:val="333333"/>
          <w:spacing w:val="-2"/>
          <w:sz w:val="28"/>
          <w:szCs w:val="28"/>
          <w:shd w:val="clear" w:fill="FFFFFF"/>
          <w:vertAlign w:val="baseline"/>
        </w:rPr>
      </w:pPr>
      <w:r>
        <w:rPr>
          <w:rFonts w:hint="eastAsia" w:ascii="仿宋" w:hAnsi="仿宋" w:eastAsia="仿宋" w:cs="仿宋"/>
          <w:i w:val="0"/>
          <w:iCs w:val="0"/>
          <w:caps w:val="0"/>
          <w:color w:val="333333"/>
          <w:spacing w:val="-2"/>
          <w:sz w:val="28"/>
          <w:szCs w:val="28"/>
          <w:shd w:val="clear" w:fill="FFFFFF"/>
          <w:vertAlign w:val="baseline"/>
        </w:rPr>
        <w:t>在实际操作中，须结合上述五个项目内容，备存规范的服务记录，按时上报各种资料、表册，接受区民政局、</w:t>
      </w:r>
      <w:r>
        <w:rPr>
          <w:rFonts w:hint="eastAsia" w:ascii="仿宋" w:hAnsi="仿宋" w:eastAsia="仿宋" w:cs="仿宋"/>
          <w:i w:val="0"/>
          <w:iCs w:val="0"/>
          <w:caps w:val="0"/>
          <w:color w:val="333333"/>
          <w:spacing w:val="-2"/>
          <w:sz w:val="28"/>
          <w:szCs w:val="28"/>
          <w:shd w:val="clear" w:fill="FFFFFF"/>
          <w:vertAlign w:val="baseline"/>
          <w:lang w:eastAsia="zh-CN"/>
        </w:rPr>
        <w:t>城东街道</w:t>
      </w:r>
      <w:r>
        <w:rPr>
          <w:rFonts w:hint="eastAsia" w:ascii="仿宋" w:hAnsi="仿宋" w:eastAsia="仿宋" w:cs="仿宋"/>
          <w:i w:val="0"/>
          <w:iCs w:val="0"/>
          <w:caps w:val="0"/>
          <w:color w:val="333333"/>
          <w:spacing w:val="-2"/>
          <w:sz w:val="28"/>
          <w:szCs w:val="28"/>
          <w:shd w:val="clear" w:fill="FFFFFF"/>
          <w:vertAlign w:val="baseline"/>
        </w:rPr>
        <w:t>及社区的指导和监督。服从街道其他工作安排，在完成以上工作的前提下协助完成其他交办的工作。</w:t>
      </w:r>
    </w:p>
    <w:p w14:paraId="6A76039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46"/>
        <w:jc w:val="both"/>
        <w:rPr>
          <w:rFonts w:hint="eastAsia"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333333"/>
          <w:spacing w:val="-4"/>
          <w:sz w:val="32"/>
          <w:szCs w:val="32"/>
          <w:shd w:val="clear" w:fill="FFFFFF"/>
        </w:rPr>
        <w:t>四、岗位要求</w:t>
      </w:r>
    </w:p>
    <w:p w14:paraId="7FDF4FF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52"/>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2"/>
          <w:sz w:val="28"/>
          <w:szCs w:val="28"/>
          <w:shd w:val="clear" w:fill="FFFFFF"/>
          <w:vertAlign w:val="baseline"/>
        </w:rPr>
        <w:t>本项目配备工作人员应有尊老爱老敬老美德，品行端正，身体健康，具有一定的社区服务经验，向采购方派驻两类人员：一是</w:t>
      </w:r>
      <w:r>
        <w:rPr>
          <w:rFonts w:hint="eastAsia" w:ascii="仿宋" w:hAnsi="仿宋" w:eastAsia="仿宋" w:cs="仿宋"/>
          <w:i w:val="0"/>
          <w:iCs w:val="0"/>
          <w:caps w:val="0"/>
          <w:color w:val="333333"/>
          <w:spacing w:val="-2"/>
          <w:sz w:val="28"/>
          <w:szCs w:val="28"/>
          <w:shd w:val="clear" w:fill="FFFFFF"/>
          <w:vertAlign w:val="baseline"/>
          <w:lang w:val="en-US" w:eastAsia="zh-CN"/>
        </w:rPr>
        <w:t>1</w:t>
      </w:r>
      <w:r>
        <w:rPr>
          <w:rFonts w:hint="eastAsia" w:ascii="仿宋" w:hAnsi="仿宋" w:eastAsia="仿宋" w:cs="仿宋"/>
          <w:i w:val="0"/>
          <w:iCs w:val="0"/>
          <w:caps w:val="0"/>
          <w:color w:val="333333"/>
          <w:spacing w:val="-2"/>
          <w:sz w:val="28"/>
          <w:szCs w:val="28"/>
          <w:shd w:val="clear" w:fill="FFFFFF"/>
          <w:vertAlign w:val="baseline"/>
        </w:rPr>
        <w:t>名项目主管，项目主管须持有全国中级社会工作职业资格证书，且具有5年以上相关项目管理经验。二是</w:t>
      </w:r>
      <w:r>
        <w:rPr>
          <w:rFonts w:hint="eastAsia" w:ascii="仿宋" w:hAnsi="仿宋" w:eastAsia="仿宋" w:cs="仿宋"/>
          <w:i w:val="0"/>
          <w:iCs w:val="0"/>
          <w:caps w:val="0"/>
          <w:color w:val="333333"/>
          <w:spacing w:val="-2"/>
          <w:sz w:val="28"/>
          <w:szCs w:val="28"/>
          <w:shd w:val="clear" w:fill="FFFFFF"/>
          <w:vertAlign w:val="baseline"/>
          <w:lang w:val="en-US" w:eastAsia="zh-CN"/>
        </w:rPr>
        <w:t>2</w:t>
      </w:r>
      <w:r>
        <w:rPr>
          <w:rFonts w:hint="eastAsia" w:ascii="仿宋" w:hAnsi="仿宋" w:eastAsia="仿宋" w:cs="仿宋"/>
          <w:i w:val="0"/>
          <w:iCs w:val="0"/>
          <w:caps w:val="0"/>
          <w:color w:val="333333"/>
          <w:spacing w:val="-2"/>
          <w:sz w:val="28"/>
          <w:szCs w:val="28"/>
          <w:shd w:val="clear" w:fill="FFFFFF"/>
          <w:vertAlign w:val="baseline"/>
        </w:rPr>
        <w:t>名或以上项目驻点社工，具体情况实际工作量配备，工作人员须具有社会工作、社会学等相关专业大专及以上学历，取得社会工作职业资格证书。所配备的项目驻点社工优先考虑本土社会服务人才。合同期内人员不得随意变动，人员变动前，需提前一个月报街道社会事务</w:t>
      </w:r>
      <w:r>
        <w:rPr>
          <w:rFonts w:hint="eastAsia" w:ascii="仿宋" w:hAnsi="仿宋" w:eastAsia="仿宋" w:cs="仿宋"/>
          <w:i w:val="0"/>
          <w:iCs w:val="0"/>
          <w:caps w:val="0"/>
          <w:color w:val="333333"/>
          <w:spacing w:val="-2"/>
          <w:sz w:val="28"/>
          <w:szCs w:val="28"/>
          <w:shd w:val="clear" w:fill="FFFFFF"/>
          <w:vertAlign w:val="baseline"/>
          <w:lang w:eastAsia="zh-CN"/>
        </w:rPr>
        <w:t>中心</w:t>
      </w:r>
      <w:r>
        <w:rPr>
          <w:rFonts w:hint="eastAsia" w:ascii="仿宋" w:hAnsi="仿宋" w:eastAsia="仿宋" w:cs="仿宋"/>
          <w:i w:val="0"/>
          <w:iCs w:val="0"/>
          <w:caps w:val="0"/>
          <w:color w:val="333333"/>
          <w:spacing w:val="-2"/>
          <w:sz w:val="28"/>
          <w:szCs w:val="28"/>
          <w:shd w:val="clear" w:fill="FFFFFF"/>
          <w:vertAlign w:val="baseline"/>
        </w:rPr>
        <w:t>同意。项目驻点社工纳入社区管理，请假缺勤等需提前向所在社区及街道社会事务</w:t>
      </w:r>
      <w:r>
        <w:rPr>
          <w:rFonts w:hint="eastAsia" w:ascii="仿宋" w:hAnsi="仿宋" w:eastAsia="仿宋" w:cs="仿宋"/>
          <w:i w:val="0"/>
          <w:iCs w:val="0"/>
          <w:caps w:val="0"/>
          <w:color w:val="333333"/>
          <w:spacing w:val="-2"/>
          <w:sz w:val="28"/>
          <w:szCs w:val="28"/>
          <w:shd w:val="clear" w:fill="FFFFFF"/>
          <w:vertAlign w:val="baseline"/>
          <w:lang w:eastAsia="zh-CN"/>
        </w:rPr>
        <w:t>中心</w:t>
      </w:r>
      <w:r>
        <w:rPr>
          <w:rFonts w:hint="eastAsia" w:ascii="仿宋" w:hAnsi="仿宋" w:eastAsia="仿宋" w:cs="仿宋"/>
          <w:i w:val="0"/>
          <w:iCs w:val="0"/>
          <w:caps w:val="0"/>
          <w:color w:val="333333"/>
          <w:spacing w:val="-2"/>
          <w:sz w:val="28"/>
          <w:szCs w:val="28"/>
          <w:shd w:val="clear" w:fill="FFFFFF"/>
          <w:vertAlign w:val="baseline"/>
        </w:rPr>
        <w:t>报备，</w:t>
      </w:r>
      <w:r>
        <w:rPr>
          <w:rFonts w:hint="eastAsia" w:ascii="仿宋" w:hAnsi="仿宋" w:eastAsia="仿宋" w:cs="仿宋"/>
          <w:i w:val="0"/>
          <w:iCs w:val="0"/>
          <w:caps w:val="0"/>
          <w:color w:val="333333"/>
          <w:spacing w:val="-2"/>
          <w:sz w:val="28"/>
          <w:szCs w:val="28"/>
          <w:shd w:val="clear" w:fill="FFFFFF"/>
          <w:vertAlign w:val="baseline"/>
          <w:lang w:val="en-US" w:eastAsia="zh-CN"/>
        </w:rPr>
        <w:t>1</w:t>
      </w:r>
      <w:r>
        <w:rPr>
          <w:rFonts w:hint="eastAsia" w:ascii="仿宋" w:hAnsi="仿宋" w:eastAsia="仿宋" w:cs="仿宋"/>
          <w:i w:val="0"/>
          <w:iCs w:val="0"/>
          <w:caps w:val="0"/>
          <w:color w:val="333333"/>
          <w:spacing w:val="-2"/>
          <w:sz w:val="28"/>
          <w:szCs w:val="28"/>
          <w:shd w:val="clear" w:fill="FFFFFF"/>
          <w:vertAlign w:val="baseline"/>
        </w:rPr>
        <w:t>个月内驻点社工请假不能超过3天。本项目人员配置时，各职位不允许存在相互兼职。采购人将在中标单位进场对以上人员相关证书进行核验，如不满足，采购人将依法追究违约责任。</w:t>
      </w:r>
    </w:p>
    <w:p w14:paraId="3E9D864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46"/>
        <w:jc w:val="both"/>
        <w:textAlignment w:val="baseline"/>
        <w:rPr>
          <w:rFonts w:hint="eastAsia"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333333"/>
          <w:spacing w:val="-4"/>
          <w:sz w:val="32"/>
          <w:szCs w:val="32"/>
          <w:shd w:val="clear" w:fill="FFFFFF"/>
          <w:vertAlign w:val="baseline"/>
        </w:rPr>
        <w:t>五、合同签订</w:t>
      </w:r>
    </w:p>
    <w:p w14:paraId="062E198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52"/>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2"/>
          <w:sz w:val="28"/>
          <w:szCs w:val="28"/>
          <w:shd w:val="clear" w:fill="FFFFFF"/>
          <w:vertAlign w:val="baseline"/>
        </w:rPr>
        <w:t>合同原则上为</w:t>
      </w:r>
      <w:r>
        <w:rPr>
          <w:rFonts w:hint="eastAsia" w:ascii="仿宋" w:hAnsi="仿宋" w:eastAsia="仿宋" w:cs="仿宋"/>
          <w:i w:val="0"/>
          <w:iCs w:val="0"/>
          <w:caps w:val="0"/>
          <w:color w:val="333333"/>
          <w:spacing w:val="-2"/>
          <w:sz w:val="28"/>
          <w:szCs w:val="28"/>
          <w:shd w:val="clear" w:fill="FFFFFF"/>
          <w:vertAlign w:val="baseline"/>
          <w:lang w:val="en-US" w:eastAsia="zh-CN"/>
        </w:rPr>
        <w:t>1</w:t>
      </w:r>
      <w:r>
        <w:rPr>
          <w:rFonts w:hint="eastAsia" w:ascii="仿宋" w:hAnsi="仿宋" w:eastAsia="仿宋" w:cs="仿宋"/>
          <w:i w:val="0"/>
          <w:iCs w:val="0"/>
          <w:caps w:val="0"/>
          <w:color w:val="333333"/>
          <w:spacing w:val="-2"/>
          <w:sz w:val="28"/>
          <w:szCs w:val="28"/>
          <w:shd w:val="clear" w:fill="FFFFFF"/>
          <w:vertAlign w:val="baseline"/>
        </w:rPr>
        <w:t>年一签，为达到项目效果最大化的目标，合同到期后，如合同履约情况良好，中标供应商通过了区民政局及采购人组织的验收考核，且在资金能保障的前提下，经双方协商同意，采购方可以与中标供应商续签合同，连续续签不超过</w:t>
      </w:r>
      <w:r>
        <w:rPr>
          <w:rFonts w:hint="eastAsia" w:ascii="仿宋" w:hAnsi="仿宋" w:eastAsia="仿宋" w:cs="仿宋"/>
          <w:i w:val="0"/>
          <w:iCs w:val="0"/>
          <w:caps w:val="0"/>
          <w:color w:val="333333"/>
          <w:spacing w:val="-2"/>
          <w:sz w:val="28"/>
          <w:szCs w:val="28"/>
          <w:shd w:val="clear" w:fill="FFFFFF"/>
          <w:vertAlign w:val="baseline"/>
          <w:lang w:val="en-US" w:eastAsia="zh-CN"/>
        </w:rPr>
        <w:t>2</w:t>
      </w:r>
      <w:r>
        <w:rPr>
          <w:rFonts w:hint="eastAsia" w:ascii="仿宋" w:hAnsi="仿宋" w:eastAsia="仿宋" w:cs="仿宋"/>
          <w:i w:val="0"/>
          <w:iCs w:val="0"/>
          <w:caps w:val="0"/>
          <w:color w:val="333333"/>
          <w:spacing w:val="-2"/>
          <w:sz w:val="28"/>
          <w:szCs w:val="28"/>
          <w:shd w:val="clear" w:fill="FFFFFF"/>
          <w:vertAlign w:val="baseline"/>
        </w:rPr>
        <w:t>年。</w:t>
      </w:r>
    </w:p>
    <w:p w14:paraId="14EB570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46"/>
        <w:jc w:val="both"/>
        <w:textAlignment w:val="baseline"/>
        <w:rPr>
          <w:rFonts w:hint="eastAsia"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333333"/>
          <w:spacing w:val="-4"/>
          <w:sz w:val="32"/>
          <w:szCs w:val="32"/>
          <w:shd w:val="clear" w:fill="FFFFFF"/>
          <w:vertAlign w:val="baseline"/>
        </w:rPr>
        <w:t>六、报价要求</w:t>
      </w:r>
    </w:p>
    <w:p w14:paraId="2EF29D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52"/>
        <w:jc w:val="both"/>
        <w:textAlignment w:val="baseline"/>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2"/>
          <w:sz w:val="28"/>
          <w:szCs w:val="28"/>
          <w:shd w:val="clear" w:fill="FFFFFF"/>
          <w:vertAlign w:val="baseline"/>
        </w:rPr>
        <w:t>本项目采用定价招标，总预算为</w:t>
      </w:r>
      <w:r>
        <w:rPr>
          <w:rFonts w:hint="eastAsia" w:ascii="仿宋" w:hAnsi="仿宋" w:eastAsia="仿宋" w:cs="仿宋"/>
          <w:b w:val="0"/>
          <w:bCs w:val="0"/>
          <w:i w:val="0"/>
          <w:iCs w:val="0"/>
          <w:caps w:val="0"/>
          <w:color w:val="333333"/>
          <w:spacing w:val="-2"/>
          <w:sz w:val="28"/>
          <w:szCs w:val="28"/>
          <w:shd w:val="clear" w:fill="FFFFFF"/>
          <w:vertAlign w:val="baseline"/>
          <w:lang w:val="en-US" w:eastAsia="zh-CN"/>
        </w:rPr>
        <w:t>18</w:t>
      </w:r>
      <w:r>
        <w:rPr>
          <w:rFonts w:hint="eastAsia" w:ascii="仿宋" w:hAnsi="仿宋" w:eastAsia="仿宋" w:cs="仿宋"/>
          <w:b w:val="0"/>
          <w:bCs w:val="0"/>
          <w:i w:val="0"/>
          <w:iCs w:val="0"/>
          <w:caps w:val="0"/>
          <w:color w:val="333333"/>
          <w:spacing w:val="-2"/>
          <w:sz w:val="28"/>
          <w:szCs w:val="28"/>
          <w:shd w:val="clear" w:fill="FFFFFF"/>
          <w:vertAlign w:val="baseline"/>
        </w:rPr>
        <w:t>万元，投标人需按以上价格报价，否则作无效投标处理。</w:t>
      </w:r>
    </w:p>
    <w:p w14:paraId="7F9DAD0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46"/>
        <w:jc w:val="both"/>
        <w:textAlignment w:val="baseline"/>
        <w:rPr>
          <w:rFonts w:hint="eastAsia"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333333"/>
          <w:spacing w:val="-4"/>
          <w:sz w:val="32"/>
          <w:szCs w:val="32"/>
          <w:shd w:val="clear" w:fill="FFFFFF"/>
          <w:vertAlign w:val="baseline"/>
        </w:rPr>
        <w:t>七、其他要求</w:t>
      </w:r>
    </w:p>
    <w:p w14:paraId="73D6776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52"/>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2"/>
          <w:sz w:val="28"/>
          <w:szCs w:val="28"/>
          <w:shd w:val="clear" w:fill="FFFFFF"/>
          <w:vertAlign w:val="baseline"/>
        </w:rPr>
        <w:t>(一)投标供应商必须对服务项目进行细化，投标文件应提供科学合理的具体服务目录（包括：具体服务项目、服务标准等）。</w:t>
      </w:r>
    </w:p>
    <w:p w14:paraId="56B84EB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52"/>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2"/>
          <w:sz w:val="28"/>
          <w:szCs w:val="28"/>
          <w:shd w:val="clear" w:fill="FFFFFF"/>
          <w:vertAlign w:val="baseline"/>
        </w:rPr>
        <w:t>（二）中标供应商应按《瑶海区民政局关于印发&lt;瑶海区购买基本公共养老、青少年服务活动和纾难解困项目指导意见&gt;的通知》（瑶民〔2024〕45号）及其补充通知要求，做好项目人员岗位管理、项目周期管理、项目财务管理、项目资金管理、项目档案管理、项目宣传管理、项目安全管理，项目变更需按规定报经批准。</w:t>
      </w:r>
    </w:p>
    <w:p w14:paraId="2E0500C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52"/>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2"/>
          <w:sz w:val="28"/>
          <w:szCs w:val="28"/>
          <w:shd w:val="clear" w:fill="FFFFFF"/>
          <w:vertAlign w:val="baseline"/>
        </w:rPr>
        <w:t>(三)中标供应商有以下情形之一的，一经发现，采购方给予取消其中标资格或提前终止合同，由此造成的一切损失由成交供应商自行承担。</w:t>
      </w:r>
    </w:p>
    <w:p w14:paraId="1ED0F26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52"/>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2"/>
          <w:sz w:val="28"/>
          <w:szCs w:val="28"/>
          <w:shd w:val="clear" w:fill="FFFFFF"/>
          <w:vertAlign w:val="baseline"/>
        </w:rPr>
        <w:t>1.无相应服务能力而在投标过程中提供虚假资料，致使中标后项目无法正常运行的；</w:t>
      </w:r>
    </w:p>
    <w:p w14:paraId="0A94382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52"/>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2"/>
          <w:sz w:val="28"/>
          <w:szCs w:val="28"/>
          <w:shd w:val="clear" w:fill="FFFFFF"/>
          <w:vertAlign w:val="baseline"/>
        </w:rPr>
        <w:t>2.在项目履约期内提供的服务低于服务需求标准的；</w:t>
      </w:r>
    </w:p>
    <w:p w14:paraId="26AB3EC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52"/>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2"/>
          <w:sz w:val="28"/>
          <w:szCs w:val="28"/>
          <w:shd w:val="clear" w:fill="FFFFFF"/>
          <w:vertAlign w:val="baseline"/>
        </w:rPr>
        <w:t>3.在运营期间有违反有关法律法规或以“市场化”为由、借“提供服务”之名直接或间接推销老年保健类产品及过度护理等损害服务对象合法权益的行为的。</w:t>
      </w:r>
    </w:p>
    <w:p w14:paraId="4AF2AB1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52"/>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2"/>
          <w:sz w:val="28"/>
          <w:szCs w:val="28"/>
          <w:shd w:val="clear" w:fill="FFFFFF"/>
          <w:vertAlign w:val="baseline"/>
        </w:rPr>
        <w:t>（四）按照突出公共性和公益性原则，中标供应商应按合同履行提供服务义务，认真组织实施服务项目，服从街道管理，按时完成服务项目任务，保证服务数量、质量和效果，主动接受有关部门、服务对象及社会监督，严禁转包行为。</w:t>
      </w:r>
    </w:p>
    <w:p w14:paraId="1FF95ED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52"/>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2"/>
          <w:sz w:val="28"/>
          <w:szCs w:val="28"/>
          <w:shd w:val="clear" w:fill="FFFFFF"/>
          <w:vertAlign w:val="baseline"/>
        </w:rPr>
        <w:t>（五）中标供应商应严格遵守相关资金规定，对购买服务的项目资金进行独立、规范的财务管理和会计核算，确保资金依法合规使用；建立健全财务报告制度，按要求向采购方提供资金使用情况、项目执行情况、成果总结等材料，并自觉接受和配合采购人及有关主管部门的监督检查。</w:t>
      </w:r>
    </w:p>
    <w:p w14:paraId="5272795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46"/>
        <w:jc w:val="both"/>
        <w:textAlignment w:val="baseline"/>
        <w:rPr>
          <w:rFonts w:hint="eastAsia"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333333"/>
          <w:spacing w:val="-4"/>
          <w:sz w:val="32"/>
          <w:szCs w:val="32"/>
          <w:shd w:val="clear" w:fill="FFFFFF"/>
          <w:vertAlign w:val="baseline"/>
        </w:rPr>
        <w:t>八</w:t>
      </w:r>
      <w:r>
        <w:rPr>
          <w:rFonts w:hint="eastAsia" w:ascii="宋体" w:hAnsi="宋体" w:eastAsia="宋体" w:cs="宋体"/>
          <w:b/>
          <w:bCs/>
          <w:i w:val="0"/>
          <w:iCs w:val="0"/>
          <w:caps w:val="0"/>
          <w:color w:val="333333"/>
          <w:spacing w:val="-4"/>
          <w:sz w:val="32"/>
          <w:szCs w:val="32"/>
          <w:shd w:val="clear" w:fill="FFFFFF"/>
          <w:vertAlign w:val="baseline"/>
          <w:lang w:eastAsia="zh-CN"/>
        </w:rPr>
        <w:t>、</w:t>
      </w:r>
      <w:r>
        <w:rPr>
          <w:rFonts w:hint="eastAsia" w:ascii="宋体" w:hAnsi="宋体" w:eastAsia="宋体" w:cs="宋体"/>
          <w:b/>
          <w:bCs/>
          <w:i w:val="0"/>
          <w:iCs w:val="0"/>
          <w:caps w:val="0"/>
          <w:color w:val="333333"/>
          <w:spacing w:val="-4"/>
          <w:sz w:val="32"/>
          <w:szCs w:val="32"/>
          <w:shd w:val="clear" w:fill="FFFFFF"/>
          <w:vertAlign w:val="baseline"/>
        </w:rPr>
        <w:t>评估及考核要求</w:t>
      </w:r>
    </w:p>
    <w:p w14:paraId="32C3577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52"/>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2"/>
          <w:sz w:val="28"/>
          <w:szCs w:val="28"/>
          <w:shd w:val="clear" w:fill="FFFFFF"/>
          <w:vertAlign w:val="baseline"/>
        </w:rPr>
        <w:t>本项目为政府向社会公众提供的公共服务项目，需按照合肥市民政局关于印发《合肥市政府购买社区基本公共养老、青少年活动服务实施办法》的通知（合民〔2021〕86号）、《关于印发〈合肥市纾难解困服务提升暨品牌创建在百街(镇)行动实施方案〉的通知》(合民社〔2020〕5号)、合肥市瑶海区民政局关于印发《瑶海区购买基本公共养老、青少年服务活动和纾难解困项目指导意见》的通知（瑶民〔2024〕45号）等相关文件落实工作，按照文件要求组织进行评估。</w:t>
      </w:r>
    </w:p>
    <w:p w14:paraId="7E052235">
      <w:pPr>
        <w:rPr>
          <w:rFonts w:hint="eastAsia" w:ascii="仿宋" w:hAnsi="仿宋" w:eastAsia="仿宋" w:cs="仿宋"/>
        </w:rPr>
      </w:pPr>
    </w:p>
    <w:p w14:paraId="2E110F92">
      <w:pPr>
        <w:rPr>
          <w:rFonts w:hint="eastAsia" w:ascii="仿宋" w:hAnsi="仿宋" w:eastAsia="仿宋" w:cs="仿宋"/>
        </w:rPr>
      </w:pPr>
    </w:p>
    <w:p w14:paraId="69704894">
      <w:pPr>
        <w:rPr>
          <w:rFonts w:hint="eastAsia" w:ascii="仿宋" w:hAnsi="仿宋" w:eastAsia="仿宋" w:cs="仿宋"/>
        </w:rPr>
      </w:pPr>
    </w:p>
    <w:p w14:paraId="1BF86B08">
      <w:pPr>
        <w:rPr>
          <w:rFonts w:hint="eastAsia" w:ascii="仿宋" w:hAnsi="仿宋" w:eastAsia="仿宋" w:cs="仿宋"/>
        </w:rPr>
      </w:pPr>
    </w:p>
    <w:p w14:paraId="31E18145">
      <w:pPr>
        <w:rPr>
          <w:rFonts w:hint="eastAsia" w:ascii="仿宋" w:hAnsi="仿宋" w:eastAsia="仿宋" w:cs="仿宋"/>
        </w:rPr>
      </w:pPr>
    </w:p>
    <w:p w14:paraId="2FE2F006">
      <w:pPr>
        <w:rPr>
          <w:rFonts w:hint="eastAsia" w:ascii="仿宋" w:hAnsi="仿宋" w:eastAsia="仿宋" w:cs="仿宋"/>
        </w:rPr>
      </w:pPr>
    </w:p>
    <w:p w14:paraId="20C72E0C">
      <w:pPr>
        <w:rPr>
          <w:rFonts w:hint="eastAsia" w:ascii="仿宋" w:hAnsi="仿宋" w:eastAsia="仿宋" w:cs="仿宋"/>
        </w:rPr>
      </w:pPr>
    </w:p>
    <w:p w14:paraId="76FBE87D">
      <w:pPr>
        <w:rPr>
          <w:rFonts w:hint="eastAsia" w:ascii="仿宋" w:hAnsi="仿宋" w:eastAsia="仿宋" w:cs="仿宋"/>
        </w:rPr>
      </w:pPr>
    </w:p>
    <w:p w14:paraId="4868D0B3">
      <w:pPr>
        <w:rPr>
          <w:rFonts w:hint="eastAsia" w:ascii="仿宋" w:hAnsi="仿宋" w:eastAsia="仿宋" w:cs="仿宋"/>
        </w:rPr>
      </w:pPr>
    </w:p>
    <w:p w14:paraId="651857D1">
      <w:pPr>
        <w:rPr>
          <w:rFonts w:hint="eastAsia" w:ascii="仿宋" w:hAnsi="仿宋" w:eastAsia="仿宋" w:cs="仿宋"/>
        </w:rPr>
      </w:pPr>
    </w:p>
    <w:p w14:paraId="2E1CB4EF">
      <w:pPr>
        <w:rPr>
          <w:rFonts w:hint="eastAsia" w:ascii="仿宋" w:hAnsi="仿宋" w:eastAsia="仿宋" w:cs="仿宋"/>
        </w:rPr>
      </w:pPr>
    </w:p>
    <w:p w14:paraId="21F434E4">
      <w:pPr>
        <w:rPr>
          <w:rFonts w:hint="eastAsia" w:ascii="仿宋" w:hAnsi="仿宋" w:eastAsia="仿宋" w:cs="仿宋"/>
        </w:rPr>
      </w:pPr>
    </w:p>
    <w:p w14:paraId="115D271B">
      <w:pPr>
        <w:rPr>
          <w:rFonts w:hint="eastAsia" w:ascii="仿宋" w:hAnsi="仿宋" w:eastAsia="仿宋" w:cs="仿宋"/>
        </w:rPr>
      </w:pPr>
    </w:p>
    <w:p w14:paraId="46F45667">
      <w:pPr>
        <w:rPr>
          <w:rFonts w:hint="eastAsia" w:ascii="仿宋" w:hAnsi="仿宋" w:eastAsia="仿宋" w:cs="仿宋"/>
        </w:rPr>
      </w:pPr>
    </w:p>
    <w:p w14:paraId="4D9768A7">
      <w:pPr>
        <w:rPr>
          <w:rFonts w:hint="eastAsia" w:ascii="仿宋" w:hAnsi="仿宋" w:eastAsia="仿宋" w:cs="仿宋"/>
        </w:rPr>
      </w:pPr>
    </w:p>
    <w:p w14:paraId="327E37F2">
      <w:pPr>
        <w:rPr>
          <w:rFonts w:hint="eastAsia" w:ascii="仿宋" w:hAnsi="仿宋" w:eastAsia="仿宋" w:cs="仿宋"/>
        </w:rPr>
      </w:pPr>
    </w:p>
    <w:p w14:paraId="28F8C2FD">
      <w:pPr>
        <w:rPr>
          <w:rFonts w:hint="eastAsia" w:ascii="仿宋" w:hAnsi="仿宋" w:eastAsia="仿宋" w:cs="仿宋"/>
        </w:rPr>
      </w:pPr>
    </w:p>
    <w:p w14:paraId="7EB600EF">
      <w:pPr>
        <w:rPr>
          <w:rFonts w:hint="eastAsia" w:ascii="仿宋" w:hAnsi="仿宋" w:eastAsia="仿宋" w:cs="仿宋"/>
        </w:rPr>
      </w:pPr>
    </w:p>
    <w:p w14:paraId="720E5048">
      <w:pPr>
        <w:rPr>
          <w:rFonts w:hint="eastAsia" w:ascii="仿宋" w:hAnsi="仿宋" w:eastAsia="仿宋" w:cs="仿宋"/>
        </w:rPr>
      </w:pPr>
    </w:p>
    <w:p w14:paraId="561B03E3">
      <w:pPr>
        <w:rPr>
          <w:rFonts w:hint="eastAsia" w:ascii="仿宋" w:hAnsi="仿宋" w:eastAsia="仿宋" w:cs="仿宋"/>
        </w:rPr>
      </w:pPr>
    </w:p>
    <w:p w14:paraId="46A8A8DB">
      <w:pPr>
        <w:rPr>
          <w:rFonts w:hint="eastAsia" w:ascii="仿宋" w:hAnsi="仿宋" w:eastAsia="仿宋" w:cs="仿宋"/>
        </w:rPr>
      </w:pPr>
    </w:p>
    <w:p w14:paraId="4394CADE"/>
    <w:p w14:paraId="638091C2">
      <w:pPr>
        <w:pStyle w:val="2"/>
        <w:spacing w:line="360" w:lineRule="auto"/>
        <w:rPr>
          <w:rFonts w:hint="eastAsia" w:ascii="仿宋" w:hAnsi="仿宋" w:eastAsia="仿宋" w:cs="仿宋"/>
          <w:color w:val="333333"/>
          <w:sz w:val="32"/>
          <w:szCs w:val="32"/>
        </w:rPr>
      </w:pPr>
      <w:r>
        <w:rPr>
          <w:rFonts w:hint="eastAsia" w:ascii="仿宋" w:hAnsi="仿宋" w:eastAsia="仿宋" w:cs="仿宋"/>
          <w:b w:val="0"/>
          <w:bCs w:val="0"/>
          <w:color w:val="333333"/>
          <w:sz w:val="32"/>
          <w:szCs w:val="32"/>
        </w:rPr>
        <w:t>附件</w:t>
      </w:r>
      <w:bookmarkStart w:id="0" w:name="_Toc516969106"/>
      <w:bookmarkStart w:id="1" w:name="_Toc121626298"/>
      <w:bookmarkStart w:id="2" w:name="_Toc204594911"/>
      <w:r>
        <w:rPr>
          <w:rFonts w:hint="eastAsia" w:ascii="仿宋" w:hAnsi="仿宋" w:eastAsia="仿宋" w:cs="仿宋"/>
          <w:b w:val="0"/>
          <w:bCs w:val="0"/>
          <w:color w:val="333333"/>
          <w:sz w:val="32"/>
          <w:szCs w:val="32"/>
          <w:lang w:val="en-US" w:eastAsia="zh-CN"/>
        </w:rPr>
        <w:t>2</w:t>
      </w:r>
      <w:r>
        <w:rPr>
          <w:rFonts w:hint="eastAsia" w:ascii="仿宋" w:hAnsi="仿宋" w:eastAsia="仿宋" w:cs="仿宋"/>
          <w:b w:val="0"/>
          <w:bCs w:val="0"/>
          <w:color w:val="333333"/>
          <w:sz w:val="32"/>
          <w:szCs w:val="32"/>
        </w:rPr>
        <w:t xml:space="preserve">   </w:t>
      </w:r>
      <w:r>
        <w:rPr>
          <w:rFonts w:hint="eastAsia" w:ascii="仿宋" w:hAnsi="仿宋" w:eastAsia="仿宋" w:cs="仿宋"/>
          <w:color w:val="333333"/>
          <w:sz w:val="32"/>
          <w:szCs w:val="32"/>
        </w:rPr>
        <w:t xml:space="preserve"> </w:t>
      </w:r>
    </w:p>
    <w:p w14:paraId="5BF7EEB6">
      <w:pPr>
        <w:pStyle w:val="2"/>
        <w:spacing w:line="360" w:lineRule="auto"/>
        <w:ind w:firstLine="3520" w:firstLineChars="800"/>
        <w:rPr>
          <w:rFonts w:hint="eastAsia" w:ascii="微软雅黑" w:hAnsi="微软雅黑" w:eastAsia="微软雅黑" w:cs="微软雅黑"/>
          <w:b w:val="0"/>
          <w:bCs w:val="0"/>
          <w:i w:val="0"/>
          <w:iCs w:val="0"/>
          <w:caps w:val="0"/>
          <w:color w:val="333333"/>
          <w:spacing w:val="0"/>
          <w:sz w:val="44"/>
          <w:szCs w:val="44"/>
        </w:rPr>
      </w:pPr>
      <w:r>
        <w:rPr>
          <w:rFonts w:hint="eastAsia" w:ascii="微软雅黑" w:hAnsi="微软雅黑" w:eastAsia="微软雅黑" w:cs="微软雅黑"/>
          <w:b w:val="0"/>
          <w:bCs w:val="0"/>
          <w:i w:val="0"/>
          <w:iCs w:val="0"/>
          <w:caps w:val="0"/>
          <w:color w:val="333333"/>
          <w:spacing w:val="0"/>
          <w:sz w:val="44"/>
          <w:szCs w:val="44"/>
          <w:shd w:val="clear" w:fill="FFFFFF"/>
          <w:vertAlign w:val="baseline"/>
        </w:rPr>
        <w:t>投标函</w:t>
      </w:r>
      <w:r>
        <w:rPr>
          <w:rFonts w:hint="eastAsia" w:ascii="微软雅黑" w:hAnsi="微软雅黑" w:eastAsia="微软雅黑" w:cs="微软雅黑"/>
          <w:b w:val="0"/>
          <w:bCs w:val="0"/>
          <w:i w:val="0"/>
          <w:iCs w:val="0"/>
          <w:caps w:val="0"/>
          <w:color w:val="333333"/>
          <w:spacing w:val="0"/>
          <w:sz w:val="44"/>
          <w:szCs w:val="44"/>
          <w:shd w:val="clear" w:fill="FFFFFF"/>
        </w:rPr>
        <w:t> </w:t>
      </w:r>
    </w:p>
    <w:p w14:paraId="6691D55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Arial" w:hAnsi="Arial" w:eastAsia="宋体" w:cs="Arial"/>
          <w:b w:val="0"/>
          <w:bCs w:val="0"/>
          <w:i w:val="0"/>
          <w:iCs w:val="0"/>
          <w:caps w:val="0"/>
          <w:color w:val="333333"/>
          <w:spacing w:val="0"/>
          <w:sz w:val="28"/>
          <w:szCs w:val="28"/>
          <w:lang w:eastAsia="zh-CN"/>
        </w:rPr>
      </w:pPr>
      <w:r>
        <w:rPr>
          <w:rFonts w:hint="eastAsia" w:ascii="宋体" w:hAnsi="宋体" w:eastAsia="宋体" w:cs="宋体"/>
          <w:b w:val="0"/>
          <w:bCs w:val="0"/>
          <w:i w:val="0"/>
          <w:iCs w:val="0"/>
          <w:caps w:val="0"/>
          <w:color w:val="333333"/>
          <w:spacing w:val="0"/>
          <w:sz w:val="28"/>
          <w:szCs w:val="28"/>
          <w:shd w:val="clear" w:fill="FFFFFF"/>
        </w:rPr>
        <w:t>致：</w:t>
      </w:r>
      <w:r>
        <w:rPr>
          <w:rFonts w:hint="eastAsia" w:ascii="宋体" w:hAnsi="宋体" w:eastAsia="宋体" w:cs="宋体"/>
          <w:b w:val="0"/>
          <w:bCs w:val="0"/>
          <w:i w:val="0"/>
          <w:iCs w:val="0"/>
          <w:caps w:val="0"/>
          <w:color w:val="333333"/>
          <w:spacing w:val="0"/>
          <w:sz w:val="28"/>
          <w:szCs w:val="28"/>
          <w:u w:val="single"/>
          <w:shd w:val="clear" w:fill="FFFFFF"/>
        </w:rPr>
        <w:t>瑶海区</w:t>
      </w:r>
      <w:r>
        <w:rPr>
          <w:rFonts w:hint="eastAsia" w:ascii="宋体" w:hAnsi="宋体" w:eastAsia="宋体" w:cs="宋体"/>
          <w:b w:val="0"/>
          <w:bCs w:val="0"/>
          <w:i w:val="0"/>
          <w:iCs w:val="0"/>
          <w:caps w:val="0"/>
          <w:color w:val="333333"/>
          <w:spacing w:val="0"/>
          <w:sz w:val="28"/>
          <w:szCs w:val="28"/>
          <w:u w:val="single"/>
          <w:shd w:val="clear" w:fill="FFFFFF"/>
          <w:lang w:eastAsia="zh-CN"/>
        </w:rPr>
        <w:t>城东</w:t>
      </w:r>
      <w:r>
        <w:rPr>
          <w:rFonts w:hint="eastAsia" w:ascii="宋体" w:hAnsi="宋体" w:eastAsia="宋体" w:cs="宋体"/>
          <w:b w:val="0"/>
          <w:bCs w:val="0"/>
          <w:i w:val="0"/>
          <w:iCs w:val="0"/>
          <w:caps w:val="0"/>
          <w:color w:val="333333"/>
          <w:spacing w:val="0"/>
          <w:sz w:val="28"/>
          <w:szCs w:val="28"/>
          <w:u w:val="single"/>
          <w:shd w:val="clear" w:fill="FFFFFF"/>
        </w:rPr>
        <w:t>街道办事</w:t>
      </w:r>
      <w:r>
        <w:rPr>
          <w:rFonts w:hint="eastAsia" w:ascii="宋体" w:hAnsi="宋体" w:eastAsia="宋体" w:cs="宋体"/>
          <w:b w:val="0"/>
          <w:bCs w:val="0"/>
          <w:i w:val="0"/>
          <w:iCs w:val="0"/>
          <w:caps w:val="0"/>
          <w:color w:val="333333"/>
          <w:spacing w:val="0"/>
          <w:sz w:val="28"/>
          <w:szCs w:val="28"/>
          <w:u w:val="single"/>
          <w:shd w:val="clear" w:fill="FFFFFF"/>
          <w:lang w:eastAsia="zh-CN"/>
        </w:rPr>
        <w:t>处</w:t>
      </w:r>
    </w:p>
    <w:p w14:paraId="5DA28FB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根据贵方瑶海区</w:t>
      </w:r>
      <w:r>
        <w:rPr>
          <w:rFonts w:hint="eastAsia" w:ascii="宋体" w:hAnsi="宋体" w:eastAsia="宋体" w:cs="宋体"/>
          <w:i w:val="0"/>
          <w:iCs w:val="0"/>
          <w:caps w:val="0"/>
          <w:color w:val="333333"/>
          <w:spacing w:val="0"/>
          <w:sz w:val="28"/>
          <w:szCs w:val="28"/>
          <w:shd w:val="clear" w:fill="FFFFFF"/>
          <w:lang w:eastAsia="zh-CN"/>
        </w:rPr>
        <w:t>城东</w:t>
      </w:r>
      <w:r>
        <w:rPr>
          <w:rFonts w:hint="eastAsia" w:ascii="宋体" w:hAnsi="宋体" w:eastAsia="宋体" w:cs="宋体"/>
          <w:i w:val="0"/>
          <w:iCs w:val="0"/>
          <w:caps w:val="0"/>
          <w:color w:val="333333"/>
          <w:spacing w:val="0"/>
          <w:sz w:val="28"/>
          <w:szCs w:val="28"/>
          <w:shd w:val="clear" w:fill="FFFFFF"/>
        </w:rPr>
        <w:t>街道2025年度购买基本公共养老、青少年服务活动和纾难解困项目招标公告，我方已详细审查招标公告内容和有关附件，据此我方郑重声明以下诸点，并对之负相应的法律责任。</w:t>
      </w:r>
    </w:p>
    <w:p w14:paraId="23E73FD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1.我方根据招标公告的规定，严格履行合同的责任和义务,并保证于买方要求的日期内完成服务，并通过买方验收。</w:t>
      </w:r>
    </w:p>
    <w:p w14:paraId="03A3A25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2.我方已详细审核全部招标公告内容，我方正式认可并遵守本次招标公告，并对招标公告各项条款、规定及要求均无异议。我方知道必须放弃提出含糊不清或误解的问题的权利。</w:t>
      </w:r>
    </w:p>
    <w:p w14:paraId="3E5F6EB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3.我方同意从招标公告规定的开标日期起遵循本招标公告，并在招标公告规定的投标有效期之前均具有约束力。</w:t>
      </w:r>
    </w:p>
    <w:p w14:paraId="03DAFB1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038ED6D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rPr>
        <w:t>5.我方接受招标公告规定的付款方式。</w:t>
      </w:r>
    </w:p>
    <w:p w14:paraId="243D7F7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1840" w:firstLine="3640" w:firstLineChars="1300"/>
        <w:jc w:val="right"/>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lang w:val="en-US" w:eastAsia="zh-CN"/>
        </w:rPr>
        <w:t xml:space="preserve">    </w:t>
      </w:r>
      <w:r>
        <w:rPr>
          <w:rFonts w:hint="eastAsia" w:ascii="宋体" w:hAnsi="宋体" w:eastAsia="宋体" w:cs="宋体"/>
          <w:i w:val="0"/>
          <w:iCs w:val="0"/>
          <w:caps w:val="0"/>
          <w:color w:val="333333"/>
          <w:spacing w:val="0"/>
          <w:sz w:val="28"/>
          <w:szCs w:val="28"/>
          <w:shd w:val="clear" w:fill="FFFFFF"/>
        </w:rPr>
        <w:t>投标人单位（公章）</w:t>
      </w:r>
    </w:p>
    <w:p w14:paraId="32A5438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1840" w:firstLine="0"/>
        <w:jc w:val="right"/>
        <w:rPr>
          <w:rFonts w:ascii="仿宋" w:hAnsi="仿宋" w:eastAsia="仿宋" w:cs="仿宋"/>
          <w:i w:val="0"/>
          <w:iCs w:val="0"/>
          <w:caps w:val="0"/>
          <w:color w:val="333333"/>
          <w:spacing w:val="0"/>
          <w:sz w:val="30"/>
          <w:szCs w:val="30"/>
          <w:shd w:val="clear" w:fill="FFFFFF"/>
          <w:vertAlign w:val="baseline"/>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vertAlign w:val="baseline"/>
        </w:rPr>
        <w:t>日 期：   </w:t>
      </w:r>
      <w:r>
        <w:rPr>
          <w:rFonts w:ascii="仿宋" w:hAnsi="仿宋" w:eastAsia="仿宋" w:cs="仿宋"/>
          <w:i w:val="0"/>
          <w:iCs w:val="0"/>
          <w:caps w:val="0"/>
          <w:color w:val="333333"/>
          <w:spacing w:val="0"/>
          <w:sz w:val="30"/>
          <w:szCs w:val="30"/>
          <w:shd w:val="clear" w:fill="FFFFFF"/>
          <w:vertAlign w:val="baseline"/>
        </w:rPr>
        <w:t>  </w:t>
      </w:r>
      <w:bookmarkEnd w:id="0"/>
      <w:bookmarkEnd w:id="1"/>
      <w:bookmarkEnd w:id="2"/>
    </w:p>
    <w:p w14:paraId="5A12AAA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1840" w:firstLine="0"/>
        <w:jc w:val="right"/>
        <w:rPr>
          <w:rFonts w:ascii="仿宋" w:hAnsi="仿宋" w:eastAsia="仿宋" w:cs="仿宋"/>
          <w:i w:val="0"/>
          <w:iCs w:val="0"/>
          <w:caps w:val="0"/>
          <w:color w:val="333333"/>
          <w:spacing w:val="0"/>
          <w:sz w:val="30"/>
          <w:szCs w:val="30"/>
          <w:shd w:val="clear" w:fill="FFFFFF"/>
          <w:vertAlign w:val="baseline"/>
        </w:rPr>
      </w:pPr>
    </w:p>
    <w:p w14:paraId="498E18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60" w:beforeAutospacing="0" w:after="260" w:afterAutospacing="0" w:line="23" w:lineRule="atLeast"/>
        <w:ind w:left="0" w:right="0" w:firstLine="0"/>
        <w:jc w:val="both"/>
        <w:textAlignment w:val="baseline"/>
        <w:rPr>
          <w:rFonts w:ascii="Arial" w:hAnsi="Arial" w:cs="Arial"/>
          <w:b w:val="0"/>
          <w:bCs w:val="0"/>
          <w:i w:val="0"/>
          <w:iCs w:val="0"/>
          <w:caps w:val="0"/>
          <w:color w:val="333333"/>
          <w:spacing w:val="0"/>
          <w:sz w:val="44"/>
          <w:szCs w:val="44"/>
        </w:rPr>
      </w:pPr>
      <w:r>
        <w:rPr>
          <w:rFonts w:ascii="仿宋" w:hAnsi="仿宋" w:eastAsia="仿宋" w:cs="仿宋"/>
          <w:b w:val="0"/>
          <w:bCs w:val="0"/>
          <w:i w:val="0"/>
          <w:iCs w:val="0"/>
          <w:caps w:val="0"/>
          <w:color w:val="333333"/>
          <w:spacing w:val="0"/>
          <w:sz w:val="32"/>
          <w:szCs w:val="32"/>
          <w:shd w:val="clear" w:fill="FFFFFF"/>
          <w:vertAlign w:val="baseline"/>
        </w:rPr>
        <w:t>附件</w:t>
      </w:r>
      <w:r>
        <w:rPr>
          <w:rFonts w:hint="eastAsia" w:ascii="仿宋" w:hAnsi="仿宋" w:eastAsia="仿宋" w:cs="仿宋"/>
          <w:b w:val="0"/>
          <w:bCs w:val="0"/>
          <w:i w:val="0"/>
          <w:iCs w:val="0"/>
          <w:caps w:val="0"/>
          <w:color w:val="333333"/>
          <w:spacing w:val="0"/>
          <w:sz w:val="32"/>
          <w:szCs w:val="32"/>
          <w:shd w:val="clear" w:fill="FFFFFF"/>
          <w:vertAlign w:val="baseline"/>
        </w:rPr>
        <w:t>3</w:t>
      </w:r>
    </w:p>
    <w:p w14:paraId="52E492C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eastAsia" w:ascii="微软雅黑" w:hAnsi="微软雅黑" w:eastAsia="微软雅黑" w:cs="微软雅黑"/>
          <w:b w:val="0"/>
          <w:bCs w:val="0"/>
          <w:i w:val="0"/>
          <w:iCs w:val="0"/>
          <w:caps w:val="0"/>
          <w:color w:val="333333"/>
          <w:spacing w:val="0"/>
          <w:sz w:val="44"/>
          <w:szCs w:val="44"/>
        </w:rPr>
      </w:pPr>
      <w:r>
        <w:rPr>
          <w:rFonts w:hint="eastAsia" w:ascii="微软雅黑" w:hAnsi="微软雅黑" w:eastAsia="微软雅黑" w:cs="微软雅黑"/>
          <w:b w:val="0"/>
          <w:bCs w:val="0"/>
          <w:i w:val="0"/>
          <w:iCs w:val="0"/>
          <w:caps w:val="0"/>
          <w:color w:val="333333"/>
          <w:spacing w:val="0"/>
          <w:sz w:val="44"/>
          <w:szCs w:val="44"/>
          <w:shd w:val="clear" w:fill="FFFFFF"/>
        </w:rPr>
        <w:t>报价单</w:t>
      </w:r>
    </w:p>
    <w:p w14:paraId="074D3AB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14:paraId="6225D4F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1400" w:right="0" w:hanging="1600" w:hangingChars="500"/>
        <w:jc w:val="left"/>
        <w:rPr>
          <w:rFonts w:hint="eastAsia" w:ascii="宋体" w:hAnsi="宋体" w:eastAsia="宋体" w:cs="宋体"/>
          <w:b w:val="0"/>
          <w:bCs w:val="0"/>
          <w:i w:val="0"/>
          <w:iCs w:val="0"/>
          <w:caps w:val="0"/>
          <w:color w:val="333333"/>
          <w:spacing w:val="0"/>
          <w:sz w:val="32"/>
          <w:szCs w:val="32"/>
        </w:rPr>
      </w:pPr>
      <w:r>
        <w:rPr>
          <w:rFonts w:hint="eastAsia" w:ascii="宋体" w:hAnsi="宋体" w:eastAsia="宋体" w:cs="宋体"/>
          <w:b w:val="0"/>
          <w:bCs w:val="0"/>
          <w:i w:val="0"/>
          <w:iCs w:val="0"/>
          <w:caps w:val="0"/>
          <w:color w:val="333333"/>
          <w:spacing w:val="0"/>
          <w:sz w:val="32"/>
          <w:szCs w:val="32"/>
          <w:shd w:val="clear" w:fill="FFFFFF"/>
        </w:rPr>
        <w:t>项目名称：瑶海区</w:t>
      </w:r>
      <w:r>
        <w:rPr>
          <w:rFonts w:hint="eastAsia" w:ascii="宋体" w:hAnsi="宋体" w:eastAsia="宋体" w:cs="宋体"/>
          <w:b w:val="0"/>
          <w:bCs w:val="0"/>
          <w:i w:val="0"/>
          <w:iCs w:val="0"/>
          <w:caps w:val="0"/>
          <w:color w:val="333333"/>
          <w:spacing w:val="0"/>
          <w:sz w:val="32"/>
          <w:szCs w:val="32"/>
          <w:shd w:val="clear" w:fill="FFFFFF"/>
          <w:lang w:eastAsia="zh-CN"/>
        </w:rPr>
        <w:t>城东</w:t>
      </w:r>
      <w:r>
        <w:rPr>
          <w:rFonts w:hint="eastAsia" w:ascii="宋体" w:hAnsi="宋体" w:eastAsia="宋体" w:cs="宋体"/>
          <w:b w:val="0"/>
          <w:bCs w:val="0"/>
          <w:i w:val="0"/>
          <w:iCs w:val="0"/>
          <w:caps w:val="0"/>
          <w:color w:val="333333"/>
          <w:spacing w:val="0"/>
          <w:sz w:val="32"/>
          <w:szCs w:val="32"/>
          <w:shd w:val="clear" w:fill="FFFFFF"/>
        </w:rPr>
        <w:t>街道2025年度基本公共养老、青少年服务活动和纾难解困项目</w:t>
      </w:r>
    </w:p>
    <w:tbl>
      <w:tblPr>
        <w:tblStyle w:val="8"/>
        <w:tblW w:w="852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459"/>
        <w:gridCol w:w="6063"/>
      </w:tblGrid>
      <w:tr w14:paraId="40A786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1115" w:hRule="atLeast"/>
          <w:jc w:val="center"/>
        </w:trPr>
        <w:tc>
          <w:tcPr>
            <w:tcW w:w="2459" w:type="dxa"/>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2321876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供应商名称</w:t>
            </w:r>
          </w:p>
        </w:tc>
        <w:tc>
          <w:tcPr>
            <w:tcW w:w="6063"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top"/>
          </w:tcPr>
          <w:p w14:paraId="393A388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rPr>
                <w:rFonts w:hint="eastAsia" w:ascii="仿宋" w:hAnsi="仿宋" w:eastAsia="仿宋" w:cs="仿宋"/>
                <w:sz w:val="32"/>
                <w:szCs w:val="32"/>
              </w:rPr>
            </w:pPr>
            <w:r>
              <w:rPr>
                <w:rFonts w:hint="eastAsia" w:ascii="仿宋" w:hAnsi="仿宋" w:eastAsia="仿宋" w:cs="仿宋"/>
                <w:sz w:val="32"/>
                <w:szCs w:val="32"/>
              </w:rPr>
              <w:t> </w:t>
            </w:r>
          </w:p>
        </w:tc>
      </w:tr>
      <w:tr w14:paraId="4BB813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91" w:hRule="atLeast"/>
          <w:jc w:val="center"/>
        </w:trPr>
        <w:tc>
          <w:tcPr>
            <w:tcW w:w="2459"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57DF80B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报   价</w:t>
            </w:r>
          </w:p>
        </w:tc>
        <w:tc>
          <w:tcPr>
            <w:tcW w:w="6063"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36503A7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rPr>
                <w:rFonts w:hint="eastAsia" w:ascii="仿宋" w:hAnsi="仿宋" w:eastAsia="仿宋" w:cs="仿宋"/>
                <w:b/>
                <w:bCs/>
                <w:sz w:val="32"/>
                <w:szCs w:val="32"/>
              </w:rPr>
            </w:pPr>
            <w:r>
              <w:rPr>
                <w:rFonts w:hint="eastAsia" w:ascii="仿宋" w:hAnsi="仿宋" w:eastAsia="仿宋" w:cs="仿宋"/>
                <w:b w:val="0"/>
                <w:bCs w:val="0"/>
                <w:sz w:val="32"/>
                <w:szCs w:val="32"/>
              </w:rPr>
              <w:t>人民币大写：</w:t>
            </w:r>
            <w:r>
              <w:rPr>
                <w:rFonts w:hint="eastAsia" w:ascii="仿宋" w:hAnsi="仿宋" w:eastAsia="仿宋" w:cs="仿宋"/>
                <w:b/>
                <w:bCs/>
                <w:sz w:val="32"/>
                <w:szCs w:val="32"/>
                <w:u w:val="single"/>
                <w:lang w:eastAsia="zh-CN"/>
              </w:rPr>
              <w:t>壹拾捌万</w:t>
            </w:r>
            <w:r>
              <w:rPr>
                <w:rFonts w:hint="eastAsia" w:ascii="仿宋" w:hAnsi="仿宋" w:eastAsia="仿宋" w:cs="仿宋"/>
                <w:b/>
                <w:bCs/>
                <w:sz w:val="32"/>
                <w:szCs w:val="32"/>
                <w:u w:val="single"/>
              </w:rPr>
              <w:t>元整</w:t>
            </w:r>
          </w:p>
          <w:p w14:paraId="02E9B4F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rPr>
                <w:rFonts w:hint="eastAsia" w:ascii="仿宋" w:hAnsi="仿宋" w:eastAsia="仿宋" w:cs="仿宋"/>
                <w:sz w:val="32"/>
                <w:szCs w:val="32"/>
              </w:rPr>
            </w:pPr>
            <w:r>
              <w:rPr>
                <w:rFonts w:hint="eastAsia" w:ascii="仿宋" w:hAnsi="仿宋" w:eastAsia="仿宋" w:cs="仿宋"/>
                <w:b w:val="0"/>
                <w:bCs w:val="0"/>
                <w:sz w:val="32"/>
                <w:szCs w:val="32"/>
              </w:rPr>
              <w:t>人民币小写</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u w:val="single"/>
                <w:lang w:val="en-US" w:eastAsia="zh-CN"/>
              </w:rPr>
              <w:t>1800</w:t>
            </w:r>
            <w:r>
              <w:rPr>
                <w:rFonts w:hint="eastAsia" w:ascii="仿宋" w:hAnsi="仿宋" w:eastAsia="仿宋" w:cs="仿宋"/>
                <w:b/>
                <w:bCs/>
                <w:sz w:val="32"/>
                <w:szCs w:val="32"/>
                <w:u w:val="single"/>
              </w:rPr>
              <w:t>00元</w:t>
            </w:r>
          </w:p>
        </w:tc>
      </w:tr>
      <w:tr w14:paraId="0C764D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17" w:hRule="atLeast"/>
          <w:jc w:val="center"/>
        </w:trPr>
        <w:tc>
          <w:tcPr>
            <w:tcW w:w="2459"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59C9033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备注说明</w:t>
            </w:r>
          </w:p>
        </w:tc>
        <w:tc>
          <w:tcPr>
            <w:tcW w:w="6063"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top"/>
          </w:tcPr>
          <w:p w14:paraId="124BD46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sz w:val="32"/>
                <w:szCs w:val="32"/>
              </w:rPr>
              <w:t> </w:t>
            </w:r>
          </w:p>
          <w:p w14:paraId="230D0C8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b w:val="0"/>
                <w:bCs w:val="0"/>
                <w:sz w:val="32"/>
                <w:szCs w:val="32"/>
              </w:rPr>
            </w:pPr>
            <w:r>
              <w:rPr>
                <w:rFonts w:hint="eastAsia" w:ascii="仿宋" w:hAnsi="仿宋" w:eastAsia="仿宋" w:cs="仿宋"/>
                <w:b w:val="0"/>
                <w:bCs w:val="0"/>
                <w:color w:val="000000"/>
                <w:sz w:val="32"/>
                <w:szCs w:val="32"/>
              </w:rPr>
              <w:t>完全响应招标文件要求。</w:t>
            </w:r>
          </w:p>
          <w:p w14:paraId="38EFF04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rPr>
                <w:rFonts w:hint="eastAsia" w:ascii="仿宋" w:hAnsi="仿宋" w:eastAsia="仿宋" w:cs="仿宋"/>
                <w:sz w:val="32"/>
                <w:szCs w:val="32"/>
              </w:rPr>
            </w:pPr>
            <w:r>
              <w:rPr>
                <w:rFonts w:hint="eastAsia" w:ascii="仿宋" w:hAnsi="仿宋" w:eastAsia="仿宋" w:cs="仿宋"/>
                <w:sz w:val="32"/>
                <w:szCs w:val="32"/>
              </w:rPr>
              <w:t> </w:t>
            </w:r>
          </w:p>
        </w:tc>
      </w:tr>
    </w:tbl>
    <w:p w14:paraId="190D3E5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right="0" w:firstLine="2560" w:firstLineChars="80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供应商签章：</w:t>
      </w:r>
    </w:p>
    <w:p w14:paraId="636F5D3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60"/>
        <w:jc w:val="center"/>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日  期： </w:t>
      </w:r>
    </w:p>
    <w:p w14:paraId="64B800C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4"/>
          <w:szCs w:val="24"/>
          <w:shd w:val="clear" w:fill="FFFFFF"/>
        </w:rPr>
        <w:t>注：1.本项目依据合肥市民政局关于印发《合肥市政府购买社区基本公共养老、青少年活动服务实施办法》的通知（合民（2021）86号）、瑶海区民政局关于印发《瑶海区购买基本公共养老、青少年服务活动和纾难解困项目指导意见》的通知（瑶民〔2024〕45号）及其补充通知，</w:t>
      </w:r>
      <w:r>
        <w:rPr>
          <w:rFonts w:ascii="黑体" w:hAnsi="宋体" w:eastAsia="黑体" w:cs="黑体"/>
          <w:b/>
          <w:bCs/>
          <w:i w:val="0"/>
          <w:iCs w:val="0"/>
          <w:caps w:val="0"/>
          <w:color w:val="333333"/>
          <w:spacing w:val="0"/>
          <w:sz w:val="24"/>
          <w:szCs w:val="24"/>
          <w:shd w:val="clear" w:fill="FFFFFF"/>
        </w:rPr>
        <w:t>采用定价招标，总预算为</w:t>
      </w:r>
      <w:r>
        <w:rPr>
          <w:rFonts w:hint="eastAsia" w:ascii="黑体" w:hAnsi="宋体" w:eastAsia="黑体" w:cs="黑体"/>
          <w:b/>
          <w:bCs/>
          <w:i w:val="0"/>
          <w:iCs w:val="0"/>
          <w:caps w:val="0"/>
          <w:color w:val="333333"/>
          <w:spacing w:val="0"/>
          <w:sz w:val="24"/>
          <w:szCs w:val="24"/>
          <w:shd w:val="clear" w:fill="FFFFFF"/>
          <w:lang w:val="en-US" w:eastAsia="zh-CN"/>
        </w:rPr>
        <w:t>18</w:t>
      </w:r>
      <w:r>
        <w:rPr>
          <w:rFonts w:hint="eastAsia" w:ascii="黑体" w:hAnsi="宋体" w:eastAsia="黑体" w:cs="黑体"/>
          <w:b/>
          <w:bCs/>
          <w:i w:val="0"/>
          <w:iCs w:val="0"/>
          <w:caps w:val="0"/>
          <w:color w:val="333333"/>
          <w:spacing w:val="0"/>
          <w:sz w:val="24"/>
          <w:szCs w:val="24"/>
          <w:shd w:val="clear" w:fill="FFFFFF"/>
        </w:rPr>
        <w:t>万元，投标人需按总预算报价，否则作无效投标处理</w:t>
      </w:r>
      <w:r>
        <w:rPr>
          <w:rFonts w:hint="eastAsia" w:ascii="仿宋" w:hAnsi="仿宋" w:eastAsia="仿宋" w:cs="仿宋"/>
          <w:b/>
          <w:bCs/>
          <w:i w:val="0"/>
          <w:iCs w:val="0"/>
          <w:caps w:val="0"/>
          <w:color w:val="333333"/>
          <w:spacing w:val="0"/>
          <w:sz w:val="24"/>
          <w:szCs w:val="24"/>
          <w:shd w:val="clear" w:fill="FFFFFF"/>
        </w:rPr>
        <w:t>。</w:t>
      </w:r>
    </w:p>
    <w:p w14:paraId="1F5137A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787" w:firstLineChars="328"/>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24"/>
          <w:szCs w:val="24"/>
          <w:shd w:val="clear" w:fill="FFFFFF"/>
        </w:rPr>
        <w:t>2. 报价表中大写金额与小写金额不一致的，以大写金额为准。</w:t>
      </w:r>
    </w:p>
    <w:p w14:paraId="5DDF1F3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1840" w:firstLine="0"/>
        <w:jc w:val="right"/>
        <w:rPr>
          <w:rFonts w:ascii="仿宋" w:hAnsi="仿宋" w:eastAsia="仿宋" w:cs="仿宋"/>
          <w:i w:val="0"/>
          <w:iCs w:val="0"/>
          <w:caps w:val="0"/>
          <w:color w:val="333333"/>
          <w:spacing w:val="0"/>
          <w:sz w:val="30"/>
          <w:szCs w:val="30"/>
          <w:shd w:val="clear" w:fill="FFFFFF"/>
          <w:vertAlign w:val="baseline"/>
        </w:rPr>
      </w:pPr>
    </w:p>
    <w:p w14:paraId="2546B0A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1840" w:firstLine="0"/>
        <w:jc w:val="right"/>
        <w:rPr>
          <w:rFonts w:ascii="仿宋" w:hAnsi="仿宋" w:eastAsia="仿宋" w:cs="仿宋"/>
          <w:i w:val="0"/>
          <w:iCs w:val="0"/>
          <w:caps w:val="0"/>
          <w:color w:val="333333"/>
          <w:spacing w:val="0"/>
          <w:sz w:val="30"/>
          <w:szCs w:val="30"/>
          <w:shd w:val="clear" w:fill="FFFFFF"/>
          <w:vertAlign w:val="baseline"/>
        </w:rPr>
      </w:pPr>
    </w:p>
    <w:p w14:paraId="41297639">
      <w:pPr>
        <w:pStyle w:val="2"/>
        <w:spacing w:line="360" w:lineRule="auto"/>
        <w:rPr>
          <w:rFonts w:hint="eastAsia" w:ascii="仿宋_GB2312" w:hAnsi="Times New Roman" w:eastAsia="仿宋_GB2312"/>
          <w:color w:val="333333"/>
          <w:sz w:val="30"/>
          <w:szCs w:val="30"/>
        </w:rPr>
      </w:pPr>
      <w:r>
        <w:rPr>
          <w:rFonts w:hint="eastAsia" w:ascii="仿宋" w:hAnsi="仿宋" w:eastAsia="仿宋" w:cs="仿宋"/>
          <w:b w:val="0"/>
          <w:bCs w:val="0"/>
          <w:color w:val="333333"/>
          <w:sz w:val="32"/>
          <w:szCs w:val="32"/>
        </w:rPr>
        <w:t>附件</w:t>
      </w:r>
      <w:r>
        <w:rPr>
          <w:rFonts w:hint="eastAsia" w:ascii="仿宋" w:hAnsi="仿宋" w:eastAsia="仿宋" w:cs="仿宋"/>
          <w:b w:val="0"/>
          <w:bCs w:val="0"/>
          <w:color w:val="333333"/>
          <w:sz w:val="32"/>
          <w:szCs w:val="32"/>
          <w:lang w:val="en-US" w:eastAsia="zh-CN"/>
        </w:rPr>
        <w:t>4</w:t>
      </w:r>
      <w:r>
        <w:rPr>
          <w:rFonts w:hint="eastAsia" w:ascii="仿宋" w:hAnsi="仿宋" w:eastAsia="仿宋" w:cs="仿宋"/>
          <w:b w:val="0"/>
          <w:bCs w:val="0"/>
          <w:color w:val="333333"/>
          <w:sz w:val="32"/>
          <w:szCs w:val="32"/>
        </w:rPr>
        <w:t xml:space="preserve">    </w:t>
      </w:r>
      <w:r>
        <w:rPr>
          <w:rFonts w:hint="eastAsia" w:ascii="仿宋" w:hAnsi="仿宋" w:eastAsia="仿宋" w:cs="仿宋"/>
          <w:color w:val="333333"/>
          <w:sz w:val="32"/>
          <w:szCs w:val="32"/>
        </w:rPr>
        <w:t xml:space="preserve">  </w:t>
      </w:r>
      <w:r>
        <w:rPr>
          <w:rFonts w:hint="eastAsia" w:ascii="仿宋_GB2312" w:hAnsi="Times New Roman" w:eastAsia="仿宋_GB2312"/>
          <w:color w:val="333333"/>
          <w:sz w:val="30"/>
          <w:szCs w:val="30"/>
        </w:rPr>
        <w:t xml:space="preserve">    </w:t>
      </w:r>
    </w:p>
    <w:p w14:paraId="67B878D4">
      <w:pPr>
        <w:pStyle w:val="2"/>
        <w:spacing w:line="360" w:lineRule="auto"/>
        <w:jc w:val="center"/>
        <w:rPr>
          <w:rFonts w:hint="eastAsia" w:ascii="仿宋_GB2312" w:eastAsia="仿宋_GB2312"/>
          <w:sz w:val="32"/>
          <w:szCs w:val="32"/>
        </w:rPr>
      </w:pPr>
      <w:r>
        <w:rPr>
          <w:rStyle w:val="10"/>
          <w:rFonts w:hint="eastAsia" w:ascii="微软雅黑" w:hAnsi="黑体" w:eastAsia="微软雅黑"/>
          <w:b w:val="0"/>
          <w:color w:val="000000"/>
          <w:sz w:val="44"/>
          <w:szCs w:val="44"/>
        </w:rPr>
        <w:t>授权书</w:t>
      </w:r>
    </w:p>
    <w:p w14:paraId="717A0D2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微软雅黑" w:eastAsia="微软雅黑"/>
          <w:bCs/>
          <w:sz w:val="32"/>
          <w:szCs w:val="32"/>
          <w:highlight w:val="yellow"/>
        </w:rPr>
      </w:pPr>
      <w:r>
        <w:rPr>
          <w:rFonts w:hint="eastAsia" w:ascii="仿宋_GB2312" w:hAnsi="Arial" w:eastAsia="仿宋_GB2312"/>
          <w:sz w:val="32"/>
          <w:szCs w:val="32"/>
        </w:rPr>
        <w:t>本授权书声明：</w:t>
      </w:r>
      <w:r>
        <w:rPr>
          <w:rFonts w:hint="eastAsia" w:ascii="仿宋_GB2312" w:hAnsi="Arial" w:eastAsia="仿宋_GB2312"/>
          <w:sz w:val="32"/>
          <w:szCs w:val="32"/>
          <w:u w:val="single"/>
        </w:rPr>
        <w:t xml:space="preserve">          </w:t>
      </w:r>
      <w:r>
        <w:rPr>
          <w:rFonts w:hint="eastAsia" w:ascii="仿宋_GB2312" w:hAnsi="Arial" w:eastAsia="仿宋_GB2312"/>
          <w:sz w:val="32"/>
          <w:szCs w:val="32"/>
          <w:u w:val="single"/>
          <w:lang w:val="en-US" w:eastAsia="zh-CN"/>
        </w:rPr>
        <w:t xml:space="preserve">    </w:t>
      </w:r>
      <w:r>
        <w:rPr>
          <w:rFonts w:hint="eastAsia" w:ascii="仿宋_GB2312" w:hAnsi="Arial" w:eastAsia="仿宋_GB2312"/>
          <w:sz w:val="32"/>
          <w:szCs w:val="32"/>
          <w:u w:val="single"/>
        </w:rPr>
        <w:t xml:space="preserve"> </w:t>
      </w:r>
      <w:r>
        <w:rPr>
          <w:rFonts w:hint="eastAsia" w:ascii="仿宋_GB2312" w:hAnsi="Arial" w:eastAsia="仿宋_GB2312"/>
          <w:sz w:val="32"/>
          <w:szCs w:val="32"/>
        </w:rPr>
        <w:t>单位授权</w:t>
      </w:r>
      <w:r>
        <w:rPr>
          <w:rFonts w:hint="eastAsia" w:ascii="仿宋_GB2312" w:hAnsi="Arial" w:eastAsia="仿宋_GB2312"/>
          <w:sz w:val="32"/>
          <w:szCs w:val="32"/>
          <w:u w:val="single"/>
        </w:rPr>
        <w:t xml:space="preserve">        </w:t>
      </w:r>
      <w:r>
        <w:rPr>
          <w:rFonts w:hint="eastAsia" w:ascii="仿宋_GB2312" w:hAnsi="Arial" w:eastAsia="仿宋_GB2312"/>
          <w:sz w:val="32"/>
          <w:szCs w:val="32"/>
        </w:rPr>
        <w:t>（被授权人的姓名</w:t>
      </w:r>
      <w:r>
        <w:rPr>
          <w:rFonts w:hint="eastAsia" w:ascii="仿宋_GB2312" w:hAnsi="Arial" w:eastAsia="仿宋_GB2312" w:cs="Times New Roman"/>
          <w:sz w:val="32"/>
          <w:szCs w:val="32"/>
        </w:rPr>
        <w:t>）参加瑶海区</w:t>
      </w:r>
      <w:r>
        <w:rPr>
          <w:rFonts w:hint="eastAsia" w:ascii="仿宋_GB2312" w:hAnsi="Arial" w:eastAsia="仿宋_GB2312" w:cs="Times New Roman"/>
          <w:sz w:val="32"/>
          <w:szCs w:val="32"/>
          <w:lang w:eastAsia="zh-CN"/>
        </w:rPr>
        <w:t>城东</w:t>
      </w:r>
      <w:r>
        <w:rPr>
          <w:rFonts w:hint="eastAsia" w:ascii="仿宋_GB2312" w:hAnsi="Arial" w:eastAsia="仿宋_GB2312" w:cs="Times New Roman"/>
          <w:sz w:val="32"/>
          <w:szCs w:val="32"/>
        </w:rPr>
        <w:t>街道2025年度基本公共养老、青少年服务活动和纾难解困项目</w:t>
      </w:r>
      <w:r>
        <w:rPr>
          <w:rFonts w:hint="eastAsia" w:ascii="仿宋_GB2312" w:hAnsi="Arial" w:eastAsia="仿宋_GB2312" w:cs="Times New Roman"/>
          <w:sz w:val="32"/>
          <w:szCs w:val="32"/>
          <w:lang w:val="en-US" w:eastAsia="zh-CN"/>
        </w:rPr>
        <w:t>采购活动，</w:t>
      </w:r>
      <w:r>
        <w:rPr>
          <w:rFonts w:hint="eastAsia" w:ascii="仿宋_GB2312" w:hAnsi="Arial" w:eastAsia="仿宋_GB2312" w:cs="Times New Roman"/>
          <w:sz w:val="32"/>
          <w:szCs w:val="32"/>
        </w:rPr>
        <w:t>全权代表本</w:t>
      </w:r>
      <w:r>
        <w:rPr>
          <w:rFonts w:hint="eastAsia" w:ascii="仿宋_GB2312" w:hAnsi="Arial" w:eastAsia="仿宋_GB2312" w:cs="Times New Roman"/>
          <w:sz w:val="32"/>
          <w:szCs w:val="32"/>
          <w:lang w:val="en-US" w:eastAsia="zh-CN"/>
        </w:rPr>
        <w:t>单位</w:t>
      </w:r>
      <w:r>
        <w:rPr>
          <w:rFonts w:hint="eastAsia" w:ascii="仿宋_GB2312" w:hAnsi="Arial" w:eastAsia="仿宋_GB2312" w:cs="Times New Roman"/>
          <w:sz w:val="32"/>
          <w:szCs w:val="32"/>
        </w:rPr>
        <w:t>处理过程</w:t>
      </w:r>
      <w:r>
        <w:rPr>
          <w:rFonts w:hint="eastAsia" w:ascii="仿宋_GB2312" w:hAnsi="Arial" w:eastAsia="仿宋_GB2312" w:cs="Times New Roman"/>
          <w:sz w:val="32"/>
          <w:szCs w:val="32"/>
          <w:lang w:val="en-US" w:eastAsia="zh-CN"/>
        </w:rPr>
        <w:t>中</w:t>
      </w:r>
      <w:r>
        <w:rPr>
          <w:rFonts w:hint="eastAsia" w:ascii="仿宋_GB2312" w:hAnsi="Arial" w:eastAsia="仿宋_GB2312" w:cs="Times New Roman"/>
          <w:sz w:val="32"/>
          <w:szCs w:val="32"/>
        </w:rPr>
        <w:t>的一切事宜，包括但不限于：</w:t>
      </w:r>
      <w:r>
        <w:rPr>
          <w:rFonts w:hint="eastAsia" w:ascii="仿宋_GB2312" w:hAnsi="Arial" w:eastAsia="仿宋_GB2312" w:cs="Times New Roman"/>
          <w:sz w:val="32"/>
          <w:szCs w:val="32"/>
          <w:lang w:val="en-US" w:eastAsia="zh-CN"/>
        </w:rPr>
        <w:t>递交投标资料</w:t>
      </w:r>
      <w:r>
        <w:rPr>
          <w:rFonts w:hint="eastAsia" w:ascii="仿宋_GB2312" w:hAnsi="Arial" w:eastAsia="仿宋_GB2312" w:cs="Times New Roman"/>
          <w:sz w:val="32"/>
          <w:szCs w:val="32"/>
        </w:rPr>
        <w:t>、</w:t>
      </w:r>
      <w:r>
        <w:rPr>
          <w:rFonts w:hint="eastAsia" w:ascii="仿宋_GB2312" w:hAnsi="Arial" w:eastAsia="仿宋_GB2312"/>
          <w:sz w:val="32"/>
          <w:szCs w:val="32"/>
          <w:lang w:val="en-US" w:eastAsia="zh-CN"/>
        </w:rPr>
        <w:t>接受评审</w:t>
      </w:r>
      <w:r>
        <w:rPr>
          <w:rFonts w:hint="eastAsia" w:ascii="仿宋_GB2312" w:hAnsi="Arial" w:eastAsia="仿宋_GB2312"/>
          <w:sz w:val="32"/>
          <w:szCs w:val="32"/>
        </w:rPr>
        <w:t>、谈判、签约等。</w:t>
      </w:r>
      <w:r>
        <w:rPr>
          <w:rFonts w:hint="eastAsia" w:ascii="仿宋_GB2312" w:hAnsi="Arial" w:eastAsia="仿宋_GB2312"/>
          <w:sz w:val="32"/>
          <w:szCs w:val="32"/>
          <w:lang w:val="en-US" w:eastAsia="zh-CN"/>
        </w:rPr>
        <w:t>被授权人</w:t>
      </w:r>
      <w:r>
        <w:rPr>
          <w:rFonts w:hint="eastAsia" w:ascii="仿宋_GB2312" w:hAnsi="Arial" w:eastAsia="仿宋_GB2312"/>
          <w:sz w:val="32"/>
          <w:szCs w:val="32"/>
        </w:rPr>
        <w:t>在过程中所签署的一切文件和处理与之有关的一切事务，本</w:t>
      </w:r>
      <w:r>
        <w:rPr>
          <w:rFonts w:hint="eastAsia" w:ascii="仿宋_GB2312" w:hAnsi="Arial" w:eastAsia="仿宋_GB2312"/>
          <w:sz w:val="32"/>
          <w:szCs w:val="32"/>
          <w:lang w:val="en-US" w:eastAsia="zh-CN"/>
        </w:rPr>
        <w:t>单位</w:t>
      </w:r>
      <w:r>
        <w:rPr>
          <w:rFonts w:hint="eastAsia" w:ascii="仿宋_GB2312" w:hAnsi="Arial" w:eastAsia="仿宋_GB2312"/>
          <w:sz w:val="32"/>
          <w:szCs w:val="32"/>
        </w:rPr>
        <w:t>均予以认可并对此承担责任。</w:t>
      </w:r>
    </w:p>
    <w:p w14:paraId="24E2D8C2">
      <w:pPr>
        <w:pStyle w:val="4"/>
        <w:keepNext w:val="0"/>
        <w:keepLines w:val="0"/>
        <w:pageBreakBefore w:val="0"/>
        <w:widowControl w:val="0"/>
        <w:kinsoku/>
        <w:wordWrap/>
        <w:overflowPunct/>
        <w:topLinePunct w:val="0"/>
        <w:autoSpaceDE/>
        <w:autoSpaceDN/>
        <w:bidi w:val="0"/>
        <w:snapToGrid w:val="0"/>
        <w:spacing w:line="540" w:lineRule="exact"/>
        <w:ind w:firstLine="640" w:firstLineChars="200"/>
        <w:jc w:val="left"/>
        <w:textAlignment w:val="auto"/>
        <w:rPr>
          <w:rFonts w:hint="eastAsia" w:ascii="仿宋_GB2312" w:hAnsi="Arial" w:eastAsia="仿宋_GB2312"/>
          <w:sz w:val="32"/>
          <w:szCs w:val="32"/>
        </w:rPr>
      </w:pPr>
      <w:r>
        <w:rPr>
          <w:rFonts w:hint="eastAsia" w:ascii="仿宋_GB2312" w:hAnsi="Arial" w:eastAsia="仿宋_GB2312"/>
          <w:sz w:val="32"/>
          <w:szCs w:val="32"/>
        </w:rPr>
        <w:t>本授权书自出具之日起生效。</w:t>
      </w:r>
    </w:p>
    <w:p w14:paraId="31ABA589">
      <w:pPr>
        <w:pStyle w:val="2"/>
        <w:keepNext/>
        <w:keepLines/>
        <w:pageBreakBefore w:val="0"/>
        <w:widowControl w:val="0"/>
        <w:kinsoku/>
        <w:wordWrap/>
        <w:overflowPunct/>
        <w:topLinePunct w:val="0"/>
        <w:autoSpaceDE/>
        <w:autoSpaceDN/>
        <w:bidi w:val="0"/>
        <w:adjustRightInd w:val="0"/>
        <w:snapToGrid/>
        <w:spacing w:line="540" w:lineRule="exact"/>
        <w:ind w:firstLine="640" w:firstLineChars="200"/>
        <w:textAlignment w:val="baseline"/>
        <w:rPr>
          <w:rFonts w:hint="eastAsia" w:ascii="仿宋_GB2312" w:eastAsia="仿宋_GB2312"/>
          <w:b w:val="0"/>
          <w:bCs/>
          <w:sz w:val="32"/>
          <w:szCs w:val="32"/>
        </w:rPr>
      </w:pPr>
      <w:r>
        <w:rPr>
          <w:rFonts w:hint="eastAsia" w:ascii="仿宋_GB2312" w:eastAsia="仿宋_GB2312"/>
          <w:b w:val="0"/>
          <w:bCs/>
          <w:sz w:val="32"/>
          <w:szCs w:val="32"/>
          <w:lang w:val="en-US" w:eastAsia="zh-CN"/>
        </w:rPr>
        <w:t>被授权人</w:t>
      </w:r>
      <w:r>
        <w:rPr>
          <w:rFonts w:hint="eastAsia" w:ascii="仿宋_GB2312" w:eastAsia="仿宋_GB2312"/>
          <w:b w:val="0"/>
          <w:bCs/>
          <w:sz w:val="32"/>
          <w:szCs w:val="32"/>
        </w:rPr>
        <w:t xml:space="preserve">联系方式（请填写手机号码）：        </w:t>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rPr>
        <w:t xml:space="preserve">  </w:t>
      </w:r>
    </w:p>
    <w:p w14:paraId="2177AC51">
      <w:pPr>
        <w:pStyle w:val="4"/>
        <w:keepNext w:val="0"/>
        <w:keepLines w:val="0"/>
        <w:pageBreakBefore w:val="0"/>
        <w:widowControl w:val="0"/>
        <w:kinsoku/>
        <w:wordWrap/>
        <w:overflowPunct/>
        <w:topLinePunct w:val="0"/>
        <w:autoSpaceDE/>
        <w:autoSpaceDN/>
        <w:bidi w:val="0"/>
        <w:snapToGrid w:val="0"/>
        <w:spacing w:line="540" w:lineRule="exact"/>
        <w:ind w:firstLine="640" w:firstLineChars="200"/>
        <w:jc w:val="left"/>
        <w:textAlignment w:val="auto"/>
        <w:rPr>
          <w:rFonts w:hint="eastAsia" w:ascii="仿宋_GB2312" w:hAnsi="Arial" w:eastAsia="仿宋_GB2312"/>
          <w:sz w:val="32"/>
          <w:szCs w:val="32"/>
          <w:lang w:val="en-US" w:eastAsia="zh-CN"/>
        </w:rPr>
      </w:pPr>
      <w:r>
        <w:rPr>
          <w:rFonts w:hint="eastAsia" w:ascii="仿宋_GB2312" w:hAnsi="Arial" w:eastAsia="仿宋_GB2312"/>
          <w:sz w:val="32"/>
          <w:szCs w:val="32"/>
        </w:rPr>
        <w:t>特此声明</w:t>
      </w:r>
      <w:r>
        <w:rPr>
          <w:rFonts w:hint="eastAsia" w:ascii="仿宋_GB2312" w:hAnsi="Arial" w:eastAsia="仿宋_GB2312"/>
          <w:sz w:val="32"/>
          <w:szCs w:val="32"/>
          <w:lang w:val="en-US" w:eastAsia="zh-CN"/>
        </w:rPr>
        <w:t xml:space="preserve"> </w:t>
      </w:r>
    </w:p>
    <w:p w14:paraId="5CCE1220">
      <w:pPr>
        <w:pStyle w:val="4"/>
        <w:keepNext w:val="0"/>
        <w:keepLines w:val="0"/>
        <w:pageBreakBefore w:val="0"/>
        <w:widowControl w:val="0"/>
        <w:kinsoku/>
        <w:wordWrap/>
        <w:overflowPunct/>
        <w:topLinePunct w:val="0"/>
        <w:autoSpaceDE/>
        <w:autoSpaceDN/>
        <w:bidi w:val="0"/>
        <w:snapToGrid w:val="0"/>
        <w:spacing w:line="540" w:lineRule="exact"/>
        <w:ind w:firstLine="0" w:firstLineChars="0"/>
        <w:jc w:val="left"/>
        <w:textAlignment w:val="auto"/>
        <w:rPr>
          <w:rFonts w:hint="eastAsia" w:ascii="仿宋_GB2312" w:hAnsi="Arial" w:eastAsia="仿宋_GB2312"/>
          <w:sz w:val="32"/>
          <w:szCs w:val="32"/>
          <w:lang w:val="en-US" w:eastAsia="zh-CN"/>
        </w:rPr>
      </w:pPr>
    </w:p>
    <w:p w14:paraId="494D26FE">
      <w:pPr>
        <w:pStyle w:val="4"/>
        <w:keepNext w:val="0"/>
        <w:keepLines w:val="0"/>
        <w:pageBreakBefore w:val="0"/>
        <w:widowControl w:val="0"/>
        <w:kinsoku/>
        <w:wordWrap/>
        <w:overflowPunct/>
        <w:topLinePunct w:val="0"/>
        <w:autoSpaceDE/>
        <w:autoSpaceDN/>
        <w:bidi w:val="0"/>
        <w:snapToGrid w:val="0"/>
        <w:spacing w:line="540" w:lineRule="exact"/>
        <w:ind w:firstLine="0" w:firstLineChars="0"/>
        <w:jc w:val="center"/>
        <w:textAlignment w:val="auto"/>
        <w:rPr>
          <w:rFonts w:hint="eastAsia" w:ascii="仿宋_GB2312" w:hAnsi="Arial" w:eastAsia="仿宋_GB2312"/>
          <w:sz w:val="32"/>
          <w:szCs w:val="32"/>
          <w:lang w:val="en-US" w:eastAsia="zh-CN"/>
        </w:rPr>
      </w:pPr>
    </w:p>
    <w:p w14:paraId="10393E4A">
      <w:pPr>
        <w:pStyle w:val="4"/>
        <w:keepNext w:val="0"/>
        <w:keepLines w:val="0"/>
        <w:pageBreakBefore w:val="0"/>
        <w:widowControl w:val="0"/>
        <w:kinsoku/>
        <w:wordWrap/>
        <w:overflowPunct/>
        <w:topLinePunct w:val="0"/>
        <w:autoSpaceDE/>
        <w:autoSpaceDN/>
        <w:bidi w:val="0"/>
        <w:snapToGrid w:val="0"/>
        <w:spacing w:line="540" w:lineRule="exact"/>
        <w:ind w:firstLine="0" w:firstLineChars="0"/>
        <w:jc w:val="center"/>
        <w:textAlignment w:val="auto"/>
        <w:rPr>
          <w:rFonts w:hint="eastAsia" w:ascii="仿宋_GB2312" w:hAnsi="Arial" w:eastAsia="仿宋_GB2312"/>
          <w:sz w:val="32"/>
          <w:szCs w:val="32"/>
          <w:lang w:val="en-US" w:eastAsia="zh-CN"/>
        </w:rPr>
      </w:pPr>
      <w:r>
        <w:rPr>
          <w:rFonts w:hint="eastAsia" w:ascii="仿宋_GB2312" w:hAnsi="Arial" w:eastAsia="仿宋_GB2312"/>
          <w:sz w:val="32"/>
          <w:szCs w:val="32"/>
          <w:lang w:val="en-US" w:eastAsia="zh-CN"/>
        </w:rPr>
        <w:t xml:space="preserve">     </w:t>
      </w:r>
    </w:p>
    <w:p w14:paraId="143B828B">
      <w:pPr>
        <w:pStyle w:val="4"/>
        <w:keepNext w:val="0"/>
        <w:keepLines w:val="0"/>
        <w:pageBreakBefore w:val="0"/>
        <w:widowControl w:val="0"/>
        <w:kinsoku/>
        <w:wordWrap/>
        <w:overflowPunct/>
        <w:topLinePunct w:val="0"/>
        <w:autoSpaceDE/>
        <w:autoSpaceDN/>
        <w:bidi w:val="0"/>
        <w:snapToGrid w:val="0"/>
        <w:spacing w:line="540" w:lineRule="exact"/>
        <w:ind w:firstLine="0" w:firstLineChars="0"/>
        <w:jc w:val="center"/>
        <w:textAlignment w:val="auto"/>
        <w:rPr>
          <w:rFonts w:hint="eastAsia" w:ascii="仿宋_GB2312" w:hAnsi="Arial" w:eastAsia="仿宋_GB2312"/>
          <w:sz w:val="32"/>
          <w:szCs w:val="32"/>
          <w:lang w:val="en-US" w:eastAsia="zh-CN"/>
        </w:rPr>
      </w:pPr>
      <w:r>
        <w:rPr>
          <w:rFonts w:hint="eastAsia" w:ascii="仿宋_GB2312" w:hAnsi="Arial" w:eastAsia="仿宋_GB2312"/>
          <w:sz w:val="32"/>
          <w:szCs w:val="32"/>
          <w:lang w:val="en-US" w:eastAsia="zh-CN"/>
        </w:rPr>
        <w:t xml:space="preserve">           单位盖章： </w:t>
      </w:r>
    </w:p>
    <w:p w14:paraId="0CA68368">
      <w:pPr>
        <w:pStyle w:val="4"/>
        <w:keepNext w:val="0"/>
        <w:keepLines w:val="0"/>
        <w:pageBreakBefore w:val="0"/>
        <w:widowControl w:val="0"/>
        <w:kinsoku/>
        <w:wordWrap/>
        <w:overflowPunct/>
        <w:topLinePunct w:val="0"/>
        <w:autoSpaceDE/>
        <w:autoSpaceDN/>
        <w:bidi w:val="0"/>
        <w:snapToGrid w:val="0"/>
        <w:spacing w:line="540" w:lineRule="exact"/>
        <w:ind w:firstLine="0" w:firstLineChars="0"/>
        <w:jc w:val="center"/>
        <w:textAlignment w:val="auto"/>
        <w:rPr>
          <w:rFonts w:hint="default" w:ascii="仿宋_GB2312" w:hAnsi="Arial" w:eastAsia="仿宋_GB2312"/>
          <w:sz w:val="32"/>
          <w:szCs w:val="32"/>
          <w:lang w:val="en-US" w:eastAsia="zh-CN"/>
        </w:rPr>
      </w:pPr>
    </w:p>
    <w:p w14:paraId="0DB8B616">
      <w:pPr>
        <w:pStyle w:val="4"/>
        <w:keepNext w:val="0"/>
        <w:keepLines w:val="0"/>
        <w:pageBreakBefore w:val="0"/>
        <w:widowControl w:val="0"/>
        <w:kinsoku/>
        <w:wordWrap/>
        <w:overflowPunct/>
        <w:topLinePunct w:val="0"/>
        <w:autoSpaceDE/>
        <w:autoSpaceDN/>
        <w:bidi w:val="0"/>
        <w:snapToGrid w:val="0"/>
        <w:spacing w:line="540" w:lineRule="exact"/>
        <w:ind w:firstLine="0" w:firstLineChars="0"/>
        <w:jc w:val="center"/>
        <w:textAlignment w:val="auto"/>
        <w:rPr>
          <w:rFonts w:hint="eastAsia" w:ascii="仿宋_GB2312" w:eastAsia="仿宋_GB2312"/>
          <w:sz w:val="32"/>
          <w:szCs w:val="32"/>
        </w:rPr>
      </w:pPr>
      <w:r>
        <w:rPr>
          <w:rFonts w:hint="eastAsia" w:ascii="仿宋_GB2312" w:hAnsi="Arial" w:eastAsia="仿宋_GB2312"/>
          <w:sz w:val="32"/>
          <w:szCs w:val="32"/>
          <w:lang w:val="en-US" w:eastAsia="zh-CN"/>
        </w:rPr>
        <w:t xml:space="preserve">           日    期：</w:t>
      </w:r>
      <w:r>
        <w:rPr>
          <w:rFonts w:hint="eastAsia" w:ascii="仿宋_GB2312" w:eastAsia="仿宋_GB2312"/>
          <w:sz w:val="32"/>
          <w:szCs w:val="32"/>
        </w:rPr>
        <w:t xml:space="preserve">  </w:t>
      </w:r>
    </w:p>
    <w:p w14:paraId="2C180452">
      <w:pPr>
        <w:pStyle w:val="4"/>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eastAsia" w:ascii="仿宋_GB2312" w:eastAsia="仿宋_GB2312"/>
          <w:sz w:val="32"/>
          <w:szCs w:val="32"/>
        </w:rPr>
      </w:pPr>
    </w:p>
    <w:p w14:paraId="28A09C51">
      <w:pPr>
        <w:pStyle w:val="4"/>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eastAsia" w:ascii="仿宋_GB2312" w:eastAsia="仿宋_GB2312"/>
          <w:sz w:val="32"/>
          <w:szCs w:val="32"/>
        </w:rPr>
      </w:pPr>
    </w:p>
    <w:p w14:paraId="14FD924F">
      <w:pPr>
        <w:pStyle w:val="4"/>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eastAsia" w:ascii="仿宋_GB2312" w:eastAsia="仿宋_GB2312"/>
          <w:sz w:val="32"/>
          <w:szCs w:val="32"/>
        </w:rPr>
      </w:pPr>
    </w:p>
    <w:p w14:paraId="09DCDF90">
      <w:pPr>
        <w:pStyle w:val="4"/>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eastAsia" w:ascii="仿宋_GB2312" w:eastAsia="仿宋_GB2312"/>
          <w:sz w:val="32"/>
          <w:szCs w:val="32"/>
        </w:rPr>
      </w:pPr>
    </w:p>
    <w:p w14:paraId="780BA776">
      <w:pPr>
        <w:pStyle w:val="4"/>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eastAsia" w:ascii="仿宋_GB2312" w:eastAsia="仿宋_GB2312"/>
          <w:sz w:val="32"/>
          <w:szCs w:val="32"/>
        </w:rPr>
      </w:pPr>
    </w:p>
    <w:p w14:paraId="02B8FAA2">
      <w:pPr>
        <w:pStyle w:val="4"/>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eastAsia" w:ascii="仿宋_GB2312" w:eastAsia="仿宋_GB2312"/>
          <w:sz w:val="32"/>
          <w:szCs w:val="32"/>
        </w:rPr>
      </w:pPr>
    </w:p>
    <w:p w14:paraId="47B09BDB">
      <w:pPr>
        <w:pStyle w:val="4"/>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hint="eastAsia" w:ascii="仿宋_GB2312" w:eastAsia="仿宋_GB2312"/>
          <w:sz w:val="32"/>
          <w:szCs w:val="32"/>
        </w:rPr>
      </w:pPr>
    </w:p>
    <w:p w14:paraId="33986F3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default" w:ascii="Times New Roman" w:hAnsi="Times New Roman" w:cs="Times New Roman"/>
          <w:b w:val="0"/>
          <w:bCs w:val="0"/>
          <w:i w:val="0"/>
          <w:iCs w:val="0"/>
          <w:caps w:val="0"/>
          <w:color w:val="333333"/>
          <w:spacing w:val="0"/>
          <w:sz w:val="44"/>
          <w:szCs w:val="44"/>
        </w:rPr>
      </w:pPr>
      <w:r>
        <w:rPr>
          <w:rFonts w:ascii="仿宋" w:hAnsi="仿宋" w:eastAsia="仿宋" w:cs="仿宋"/>
          <w:b w:val="0"/>
          <w:bCs w:val="0"/>
          <w:i w:val="0"/>
          <w:iCs w:val="0"/>
          <w:caps w:val="0"/>
          <w:color w:val="333333"/>
          <w:spacing w:val="0"/>
          <w:sz w:val="32"/>
          <w:szCs w:val="32"/>
          <w:shd w:val="clear" w:fill="FFFFFF"/>
        </w:rPr>
        <w:t>附件</w:t>
      </w:r>
      <w:r>
        <w:rPr>
          <w:rFonts w:hint="eastAsia" w:ascii="仿宋" w:hAnsi="仿宋" w:eastAsia="仿宋" w:cs="仿宋"/>
          <w:b w:val="0"/>
          <w:bCs w:val="0"/>
          <w:i w:val="0"/>
          <w:iCs w:val="0"/>
          <w:caps w:val="0"/>
          <w:color w:val="333333"/>
          <w:spacing w:val="0"/>
          <w:sz w:val="32"/>
          <w:szCs w:val="32"/>
          <w:shd w:val="clear" w:fill="FFFFFF"/>
        </w:rPr>
        <w:t>5</w:t>
      </w:r>
    </w:p>
    <w:p w14:paraId="77388FF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jc w:val="center"/>
        <w:rPr>
          <w:rFonts w:hint="eastAsia" w:ascii="微软雅黑" w:hAnsi="微软雅黑" w:eastAsia="微软雅黑" w:cs="微软雅黑"/>
          <w:b w:val="0"/>
          <w:bCs w:val="0"/>
          <w:i w:val="0"/>
          <w:iCs w:val="0"/>
          <w:caps w:val="0"/>
          <w:color w:val="333333"/>
          <w:spacing w:val="0"/>
          <w:sz w:val="44"/>
          <w:szCs w:val="44"/>
          <w:shd w:val="clear" w:fill="FFFFFF"/>
        </w:rPr>
      </w:pPr>
      <w:r>
        <w:rPr>
          <w:rFonts w:hint="eastAsia" w:ascii="微软雅黑" w:hAnsi="微软雅黑" w:eastAsia="微软雅黑" w:cs="微软雅黑"/>
          <w:b w:val="0"/>
          <w:bCs w:val="0"/>
          <w:i w:val="0"/>
          <w:iCs w:val="0"/>
          <w:caps w:val="0"/>
          <w:color w:val="333333"/>
          <w:spacing w:val="0"/>
          <w:sz w:val="44"/>
          <w:szCs w:val="44"/>
          <w:shd w:val="clear" w:fill="FFFFFF"/>
          <w:lang w:val="en-US" w:eastAsia="zh-CN"/>
        </w:rPr>
        <w:t xml:space="preserve"> </w:t>
      </w:r>
      <w:r>
        <w:rPr>
          <w:rFonts w:hint="eastAsia" w:ascii="微软雅黑" w:hAnsi="微软雅黑" w:eastAsia="微软雅黑" w:cs="微软雅黑"/>
          <w:b w:val="0"/>
          <w:bCs w:val="0"/>
          <w:i w:val="0"/>
          <w:iCs w:val="0"/>
          <w:caps w:val="0"/>
          <w:color w:val="333333"/>
          <w:spacing w:val="0"/>
          <w:sz w:val="44"/>
          <w:szCs w:val="44"/>
          <w:shd w:val="clear" w:fill="FFFFFF"/>
        </w:rPr>
        <w:t>无重大违法记录声明函、无不良信用记录</w:t>
      </w:r>
    </w:p>
    <w:p w14:paraId="7891F04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sz w:val="44"/>
          <w:szCs w:val="44"/>
          <w:shd w:val="clear" w:fill="FFFFFF"/>
        </w:rPr>
        <w:t>声明函</w:t>
      </w:r>
      <w:r>
        <w:rPr>
          <w:rFonts w:hint="eastAsia" w:ascii="微软雅黑" w:hAnsi="微软雅黑" w:eastAsia="微软雅黑" w:cs="微软雅黑"/>
          <w:i w:val="0"/>
          <w:iCs w:val="0"/>
          <w:caps w:val="0"/>
          <w:color w:val="333333"/>
          <w:spacing w:val="0"/>
          <w:sz w:val="21"/>
          <w:szCs w:val="21"/>
          <w:shd w:val="clear" w:fill="FFFFFF"/>
        </w:rPr>
        <w:t> </w:t>
      </w:r>
    </w:p>
    <w:p w14:paraId="3D7626D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1E8944A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2.本单位郑重声明，我单位无以下不良信用记录情形：</w:t>
      </w:r>
    </w:p>
    <w:p w14:paraId="18ABCEA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（1）被人民法院列入失信被执行人；</w:t>
      </w:r>
    </w:p>
    <w:p w14:paraId="5A70EFB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（2）单位、法定代表人或拟派项目经理（项目负责人）被人民检察院列入行贿犯罪档案；</w:t>
      </w:r>
    </w:p>
    <w:p w14:paraId="7FAA558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（3）被工商行政管理部门列入企业经营异常名录；</w:t>
      </w:r>
    </w:p>
    <w:p w14:paraId="04AF4CF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（4）被税务部门列入重大税收违法案件当事人名单；</w:t>
      </w:r>
    </w:p>
    <w:p w14:paraId="64AB6AD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（5）被政府采购监管部门列入政府采购严重违法失信行为记录名单。</w:t>
      </w:r>
    </w:p>
    <w:p w14:paraId="35AA9AF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3. 本单位郑重声明，符合下列情形之一：</w:t>
      </w:r>
    </w:p>
    <w:p w14:paraId="73045CB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（1）开标日前两年内未被合肥市及其所辖县（市）公共资源交易监督管理部门记不良行为记录或记不良行为记录累计未满 10 分的；</w:t>
      </w:r>
    </w:p>
    <w:p w14:paraId="4126267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（2）最近一次被合肥市及其所辖县（市）公共资源交易监督管理部门记不良行为记录累计记分达 10 分（含 10 分）到 15 分且公布日距开标日超过 6 个月；</w:t>
      </w:r>
    </w:p>
    <w:p w14:paraId="5C749C9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（3）最近一次被合肥市及其所辖县（市）公共资源交易监督管理部门记不良行为记录累计记分达 15 分（含 15 分）到 20 分且公布日距开标日超过 12 个月；</w:t>
      </w:r>
    </w:p>
    <w:p w14:paraId="40E27A8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（4）最近一次被合肥市及其所辖县（市）公共资源交易监督管理部门记不良行为记录累计记分达 20 分（含 20 分）及以上且公布日距开标日超过 24 个月。</w:t>
      </w:r>
    </w:p>
    <w:p w14:paraId="78B68E5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eastAsia" w:ascii="仿宋" w:hAnsi="仿宋" w:eastAsia="仿宋" w:cs="仿宋"/>
          <w:i w:val="0"/>
          <w:iCs w:val="0"/>
          <w:caps w:val="0"/>
          <w:color w:val="333333"/>
          <w:spacing w:val="0"/>
          <w:sz w:val="32"/>
          <w:szCs w:val="32"/>
        </w:rPr>
      </w:pPr>
    </w:p>
    <w:p w14:paraId="5FD378D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本单位对上述声明的真实性负责。如有虚假，将依法承担相应责任。</w:t>
      </w:r>
    </w:p>
    <w:p w14:paraId="0D448B7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eastAsia" w:ascii="仿宋" w:hAnsi="仿宋" w:eastAsia="仿宋" w:cs="仿宋"/>
          <w:i w:val="0"/>
          <w:iCs w:val="0"/>
          <w:caps w:val="0"/>
          <w:color w:val="333333"/>
          <w:spacing w:val="0"/>
          <w:sz w:val="32"/>
          <w:szCs w:val="32"/>
        </w:rPr>
      </w:pPr>
    </w:p>
    <w:p w14:paraId="1EE055D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投标人电子签章：</w:t>
      </w:r>
    </w:p>
    <w:p w14:paraId="741D151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日    期：</w:t>
      </w:r>
    </w:p>
    <w:p w14:paraId="23526224">
      <w:pPr>
        <w:pStyle w:val="4"/>
        <w:keepNext w:val="0"/>
        <w:keepLines w:val="0"/>
        <w:pageBreakBefore w:val="0"/>
        <w:widowControl w:val="0"/>
        <w:kinsoku/>
        <w:wordWrap/>
        <w:overflowPunct/>
        <w:topLinePunct w:val="0"/>
        <w:autoSpaceDE/>
        <w:autoSpaceDN/>
        <w:bidi w:val="0"/>
        <w:snapToGrid w:val="0"/>
        <w:spacing w:line="240" w:lineRule="auto"/>
        <w:ind w:firstLine="0" w:firstLineChars="0"/>
        <w:jc w:val="left"/>
        <w:textAlignment w:val="auto"/>
        <w:rPr>
          <w:rFonts w:hint="eastAsia" w:ascii="仿宋" w:hAnsi="仿宋" w:eastAsia="仿宋" w:cs="仿宋"/>
          <w:sz w:val="32"/>
          <w:szCs w:val="32"/>
        </w:rPr>
      </w:pPr>
    </w:p>
    <w:p w14:paraId="0EEFCE51">
      <w:pPr>
        <w:jc w:val="left"/>
        <w:rPr>
          <w:rFonts w:hint="eastAsia" w:ascii="仿宋" w:hAnsi="仿宋" w:eastAsia="仿宋" w:cs="仿宋"/>
          <w:sz w:val="32"/>
          <w:szCs w:val="32"/>
        </w:rPr>
      </w:pPr>
    </w:p>
    <w:p w14:paraId="05ED2678">
      <w:pPr>
        <w:jc w:val="left"/>
        <w:rPr>
          <w:rFonts w:hint="eastAsia" w:ascii="仿宋" w:hAnsi="仿宋" w:eastAsia="仿宋" w:cs="仿宋"/>
          <w:sz w:val="32"/>
          <w:szCs w:val="32"/>
        </w:rPr>
      </w:pPr>
    </w:p>
    <w:p w14:paraId="63FF8C3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1840" w:firstLine="0"/>
        <w:jc w:val="left"/>
        <w:rPr>
          <w:rFonts w:hint="eastAsia" w:ascii="仿宋" w:hAnsi="仿宋" w:eastAsia="仿宋" w:cs="仿宋"/>
          <w:i w:val="0"/>
          <w:iCs w:val="0"/>
          <w:caps w:val="0"/>
          <w:color w:val="333333"/>
          <w:spacing w:val="0"/>
          <w:sz w:val="32"/>
          <w:szCs w:val="32"/>
          <w:shd w:val="clear" w:fill="FFFFFF"/>
          <w:vertAlign w:val="baseline"/>
        </w:rPr>
      </w:pPr>
    </w:p>
    <w:p w14:paraId="26EB9BA7">
      <w:pPr>
        <w:pStyle w:val="7"/>
        <w:widowControl/>
        <w:shd w:val="clear" w:color="auto" w:fill="FFFFFF"/>
        <w:spacing w:beforeAutospacing="0" w:afterAutospacing="0"/>
        <w:jc w:val="both"/>
        <w:rPr>
          <w:rFonts w:ascii="Times New Roman" w:hAnsi="Times New Roman"/>
          <w:color w:val="333333"/>
          <w:sz w:val="21"/>
          <w:szCs w:val="21"/>
        </w:rPr>
      </w:pPr>
      <w:r>
        <w:rPr>
          <w:rFonts w:ascii="仿宋" w:hAnsi="仿宋" w:eastAsia="仿宋" w:cs="仿宋"/>
          <w:color w:val="333333"/>
          <w:sz w:val="32"/>
          <w:szCs w:val="32"/>
          <w:shd w:val="clear" w:color="auto" w:fill="FFFFFF"/>
        </w:rPr>
        <w:t>附件</w:t>
      </w:r>
      <w:r>
        <w:rPr>
          <w:rFonts w:hint="eastAsia" w:ascii="仿宋" w:hAnsi="仿宋" w:eastAsia="仿宋" w:cs="仿宋"/>
          <w:color w:val="333333"/>
          <w:sz w:val="32"/>
          <w:szCs w:val="32"/>
          <w:shd w:val="clear" w:color="auto" w:fill="FFFFFF"/>
        </w:rPr>
        <w:t>6</w:t>
      </w:r>
    </w:p>
    <w:p w14:paraId="5F8A468D">
      <w:pPr>
        <w:pStyle w:val="7"/>
        <w:widowControl/>
        <w:shd w:val="clear" w:color="auto" w:fill="FFFFFF"/>
        <w:spacing w:beforeAutospacing="0" w:afterAutospacing="0" w:line="400" w:lineRule="atLeast"/>
        <w:ind w:right="1840"/>
        <w:jc w:val="center"/>
        <w:rPr>
          <w:rFonts w:ascii="Times New Roman" w:hAnsi="Times New Roman"/>
          <w:color w:val="333333"/>
          <w:sz w:val="21"/>
          <w:szCs w:val="21"/>
        </w:rPr>
      </w:pPr>
      <w:r>
        <w:rPr>
          <w:rFonts w:hint="eastAsia" w:ascii="宋体" w:hAnsi="宋体" w:cs="宋体"/>
          <w:b/>
          <w:bCs/>
          <w:color w:val="333333"/>
          <w:sz w:val="36"/>
          <w:szCs w:val="36"/>
          <w:shd w:val="clear" w:color="auto" w:fill="FFFFFF"/>
        </w:rPr>
        <w:t>        </w:t>
      </w:r>
      <w:r>
        <w:rPr>
          <w:rFonts w:hint="eastAsia" w:ascii="微软雅黑" w:hAnsi="微软雅黑" w:eastAsia="微软雅黑" w:cs="微软雅黑"/>
          <w:b w:val="0"/>
          <w:bCs w:val="0"/>
          <w:color w:val="333333"/>
          <w:sz w:val="44"/>
          <w:szCs w:val="44"/>
          <w:shd w:val="clear" w:color="auto" w:fill="FFFFFF"/>
        </w:rPr>
        <w:t>评分细则</w:t>
      </w:r>
    </w:p>
    <w:p w14:paraId="23479450">
      <w:pPr>
        <w:pStyle w:val="7"/>
        <w:widowControl/>
        <w:shd w:val="clear" w:color="auto" w:fill="FFFFFF"/>
        <w:spacing w:beforeAutospacing="0" w:afterAutospacing="0" w:line="540" w:lineRule="atLeast"/>
        <w:jc w:val="left"/>
        <w:rPr>
          <w:rFonts w:hint="eastAsia" w:ascii="宋体" w:hAnsi="宋体" w:eastAsia="宋体" w:cs="宋体"/>
          <w:color w:val="333333"/>
          <w:sz w:val="28"/>
          <w:szCs w:val="28"/>
        </w:rPr>
      </w:pPr>
      <w:r>
        <w:rPr>
          <w:rFonts w:hint="eastAsia" w:ascii="宋体" w:hAnsi="宋体" w:eastAsia="宋体" w:cs="宋体"/>
          <w:color w:val="333333"/>
          <w:sz w:val="28"/>
          <w:szCs w:val="28"/>
          <w:shd w:val="clear" w:color="auto" w:fill="FFFFFF"/>
        </w:rPr>
        <w:t>评标委员会按照下表进行评分，满分为100分，具体</w:t>
      </w:r>
      <w:r>
        <w:rPr>
          <w:rFonts w:hint="eastAsia" w:ascii="宋体" w:hAnsi="宋体" w:eastAsia="宋体" w:cs="宋体"/>
          <w:color w:val="333333"/>
          <w:sz w:val="28"/>
          <w:szCs w:val="28"/>
          <w:shd w:val="clear" w:color="auto" w:fill="FFFFFF"/>
          <w:lang w:eastAsia="zh-CN"/>
        </w:rPr>
        <w:t>评</w:t>
      </w:r>
      <w:r>
        <w:rPr>
          <w:rFonts w:hint="eastAsia" w:ascii="宋体" w:hAnsi="宋体" w:eastAsia="宋体" w:cs="宋体"/>
          <w:color w:val="333333"/>
          <w:sz w:val="28"/>
          <w:szCs w:val="28"/>
          <w:shd w:val="clear" w:color="auto" w:fill="FFFFFF"/>
        </w:rPr>
        <w:t>分细则如下：</w:t>
      </w:r>
    </w:p>
    <w:tbl>
      <w:tblPr>
        <w:tblStyle w:val="8"/>
        <w:tblW w:w="959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285"/>
        <w:gridCol w:w="7031"/>
        <w:gridCol w:w="1283"/>
      </w:tblGrid>
      <w:tr w14:paraId="32F946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85" w:type="dxa"/>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14:paraId="6C4834C3">
            <w:pPr>
              <w:pStyle w:val="7"/>
              <w:widowControl/>
              <w:wordWrap w:val="0"/>
              <w:spacing w:beforeAutospacing="0" w:afterAutospacing="0"/>
              <w:jc w:val="center"/>
              <w:rPr>
                <w:rFonts w:ascii="宋体" w:hAnsi="宋体" w:cs="宋体"/>
              </w:rPr>
            </w:pPr>
            <w:r>
              <w:rPr>
                <w:rFonts w:hint="eastAsia" w:ascii="宋体" w:hAnsi="宋体" w:cs="宋体"/>
                <w:b/>
                <w:bCs/>
              </w:rPr>
              <w:t>评分内容</w:t>
            </w:r>
          </w:p>
        </w:tc>
        <w:tc>
          <w:tcPr>
            <w:tcW w:w="7031" w:type="dxa"/>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14:paraId="4FE7444F">
            <w:pPr>
              <w:pStyle w:val="7"/>
              <w:widowControl/>
              <w:wordWrap w:val="0"/>
              <w:spacing w:beforeAutospacing="0" w:afterAutospacing="0"/>
              <w:ind w:left="800" w:firstLine="1687"/>
              <w:jc w:val="both"/>
              <w:rPr>
                <w:rFonts w:ascii="宋体" w:hAnsi="宋体" w:cs="宋体"/>
              </w:rPr>
            </w:pPr>
            <w:r>
              <w:rPr>
                <w:rFonts w:hint="eastAsia" w:ascii="宋体" w:hAnsi="宋体" w:cs="宋体"/>
                <w:b/>
                <w:bCs/>
              </w:rPr>
              <w:t>评分标准</w:t>
            </w:r>
          </w:p>
        </w:tc>
        <w:tc>
          <w:tcPr>
            <w:tcW w:w="1283" w:type="dxa"/>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14:paraId="5CF03850">
            <w:pPr>
              <w:pStyle w:val="7"/>
              <w:widowControl/>
              <w:wordWrap w:val="0"/>
              <w:spacing w:beforeAutospacing="0" w:afterAutospacing="0"/>
              <w:rPr>
                <w:rFonts w:ascii="宋体" w:hAnsi="宋体" w:cs="宋体"/>
              </w:rPr>
            </w:pPr>
            <w:r>
              <w:rPr>
                <w:rFonts w:hint="eastAsia" w:ascii="宋体" w:hAnsi="宋体" w:cs="宋体"/>
                <w:b/>
                <w:bCs/>
              </w:rPr>
              <w:t>分值范围</w:t>
            </w:r>
          </w:p>
        </w:tc>
      </w:tr>
      <w:tr w14:paraId="3C369B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85" w:type="dxa"/>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14:paraId="5D3F26AB">
            <w:pPr>
              <w:pStyle w:val="7"/>
              <w:widowControl/>
              <w:wordWrap w:val="0"/>
              <w:spacing w:beforeAutospacing="0" w:afterAutospacing="0" w:line="480" w:lineRule="atLeast"/>
              <w:jc w:val="center"/>
              <w:rPr>
                <w:rFonts w:ascii="Times New Roman" w:hAnsi="Times New Roman"/>
                <w:sz w:val="21"/>
                <w:szCs w:val="21"/>
              </w:rPr>
            </w:pPr>
            <w:r>
              <w:rPr>
                <w:rFonts w:hint="eastAsia" w:ascii="宋体" w:hAnsi="宋体" w:cs="宋体"/>
              </w:rPr>
              <w:t>服务方案</w:t>
            </w:r>
          </w:p>
        </w:tc>
        <w:tc>
          <w:tcPr>
            <w:tcW w:w="7031" w:type="dxa"/>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top"/>
          </w:tcPr>
          <w:p w14:paraId="6CB42D8C">
            <w:pPr>
              <w:pStyle w:val="7"/>
              <w:widowControl/>
              <w:wordWrap w:val="0"/>
              <w:spacing w:beforeAutospacing="0" w:afterAutospacing="0" w:line="400" w:lineRule="atLeast"/>
              <w:ind w:firstLine="240" w:firstLineChars="100"/>
              <w:jc w:val="both"/>
              <w:rPr>
                <w:rFonts w:ascii="Times New Roman" w:hAnsi="Times New Roman"/>
                <w:sz w:val="21"/>
                <w:szCs w:val="21"/>
              </w:rPr>
            </w:pPr>
            <w:r>
              <w:rPr>
                <w:rFonts w:hint="eastAsia" w:ascii="宋体" w:hAnsi="宋体" w:cs="宋体"/>
                <w:shd w:val="clear" w:color="auto" w:fill="FFFFFF"/>
              </w:rPr>
              <w:t>根据投标人提供本服务方案的合理性、适用性进行综合评审。</w:t>
            </w:r>
          </w:p>
          <w:p w14:paraId="512CE092">
            <w:pPr>
              <w:pStyle w:val="7"/>
              <w:widowControl/>
              <w:wordWrap w:val="0"/>
              <w:spacing w:beforeAutospacing="0" w:afterAutospacing="0" w:line="400" w:lineRule="atLeast"/>
              <w:ind w:firstLine="480"/>
              <w:jc w:val="both"/>
              <w:rPr>
                <w:rFonts w:ascii="Times New Roman" w:hAnsi="Times New Roman"/>
                <w:sz w:val="21"/>
                <w:szCs w:val="21"/>
              </w:rPr>
            </w:pPr>
            <w:r>
              <w:rPr>
                <w:rFonts w:hint="eastAsia" w:ascii="宋体" w:hAnsi="宋体" w:cs="宋体"/>
                <w:shd w:val="clear" w:color="auto" w:fill="FFFFFF"/>
              </w:rPr>
              <w:t>1.项目方案对基本公共养老服务、青少年服务、纾难解困服务及其他服务群众公益性服务体系架构清晰，有较强的可行性；</w:t>
            </w:r>
          </w:p>
          <w:p w14:paraId="28BEB0F5">
            <w:pPr>
              <w:pStyle w:val="7"/>
              <w:widowControl/>
              <w:wordWrap w:val="0"/>
              <w:spacing w:beforeAutospacing="0" w:afterAutospacing="0" w:line="400" w:lineRule="atLeast"/>
              <w:ind w:firstLine="480"/>
              <w:jc w:val="both"/>
              <w:rPr>
                <w:rFonts w:ascii="Times New Roman" w:hAnsi="Times New Roman"/>
                <w:sz w:val="21"/>
                <w:szCs w:val="21"/>
              </w:rPr>
            </w:pPr>
            <w:r>
              <w:rPr>
                <w:rFonts w:hint="eastAsia" w:ascii="宋体" w:hAnsi="宋体" w:cs="宋体"/>
                <w:shd w:val="clear" w:color="auto" w:fill="FFFFFF"/>
              </w:rPr>
              <w:t>2.提供的服务方案对服务需求内容响应的针对性和完整性；</w:t>
            </w:r>
          </w:p>
          <w:p w14:paraId="78331DA4">
            <w:pPr>
              <w:pStyle w:val="7"/>
              <w:widowControl/>
              <w:wordWrap w:val="0"/>
              <w:spacing w:beforeAutospacing="0" w:afterAutospacing="0" w:line="400" w:lineRule="atLeast"/>
              <w:ind w:firstLine="480"/>
              <w:jc w:val="both"/>
              <w:rPr>
                <w:rFonts w:ascii="Times New Roman" w:hAnsi="Times New Roman"/>
                <w:sz w:val="21"/>
                <w:szCs w:val="21"/>
              </w:rPr>
            </w:pPr>
            <w:r>
              <w:rPr>
                <w:rFonts w:hint="eastAsia" w:ascii="宋体" w:hAnsi="宋体" w:cs="宋体"/>
                <w:shd w:val="clear" w:color="auto" w:fill="FFFFFF"/>
              </w:rPr>
              <w:t>3.根据本辖区的具体情况，结合项目采购需求内的服务要求及时间、频次要求，专业分工与项目匹配，易于执行，由专人负责，制定的推进计划(分项时间安排、服务人员分配等)合理性、有效性以及可行性。</w:t>
            </w:r>
          </w:p>
          <w:p w14:paraId="22A8C8AD">
            <w:pPr>
              <w:pStyle w:val="7"/>
              <w:widowControl/>
              <w:wordWrap w:val="0"/>
              <w:spacing w:beforeAutospacing="0" w:afterAutospacing="0" w:line="400" w:lineRule="atLeast"/>
              <w:ind w:firstLine="482"/>
              <w:jc w:val="both"/>
              <w:rPr>
                <w:rFonts w:hint="eastAsia" w:ascii="宋体" w:hAnsi="宋体" w:cs="宋体"/>
                <w:b/>
                <w:bCs/>
                <w:shd w:val="clear" w:color="auto" w:fill="FFFFFF"/>
              </w:rPr>
            </w:pPr>
            <w:r>
              <w:rPr>
                <w:rFonts w:hint="eastAsia" w:ascii="宋体" w:hAnsi="宋体" w:cs="宋体"/>
                <w:b/>
                <w:bCs/>
                <w:shd w:val="clear" w:color="auto" w:fill="FFFFFF"/>
              </w:rPr>
              <w:t>分三个级别，优：16-20分；良：11-15分；一般：6-10分，差：1-5分，未提供不得分</w:t>
            </w:r>
            <w:r>
              <w:rPr>
                <w:rFonts w:hint="eastAsia" w:ascii="宋体" w:hAnsi="宋体" w:cs="宋体"/>
                <w:b/>
                <w:bCs/>
                <w:shd w:val="clear" w:color="auto" w:fill="FFFFFF"/>
                <w:lang w:val="en-US" w:eastAsia="zh-CN"/>
              </w:rPr>
              <w:t xml:space="preserve"> </w:t>
            </w:r>
            <w:r>
              <w:rPr>
                <w:rFonts w:hint="eastAsia" w:ascii="宋体" w:hAnsi="宋体" w:cs="宋体"/>
                <w:b/>
                <w:bCs/>
                <w:shd w:val="clear" w:color="auto" w:fill="FFFFFF"/>
              </w:rPr>
              <w:t>（评委根据方案优劣酌情打分）。</w:t>
            </w:r>
          </w:p>
        </w:tc>
        <w:tc>
          <w:tcPr>
            <w:tcW w:w="1283" w:type="dxa"/>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14:paraId="0B786568">
            <w:pPr>
              <w:pStyle w:val="7"/>
              <w:widowControl/>
              <w:wordWrap w:val="0"/>
              <w:spacing w:before="181" w:beforeAutospacing="0" w:afterAutospacing="0"/>
              <w:ind w:right="29" w:firstLine="240"/>
              <w:jc w:val="both"/>
              <w:rPr>
                <w:rFonts w:ascii="宋体" w:hAnsi="宋体" w:cs="宋体"/>
              </w:rPr>
            </w:pPr>
            <w:r>
              <w:rPr>
                <w:rFonts w:hint="eastAsia" w:ascii="宋体" w:hAnsi="宋体" w:cs="宋体"/>
              </w:rPr>
              <w:t>0-20分</w:t>
            </w:r>
          </w:p>
        </w:tc>
      </w:tr>
      <w:tr w14:paraId="4689D4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94" w:hRule="atLeast"/>
        </w:trPr>
        <w:tc>
          <w:tcPr>
            <w:tcW w:w="1285" w:type="dxa"/>
            <w:tcBorders>
              <w:top w:val="nil"/>
              <w:left w:val="single" w:color="auto" w:sz="6" w:space="0"/>
              <w:bottom w:val="single" w:color="auto" w:sz="4" w:space="0"/>
              <w:right w:val="single" w:color="auto" w:sz="6" w:space="0"/>
            </w:tcBorders>
            <w:noWrap w:val="0"/>
            <w:tcMar>
              <w:top w:w="0" w:type="dxa"/>
              <w:left w:w="108" w:type="dxa"/>
              <w:bottom w:w="0" w:type="dxa"/>
              <w:right w:w="108" w:type="dxa"/>
            </w:tcMar>
            <w:vAlign w:val="center"/>
          </w:tcPr>
          <w:p w14:paraId="4C05867E">
            <w:pPr>
              <w:pStyle w:val="7"/>
              <w:widowControl/>
              <w:wordWrap w:val="0"/>
              <w:spacing w:before="181" w:beforeAutospacing="0" w:afterAutospacing="0"/>
              <w:ind w:right="29"/>
              <w:jc w:val="center"/>
              <w:rPr>
                <w:rFonts w:ascii="宋体" w:hAnsi="宋体" w:cs="宋体"/>
              </w:rPr>
            </w:pPr>
            <w:r>
              <w:rPr>
                <w:rFonts w:hint="eastAsia" w:ascii="宋体" w:hAnsi="宋体" w:cs="宋体"/>
              </w:rPr>
              <w:t>管理制度</w:t>
            </w:r>
          </w:p>
        </w:tc>
        <w:tc>
          <w:tcPr>
            <w:tcW w:w="7031" w:type="dxa"/>
            <w:tcBorders>
              <w:top w:val="nil"/>
              <w:left w:val="single" w:color="auto" w:sz="6" w:space="0"/>
              <w:bottom w:val="single" w:color="auto" w:sz="4" w:space="0"/>
              <w:right w:val="single" w:color="auto" w:sz="6" w:space="0"/>
            </w:tcBorders>
            <w:noWrap w:val="0"/>
            <w:tcMar>
              <w:top w:w="0" w:type="dxa"/>
              <w:left w:w="108" w:type="dxa"/>
              <w:bottom w:w="0" w:type="dxa"/>
              <w:right w:w="108" w:type="dxa"/>
            </w:tcMar>
            <w:vAlign w:val="top"/>
          </w:tcPr>
          <w:p w14:paraId="23BA0C31">
            <w:pPr>
              <w:pStyle w:val="7"/>
              <w:widowControl/>
              <w:wordWrap w:val="0"/>
              <w:spacing w:beforeAutospacing="0" w:afterAutospacing="0" w:line="400" w:lineRule="atLeast"/>
              <w:ind w:firstLine="480" w:firstLineChars="200"/>
              <w:jc w:val="both"/>
              <w:rPr>
                <w:rFonts w:ascii="Times New Roman" w:hAnsi="Times New Roman"/>
                <w:sz w:val="21"/>
                <w:szCs w:val="21"/>
              </w:rPr>
            </w:pPr>
            <w:r>
              <w:rPr>
                <w:rFonts w:hint="eastAsia" w:ascii="宋体" w:hAnsi="宋体" w:cs="宋体"/>
                <w:shd w:val="clear" w:color="auto" w:fill="FFFFFF"/>
              </w:rPr>
              <w:t>投标人机构内部治理结构明晰规范,具备业务需要的管理制度和符合相关法律法规的工作流程、业务规则；制定相关业务需要的管理制度（岗位职责、培训制度、考核奖惩制度、档案管理制度、人员管理制度、工作制度、服务质量内部监管制度、服务对象回访制度、意见反馈及投诉处理制度、服务风险防范措施和制度、突发公共事件响应机制、突发事件应急预案制度、安全制度、与社区联系联动制度等）。</w:t>
            </w:r>
          </w:p>
          <w:p w14:paraId="38F81F16">
            <w:pPr>
              <w:pStyle w:val="7"/>
              <w:widowControl/>
              <w:wordWrap w:val="0"/>
              <w:spacing w:beforeAutospacing="0" w:afterAutospacing="0" w:line="400" w:lineRule="atLeast"/>
              <w:ind w:firstLine="480"/>
              <w:jc w:val="both"/>
              <w:rPr>
                <w:rFonts w:ascii="Times New Roman" w:hAnsi="Times New Roman"/>
                <w:sz w:val="21"/>
                <w:szCs w:val="21"/>
              </w:rPr>
            </w:pPr>
            <w:r>
              <w:rPr>
                <w:rFonts w:hint="eastAsia" w:ascii="宋体" w:hAnsi="宋体" w:cs="宋体"/>
                <w:shd w:val="clear" w:color="auto" w:fill="FFFFFF"/>
              </w:rPr>
              <w:t>评标委员会根据招标公告要求及投标人提供的管理制度进行评分。</w:t>
            </w:r>
          </w:p>
          <w:p w14:paraId="289F8FF4">
            <w:pPr>
              <w:pStyle w:val="7"/>
              <w:widowControl/>
              <w:wordWrap w:val="0"/>
              <w:spacing w:beforeAutospacing="0" w:afterAutospacing="0" w:line="400" w:lineRule="atLeast"/>
              <w:ind w:firstLine="482"/>
              <w:jc w:val="both"/>
              <w:rPr>
                <w:rFonts w:ascii="Times New Roman" w:hAnsi="Times New Roman"/>
                <w:b w:val="0"/>
                <w:bCs w:val="0"/>
                <w:sz w:val="21"/>
                <w:szCs w:val="21"/>
              </w:rPr>
            </w:pPr>
            <w:r>
              <w:rPr>
                <w:rFonts w:hint="eastAsia" w:ascii="宋体" w:hAnsi="宋体" w:cs="宋体"/>
                <w:b w:val="0"/>
                <w:bCs w:val="0"/>
                <w:shd w:val="clear" w:color="auto" w:fill="FFFFFF"/>
              </w:rPr>
              <w:t>1.基础分（</w:t>
            </w:r>
            <w:r>
              <w:rPr>
                <w:rFonts w:hint="eastAsia" w:ascii="宋体" w:hAnsi="宋体" w:cs="宋体"/>
                <w:b/>
                <w:bCs/>
                <w:shd w:val="clear" w:color="auto" w:fill="FFFFFF"/>
              </w:rPr>
              <w:t>满分10分</w:t>
            </w:r>
            <w:r>
              <w:rPr>
                <w:rFonts w:hint="eastAsia" w:ascii="宋体" w:hAnsi="宋体" w:cs="宋体"/>
                <w:b w:val="0"/>
                <w:bCs w:val="0"/>
                <w:shd w:val="clear" w:color="auto" w:fill="FFFFFF"/>
              </w:rPr>
              <w:t>），方案中制定了管理制度，且各项制度符合相关法律法规及政策规定，制度健全且无疏漏的得</w:t>
            </w:r>
            <w:r>
              <w:rPr>
                <w:rFonts w:hint="eastAsia" w:ascii="宋体" w:hAnsi="宋体" w:cs="宋体"/>
                <w:b/>
                <w:bCs/>
                <w:shd w:val="clear" w:color="auto" w:fill="FFFFFF"/>
              </w:rPr>
              <w:t>8（含）-10分</w:t>
            </w:r>
            <w:r>
              <w:rPr>
                <w:rFonts w:hint="eastAsia" w:ascii="宋体" w:hAnsi="宋体" w:cs="宋体"/>
                <w:b w:val="0"/>
                <w:bCs w:val="0"/>
                <w:shd w:val="clear" w:color="auto" w:fill="FFFFFF"/>
              </w:rPr>
              <w:t>，制度较全但有部分疏漏的得</w:t>
            </w:r>
            <w:r>
              <w:rPr>
                <w:rFonts w:hint="eastAsia" w:ascii="宋体" w:hAnsi="宋体" w:cs="宋体"/>
                <w:b/>
                <w:bCs/>
                <w:shd w:val="clear" w:color="auto" w:fill="FFFFFF"/>
              </w:rPr>
              <w:t>4（含）-8（不含）分</w:t>
            </w:r>
            <w:r>
              <w:rPr>
                <w:rFonts w:hint="eastAsia" w:ascii="宋体" w:hAnsi="宋体" w:cs="宋体"/>
                <w:b w:val="0"/>
                <w:bCs w:val="0"/>
                <w:shd w:val="clear" w:color="auto" w:fill="FFFFFF"/>
              </w:rPr>
              <w:t>，制度不全且有明显疏漏的得</w:t>
            </w:r>
            <w:r>
              <w:rPr>
                <w:rFonts w:hint="eastAsia" w:ascii="宋体" w:hAnsi="宋体" w:cs="宋体"/>
                <w:b/>
                <w:bCs/>
                <w:shd w:val="clear" w:color="auto" w:fill="FFFFFF"/>
              </w:rPr>
              <w:t>0-4（不含）分</w:t>
            </w:r>
            <w:r>
              <w:rPr>
                <w:rFonts w:hint="eastAsia" w:ascii="宋体" w:hAnsi="宋体" w:cs="宋体"/>
                <w:b w:val="0"/>
                <w:bCs w:val="0"/>
                <w:shd w:val="clear" w:color="auto" w:fill="FFFFFF"/>
              </w:rPr>
              <w:t>；</w:t>
            </w:r>
          </w:p>
          <w:p w14:paraId="5B1A15E0">
            <w:pPr>
              <w:pStyle w:val="7"/>
              <w:widowControl/>
              <w:wordWrap w:val="0"/>
              <w:spacing w:beforeAutospacing="0" w:afterAutospacing="0" w:line="400" w:lineRule="atLeast"/>
              <w:ind w:firstLine="482"/>
              <w:jc w:val="both"/>
              <w:rPr>
                <w:rFonts w:hint="eastAsia" w:ascii="宋体" w:hAnsi="宋体" w:cs="宋体"/>
                <w:b w:val="0"/>
                <w:bCs w:val="0"/>
                <w:shd w:val="clear" w:color="auto" w:fill="FFFFFF"/>
              </w:rPr>
            </w:pPr>
            <w:r>
              <w:rPr>
                <w:rFonts w:hint="eastAsia" w:ascii="宋体" w:hAnsi="宋体" w:cs="宋体"/>
                <w:b w:val="0"/>
                <w:bCs w:val="0"/>
                <w:shd w:val="clear" w:color="auto" w:fill="FFFFFF"/>
              </w:rPr>
              <w:t>2.制度评价（</w:t>
            </w:r>
            <w:r>
              <w:rPr>
                <w:rFonts w:hint="eastAsia" w:ascii="宋体" w:hAnsi="宋体" w:cs="宋体"/>
                <w:b/>
                <w:bCs/>
                <w:shd w:val="clear" w:color="auto" w:fill="FFFFFF"/>
              </w:rPr>
              <w:t>满分5分</w:t>
            </w:r>
            <w:r>
              <w:rPr>
                <w:rFonts w:hint="eastAsia" w:ascii="宋体" w:hAnsi="宋体" w:cs="宋体"/>
                <w:b w:val="0"/>
                <w:bCs w:val="0"/>
                <w:shd w:val="clear" w:color="auto" w:fill="FFFFFF"/>
              </w:rPr>
              <w:t>），根据项目管理制度的可行性、实践性、先进性进行评分，较优者得</w:t>
            </w:r>
            <w:r>
              <w:rPr>
                <w:rFonts w:hint="eastAsia" w:ascii="宋体" w:hAnsi="宋体" w:cs="宋体"/>
                <w:b/>
                <w:bCs/>
                <w:shd w:val="clear" w:color="auto" w:fill="FFFFFF"/>
              </w:rPr>
              <w:t>4（含）-5分</w:t>
            </w:r>
            <w:r>
              <w:rPr>
                <w:rFonts w:hint="eastAsia" w:ascii="宋体" w:hAnsi="宋体" w:cs="宋体"/>
                <w:b w:val="0"/>
                <w:bCs w:val="0"/>
                <w:shd w:val="clear" w:color="auto" w:fill="FFFFFF"/>
              </w:rPr>
              <w:t>；一般者得</w:t>
            </w:r>
            <w:r>
              <w:rPr>
                <w:rFonts w:hint="eastAsia" w:ascii="宋体" w:hAnsi="宋体" w:cs="宋体"/>
                <w:b/>
                <w:bCs/>
                <w:shd w:val="clear" w:color="auto" w:fill="FFFFFF"/>
              </w:rPr>
              <w:t>2（含）-4（不含）分</w:t>
            </w:r>
            <w:r>
              <w:rPr>
                <w:rFonts w:hint="eastAsia" w:ascii="宋体" w:hAnsi="宋体" w:cs="宋体"/>
                <w:b w:val="0"/>
                <w:bCs w:val="0"/>
                <w:shd w:val="clear" w:color="auto" w:fill="FFFFFF"/>
              </w:rPr>
              <w:t>；其他得</w:t>
            </w:r>
            <w:r>
              <w:rPr>
                <w:rFonts w:hint="eastAsia" w:ascii="宋体" w:hAnsi="宋体" w:cs="宋体"/>
                <w:b/>
                <w:bCs/>
                <w:shd w:val="clear" w:color="auto" w:fill="FFFFFF"/>
              </w:rPr>
              <w:t>0-2（不含）分</w:t>
            </w:r>
            <w:r>
              <w:rPr>
                <w:rFonts w:hint="eastAsia" w:ascii="宋体" w:hAnsi="宋体" w:cs="宋体"/>
                <w:b w:val="0"/>
                <w:bCs w:val="0"/>
                <w:shd w:val="clear" w:color="auto" w:fill="FFFFFF"/>
              </w:rPr>
              <w:t>；</w:t>
            </w:r>
          </w:p>
          <w:p w14:paraId="55709205">
            <w:pPr>
              <w:pStyle w:val="7"/>
              <w:widowControl/>
              <w:wordWrap w:val="0"/>
              <w:spacing w:beforeAutospacing="0" w:afterAutospacing="0" w:line="400" w:lineRule="atLeast"/>
              <w:ind w:firstLine="482" w:firstLineChars="200"/>
              <w:jc w:val="both"/>
              <w:rPr>
                <w:rFonts w:ascii="Times New Roman" w:hAnsi="Times New Roman"/>
                <w:sz w:val="21"/>
                <w:szCs w:val="21"/>
              </w:rPr>
            </w:pPr>
            <w:r>
              <w:rPr>
                <w:rFonts w:hint="eastAsia" w:ascii="宋体" w:hAnsi="宋体" w:cs="宋体"/>
                <w:b/>
                <w:bCs/>
                <w:shd w:val="clear" w:color="auto" w:fill="FFFFFF"/>
              </w:rPr>
              <w:t>方案未提供不得分。</w:t>
            </w:r>
          </w:p>
        </w:tc>
        <w:tc>
          <w:tcPr>
            <w:tcW w:w="1283" w:type="dxa"/>
            <w:tcBorders>
              <w:top w:val="nil"/>
              <w:left w:val="single" w:color="auto" w:sz="6" w:space="0"/>
              <w:bottom w:val="single" w:color="auto" w:sz="4" w:space="0"/>
              <w:right w:val="single" w:color="auto" w:sz="6" w:space="0"/>
            </w:tcBorders>
            <w:noWrap w:val="0"/>
            <w:tcMar>
              <w:top w:w="0" w:type="dxa"/>
              <w:left w:w="108" w:type="dxa"/>
              <w:bottom w:w="0" w:type="dxa"/>
              <w:right w:w="108" w:type="dxa"/>
            </w:tcMar>
            <w:vAlign w:val="center"/>
          </w:tcPr>
          <w:p w14:paraId="1967966B">
            <w:pPr>
              <w:pStyle w:val="7"/>
              <w:widowControl/>
              <w:wordWrap w:val="0"/>
              <w:spacing w:before="181" w:beforeAutospacing="0" w:afterAutospacing="0"/>
              <w:ind w:right="29" w:firstLine="240"/>
              <w:jc w:val="both"/>
              <w:rPr>
                <w:rFonts w:ascii="宋体" w:hAnsi="宋体" w:cs="宋体"/>
              </w:rPr>
            </w:pPr>
            <w:r>
              <w:rPr>
                <w:rFonts w:hint="eastAsia" w:ascii="宋体" w:hAnsi="宋体" w:cs="宋体"/>
              </w:rPr>
              <w:t>0-15分</w:t>
            </w:r>
          </w:p>
        </w:tc>
      </w:tr>
      <w:tr w14:paraId="2B41EF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 w:hRule="atLeast"/>
        </w:trPr>
        <w:tc>
          <w:tcPr>
            <w:tcW w:w="1285" w:type="dxa"/>
            <w:tcBorders>
              <w:top w:val="single" w:color="auto" w:sz="4" w:space="0"/>
              <w:left w:val="single" w:color="auto" w:sz="6" w:space="0"/>
              <w:bottom w:val="single" w:color="auto" w:sz="4" w:space="0"/>
              <w:right w:val="single" w:color="auto" w:sz="6" w:space="0"/>
            </w:tcBorders>
            <w:noWrap w:val="0"/>
            <w:tcMar>
              <w:top w:w="0" w:type="dxa"/>
              <w:left w:w="108" w:type="dxa"/>
              <w:bottom w:w="0" w:type="dxa"/>
              <w:right w:w="108" w:type="dxa"/>
            </w:tcMar>
            <w:vAlign w:val="center"/>
          </w:tcPr>
          <w:p w14:paraId="2E458B4B">
            <w:pPr>
              <w:pStyle w:val="7"/>
              <w:widowControl/>
              <w:wordWrap w:val="0"/>
              <w:spacing w:before="181" w:beforeAutospacing="0" w:afterAutospacing="0"/>
              <w:ind w:left="800" w:right="29"/>
              <w:jc w:val="both"/>
              <w:rPr>
                <w:rFonts w:ascii="宋体" w:hAnsi="宋体" w:cs="宋体"/>
              </w:rPr>
            </w:pPr>
            <w:r>
              <w:rPr>
                <w:rFonts w:hint="eastAsia" w:ascii="宋体" w:hAnsi="宋体" w:cs="宋体"/>
              </w:rPr>
              <w:t> </w:t>
            </w:r>
          </w:p>
          <w:p w14:paraId="659EB3D9">
            <w:pPr>
              <w:pStyle w:val="7"/>
              <w:widowControl/>
              <w:wordWrap w:val="0"/>
              <w:spacing w:before="181" w:beforeAutospacing="0" w:afterAutospacing="0"/>
              <w:ind w:right="29"/>
              <w:jc w:val="both"/>
              <w:rPr>
                <w:rFonts w:ascii="宋体" w:hAnsi="宋体" w:cs="宋体"/>
              </w:rPr>
            </w:pPr>
            <w:r>
              <w:rPr>
                <w:rFonts w:hint="eastAsia" w:ascii="宋体" w:hAnsi="宋体" w:cs="宋体"/>
                <w:shd w:val="clear" w:color="auto" w:fill="FFFFFF"/>
              </w:rPr>
              <w:t>人员配备</w:t>
            </w:r>
          </w:p>
        </w:tc>
        <w:tc>
          <w:tcPr>
            <w:tcW w:w="7031" w:type="dxa"/>
            <w:tcBorders>
              <w:top w:val="single" w:color="auto" w:sz="4" w:space="0"/>
              <w:left w:val="single" w:color="auto" w:sz="6" w:space="0"/>
              <w:bottom w:val="single" w:color="auto" w:sz="4" w:space="0"/>
              <w:right w:val="single" w:color="auto" w:sz="6" w:space="0"/>
            </w:tcBorders>
            <w:noWrap w:val="0"/>
            <w:tcMar>
              <w:top w:w="0" w:type="dxa"/>
              <w:left w:w="108" w:type="dxa"/>
              <w:bottom w:w="0" w:type="dxa"/>
              <w:right w:w="108" w:type="dxa"/>
            </w:tcMar>
            <w:vAlign w:val="top"/>
          </w:tcPr>
          <w:p w14:paraId="2801A198">
            <w:pPr>
              <w:pStyle w:val="7"/>
              <w:widowControl/>
              <w:wordWrap w:val="0"/>
              <w:spacing w:beforeAutospacing="0" w:afterAutospacing="0" w:line="400" w:lineRule="atLeast"/>
              <w:ind w:firstLine="482" w:firstLineChars="200"/>
              <w:jc w:val="both"/>
              <w:rPr>
                <w:rFonts w:ascii="Times New Roman" w:hAnsi="Times New Roman"/>
                <w:sz w:val="21"/>
                <w:szCs w:val="21"/>
              </w:rPr>
            </w:pPr>
            <w:r>
              <w:rPr>
                <w:rFonts w:hint="eastAsia" w:ascii="宋体" w:hAnsi="宋体" w:cs="宋体"/>
                <w:b/>
                <w:bCs/>
                <w:shd w:val="clear" w:color="auto" w:fill="FFFFFF"/>
              </w:rPr>
              <w:t>1、项目负责人(1人，满分10分)</w:t>
            </w:r>
          </w:p>
          <w:p w14:paraId="7383AA36">
            <w:pPr>
              <w:pStyle w:val="7"/>
              <w:widowControl/>
              <w:wordWrap w:val="0"/>
              <w:spacing w:beforeAutospacing="0" w:afterAutospacing="0" w:line="400" w:lineRule="atLeast"/>
              <w:ind w:firstLine="480"/>
              <w:jc w:val="both"/>
              <w:rPr>
                <w:rFonts w:ascii="Times New Roman" w:hAnsi="Times New Roman"/>
                <w:sz w:val="21"/>
                <w:szCs w:val="21"/>
              </w:rPr>
            </w:pPr>
            <w:r>
              <w:rPr>
                <w:rFonts w:hint="eastAsia" w:ascii="宋体" w:hAnsi="宋体" w:cs="宋体"/>
                <w:shd w:val="clear" w:color="auto" w:fill="FFFFFF"/>
              </w:rPr>
              <w:t>(1)具有</w:t>
            </w:r>
            <w:r>
              <w:rPr>
                <w:rFonts w:hint="eastAsia" w:ascii="宋体" w:hAnsi="宋体" w:cs="宋体"/>
                <w:shd w:val="clear" w:color="auto" w:fill="FFFFFF"/>
                <w:lang w:eastAsia="zh-CN"/>
              </w:rPr>
              <w:t>专科学历得</w:t>
            </w:r>
            <w:r>
              <w:rPr>
                <w:rFonts w:hint="eastAsia" w:ascii="宋体" w:hAnsi="宋体" w:cs="宋体"/>
                <w:b/>
                <w:bCs/>
                <w:shd w:val="clear" w:color="auto" w:fill="FFFFFF"/>
                <w:lang w:val="en-US" w:eastAsia="zh-CN"/>
              </w:rPr>
              <w:t>1分</w:t>
            </w:r>
            <w:r>
              <w:rPr>
                <w:rFonts w:hint="eastAsia" w:ascii="宋体" w:hAnsi="宋体" w:cs="宋体"/>
                <w:shd w:val="clear" w:color="auto" w:fill="FFFFFF"/>
                <w:lang w:val="en-US" w:eastAsia="zh-CN"/>
              </w:rPr>
              <w:t>，</w:t>
            </w:r>
            <w:r>
              <w:rPr>
                <w:rFonts w:hint="eastAsia" w:ascii="宋体" w:hAnsi="宋体" w:cs="宋体"/>
                <w:shd w:val="clear" w:color="auto" w:fill="FFFFFF"/>
              </w:rPr>
              <w:t>本科学历得</w:t>
            </w:r>
            <w:r>
              <w:rPr>
                <w:rFonts w:hint="eastAsia" w:ascii="宋体" w:hAnsi="宋体" w:cs="宋体"/>
                <w:b/>
                <w:bCs/>
                <w:shd w:val="clear" w:color="auto" w:fill="FFFFFF"/>
                <w:lang w:val="en-US" w:eastAsia="zh-CN"/>
              </w:rPr>
              <w:t>2</w:t>
            </w:r>
            <w:r>
              <w:rPr>
                <w:rFonts w:hint="eastAsia" w:ascii="宋体" w:hAnsi="宋体" w:cs="宋体"/>
                <w:b/>
                <w:bCs/>
                <w:shd w:val="clear" w:color="auto" w:fill="FFFFFF"/>
              </w:rPr>
              <w:t>分；</w:t>
            </w:r>
          </w:p>
          <w:p w14:paraId="35AF99E5">
            <w:pPr>
              <w:pStyle w:val="7"/>
              <w:widowControl/>
              <w:wordWrap w:val="0"/>
              <w:spacing w:beforeAutospacing="0" w:afterAutospacing="0" w:line="400" w:lineRule="atLeast"/>
              <w:ind w:firstLine="480"/>
              <w:jc w:val="both"/>
              <w:rPr>
                <w:rFonts w:ascii="Times New Roman" w:hAnsi="Times New Roman"/>
                <w:sz w:val="21"/>
                <w:szCs w:val="21"/>
              </w:rPr>
            </w:pPr>
            <w:r>
              <w:rPr>
                <w:rFonts w:hint="eastAsia" w:ascii="宋体" w:hAnsi="宋体" w:cs="宋体"/>
                <w:shd w:val="clear" w:color="auto" w:fill="FFFFFF"/>
              </w:rPr>
              <w:t>(2)持有国家人力资源和社会保障部颁发的全国中级及以上社会工作职业资格证书，且具有社会组织5年及以上相关项目管理经验的，得</w:t>
            </w:r>
            <w:r>
              <w:rPr>
                <w:rFonts w:hint="eastAsia" w:ascii="宋体" w:hAnsi="宋体" w:cs="宋体"/>
                <w:b/>
                <w:bCs/>
                <w:shd w:val="clear" w:color="auto" w:fill="FFFFFF"/>
                <w:lang w:val="en-US" w:eastAsia="zh-CN"/>
              </w:rPr>
              <w:t>2</w:t>
            </w:r>
            <w:r>
              <w:rPr>
                <w:rFonts w:hint="eastAsia" w:ascii="宋体" w:hAnsi="宋体" w:cs="宋体"/>
                <w:b/>
                <w:bCs/>
                <w:shd w:val="clear" w:color="auto" w:fill="FFFFFF"/>
              </w:rPr>
              <w:t>分</w:t>
            </w:r>
            <w:r>
              <w:rPr>
                <w:rFonts w:hint="eastAsia" w:ascii="宋体" w:hAnsi="宋体" w:cs="宋体"/>
                <w:shd w:val="clear" w:color="auto" w:fill="FFFFFF"/>
              </w:rPr>
              <w:t>（注：社会组织包含：民办非企业单位、社会团体、基金会）；</w:t>
            </w:r>
          </w:p>
          <w:p w14:paraId="69878C6E">
            <w:pPr>
              <w:pStyle w:val="7"/>
              <w:widowControl/>
              <w:wordWrap w:val="0"/>
              <w:spacing w:beforeAutospacing="0" w:afterAutospacing="0" w:line="400" w:lineRule="atLeast"/>
              <w:ind w:firstLine="480"/>
              <w:jc w:val="both"/>
              <w:rPr>
                <w:rFonts w:ascii="Times New Roman" w:hAnsi="Times New Roman"/>
                <w:b/>
                <w:bCs/>
                <w:sz w:val="21"/>
                <w:szCs w:val="21"/>
                <w:highlight w:val="none"/>
              </w:rPr>
            </w:pPr>
            <w:r>
              <w:rPr>
                <w:rFonts w:hint="eastAsia" w:ascii="宋体" w:hAnsi="宋体" w:cs="宋体"/>
                <w:highlight w:val="none"/>
                <w:shd w:val="clear" w:color="auto" w:fill="FFFFFF"/>
              </w:rPr>
              <w:t>(3)获得</w:t>
            </w:r>
            <w:r>
              <w:rPr>
                <w:rFonts w:hint="eastAsia" w:ascii="宋体" w:hAnsi="宋体" w:cs="宋体"/>
                <w:highlight w:val="none"/>
                <w:shd w:val="clear" w:color="auto" w:fill="FFFFFF"/>
                <w:lang w:val="en-US" w:eastAsia="zh-CN"/>
              </w:rPr>
              <w:t>党政机关（或事业单位）</w:t>
            </w:r>
            <w:r>
              <w:rPr>
                <w:rFonts w:hint="eastAsia" w:ascii="宋体" w:hAnsi="宋体" w:cs="宋体"/>
                <w:highlight w:val="none"/>
                <w:shd w:val="clear" w:color="auto" w:fill="FFFFFF"/>
              </w:rPr>
              <w:t>颁发的相关荣誉，县（区、县级市）政府部门颁发的，得</w:t>
            </w:r>
            <w:r>
              <w:rPr>
                <w:rFonts w:hint="eastAsia" w:ascii="宋体" w:hAnsi="宋体" w:cs="宋体"/>
                <w:b/>
                <w:bCs/>
                <w:highlight w:val="none"/>
                <w:shd w:val="clear" w:color="auto" w:fill="FFFFFF"/>
                <w:lang w:val="en-US" w:eastAsia="zh-CN"/>
              </w:rPr>
              <w:t>1</w:t>
            </w:r>
            <w:r>
              <w:rPr>
                <w:rFonts w:hint="eastAsia" w:ascii="宋体" w:hAnsi="宋体" w:cs="宋体"/>
                <w:b/>
                <w:bCs/>
                <w:highlight w:val="none"/>
                <w:shd w:val="clear" w:color="auto" w:fill="FFFFFF"/>
              </w:rPr>
              <w:t>分</w:t>
            </w:r>
            <w:r>
              <w:rPr>
                <w:rFonts w:hint="eastAsia" w:ascii="宋体" w:hAnsi="宋体" w:cs="宋体"/>
                <w:highlight w:val="none"/>
                <w:shd w:val="clear" w:color="auto" w:fill="FFFFFF"/>
                <w:lang w:eastAsia="zh-CN"/>
              </w:rPr>
              <w:t>；</w:t>
            </w:r>
            <w:r>
              <w:rPr>
                <w:rFonts w:hint="eastAsia" w:ascii="宋体" w:hAnsi="宋体" w:cs="宋体"/>
                <w:highlight w:val="none"/>
                <w:shd w:val="clear" w:color="auto" w:fill="FFFFFF"/>
              </w:rPr>
              <w:t>地级市及以上政府部门颁发的，得</w:t>
            </w:r>
            <w:r>
              <w:rPr>
                <w:rFonts w:hint="eastAsia" w:ascii="宋体" w:hAnsi="宋体" w:cs="宋体"/>
                <w:b/>
                <w:bCs/>
                <w:highlight w:val="none"/>
                <w:shd w:val="clear" w:color="auto" w:fill="FFFFFF"/>
                <w:lang w:val="en-US" w:eastAsia="zh-CN"/>
              </w:rPr>
              <w:t>3</w:t>
            </w:r>
            <w:r>
              <w:rPr>
                <w:rFonts w:hint="eastAsia" w:ascii="宋体" w:hAnsi="宋体" w:cs="宋体"/>
                <w:b/>
                <w:bCs/>
                <w:highlight w:val="none"/>
                <w:shd w:val="clear" w:color="auto" w:fill="FFFFFF"/>
              </w:rPr>
              <w:t>分</w:t>
            </w:r>
            <w:r>
              <w:rPr>
                <w:rFonts w:hint="eastAsia" w:ascii="宋体" w:hAnsi="宋体" w:cs="宋体"/>
                <w:highlight w:val="none"/>
                <w:shd w:val="clear" w:color="auto" w:fill="FFFFFF"/>
              </w:rPr>
              <w:t>。</w:t>
            </w:r>
            <w:r>
              <w:rPr>
                <w:rFonts w:hint="eastAsia" w:ascii="宋体" w:hAnsi="宋体" w:cs="宋体"/>
                <w:b/>
                <w:bCs/>
                <w:highlight w:val="none"/>
                <w:shd w:val="clear" w:color="auto" w:fill="FFFFFF"/>
              </w:rPr>
              <w:t>本项满分</w:t>
            </w:r>
            <w:r>
              <w:rPr>
                <w:rFonts w:hint="eastAsia" w:ascii="宋体" w:hAnsi="宋体" w:cs="宋体"/>
                <w:b/>
                <w:bCs/>
                <w:highlight w:val="none"/>
                <w:shd w:val="clear" w:color="auto" w:fill="FFFFFF"/>
                <w:lang w:val="en-US" w:eastAsia="zh-CN"/>
              </w:rPr>
              <w:t>6</w:t>
            </w:r>
            <w:r>
              <w:rPr>
                <w:rFonts w:hint="eastAsia" w:ascii="宋体" w:hAnsi="宋体" w:cs="宋体"/>
                <w:b/>
                <w:bCs/>
                <w:highlight w:val="none"/>
                <w:shd w:val="clear" w:color="auto" w:fill="FFFFFF"/>
              </w:rPr>
              <w:t>分。</w:t>
            </w:r>
          </w:p>
          <w:p w14:paraId="3DEF9E0C">
            <w:pPr>
              <w:pStyle w:val="7"/>
              <w:widowControl/>
              <w:wordWrap w:val="0"/>
              <w:spacing w:beforeAutospacing="0" w:afterAutospacing="0" w:line="400" w:lineRule="atLeast"/>
              <w:ind w:firstLine="482"/>
              <w:jc w:val="both"/>
              <w:rPr>
                <w:rFonts w:ascii="Times New Roman" w:hAnsi="Times New Roman"/>
                <w:sz w:val="21"/>
                <w:szCs w:val="21"/>
                <w:highlight w:val="none"/>
              </w:rPr>
            </w:pPr>
            <w:r>
              <w:rPr>
                <w:rFonts w:hint="eastAsia" w:ascii="宋体" w:hAnsi="宋体" w:cs="宋体"/>
                <w:b/>
                <w:bCs/>
                <w:highlight w:val="none"/>
                <w:shd w:val="clear" w:color="auto" w:fill="FFFFFF"/>
              </w:rPr>
              <w:t>2、投标人为本项目拟配备的项目驻点社工（</w:t>
            </w:r>
            <w:r>
              <w:rPr>
                <w:rFonts w:hint="eastAsia" w:ascii="宋体" w:hAnsi="宋体" w:cs="宋体"/>
                <w:b/>
                <w:bCs/>
                <w:highlight w:val="none"/>
                <w:shd w:val="clear" w:color="auto" w:fill="FFFFFF"/>
                <w:lang w:val="en-US" w:eastAsia="zh-CN"/>
              </w:rPr>
              <w:t>2</w:t>
            </w:r>
            <w:r>
              <w:rPr>
                <w:rFonts w:hint="eastAsia" w:ascii="宋体" w:hAnsi="宋体" w:cs="宋体"/>
                <w:b/>
                <w:bCs/>
                <w:highlight w:val="none"/>
                <w:shd w:val="clear" w:color="auto" w:fill="FFFFFF"/>
              </w:rPr>
              <w:t>人，不含项目负责人，满分8分）：</w:t>
            </w:r>
          </w:p>
          <w:p w14:paraId="5F613949">
            <w:pPr>
              <w:pStyle w:val="7"/>
              <w:widowControl/>
              <w:wordWrap w:val="0"/>
              <w:spacing w:beforeAutospacing="0" w:afterAutospacing="0" w:line="400" w:lineRule="atLeast"/>
              <w:ind w:firstLine="480"/>
              <w:jc w:val="both"/>
              <w:rPr>
                <w:rFonts w:ascii="Times New Roman" w:hAnsi="Times New Roman"/>
                <w:sz w:val="21"/>
                <w:szCs w:val="21"/>
                <w:highlight w:val="none"/>
              </w:rPr>
            </w:pPr>
            <w:r>
              <w:rPr>
                <w:rFonts w:hint="eastAsia" w:ascii="宋体" w:hAnsi="宋体" w:cs="宋体"/>
                <w:highlight w:val="none"/>
                <w:shd w:val="clear" w:color="auto" w:fill="FFFFFF"/>
              </w:rPr>
              <w:t>（1）具有社会工作、社会学等相关专业大专学历，得4分</w:t>
            </w:r>
            <w:r>
              <w:rPr>
                <w:rFonts w:hint="eastAsia" w:ascii="宋体" w:hAnsi="宋体" w:cs="宋体"/>
                <w:highlight w:val="none"/>
                <w:shd w:val="clear" w:color="auto" w:fill="FFFFFF"/>
                <w:lang w:eastAsia="zh-CN"/>
              </w:rPr>
              <w:t>；</w:t>
            </w:r>
            <w:r>
              <w:rPr>
                <w:rFonts w:hint="eastAsia" w:ascii="宋体" w:hAnsi="宋体" w:cs="宋体"/>
                <w:highlight w:val="none"/>
                <w:shd w:val="clear" w:color="auto" w:fill="FFFFFF"/>
              </w:rPr>
              <w:t>具有社会工作、社会学等相关</w:t>
            </w:r>
            <w:r>
              <w:rPr>
                <w:rFonts w:hint="eastAsia" w:ascii="宋体" w:hAnsi="宋体" w:cs="宋体"/>
                <w:highlight w:val="none"/>
                <w:shd w:val="clear" w:color="auto" w:fill="FFFFFF"/>
                <w:lang w:val="en-US" w:eastAsia="zh-CN"/>
              </w:rPr>
              <w:t>专业本科及以上</w:t>
            </w:r>
            <w:r>
              <w:rPr>
                <w:rFonts w:hint="eastAsia" w:ascii="宋体" w:hAnsi="宋体" w:cs="宋体"/>
                <w:highlight w:val="none"/>
                <w:shd w:val="clear" w:color="auto" w:fill="FFFFFF"/>
              </w:rPr>
              <w:t>学历，得</w:t>
            </w:r>
            <w:r>
              <w:rPr>
                <w:rFonts w:hint="eastAsia" w:ascii="宋体" w:hAnsi="宋体" w:cs="宋体"/>
                <w:highlight w:val="none"/>
                <w:shd w:val="clear" w:color="auto" w:fill="FFFFFF"/>
                <w:lang w:val="en-US" w:eastAsia="zh-CN"/>
              </w:rPr>
              <w:t>6</w:t>
            </w:r>
            <w:r>
              <w:rPr>
                <w:rFonts w:hint="eastAsia" w:ascii="宋体" w:hAnsi="宋体" w:cs="宋体"/>
                <w:highlight w:val="none"/>
                <w:shd w:val="clear" w:color="auto" w:fill="FFFFFF"/>
              </w:rPr>
              <w:t>分</w:t>
            </w:r>
            <w:r>
              <w:rPr>
                <w:rFonts w:hint="eastAsia" w:ascii="宋体" w:hAnsi="宋体" w:cs="宋体"/>
                <w:highlight w:val="none"/>
                <w:shd w:val="clear" w:color="auto" w:fill="FFFFFF"/>
                <w:lang w:eastAsia="zh-CN"/>
              </w:rPr>
              <w:t>；</w:t>
            </w:r>
            <w:r>
              <w:rPr>
                <w:rFonts w:hint="eastAsia" w:ascii="宋体" w:hAnsi="宋体" w:cs="宋体"/>
                <w:b w:val="0"/>
                <w:bCs w:val="0"/>
                <w:highlight w:val="none"/>
                <w:shd w:val="clear" w:color="auto" w:fill="FFFFFF"/>
                <w:lang w:eastAsia="zh-CN"/>
              </w:rPr>
              <w:t>最高</w:t>
            </w:r>
            <w:r>
              <w:rPr>
                <w:rFonts w:hint="eastAsia" w:ascii="宋体" w:hAnsi="宋体" w:cs="宋体"/>
                <w:b/>
                <w:bCs/>
                <w:highlight w:val="none"/>
                <w:shd w:val="clear" w:color="auto" w:fill="FFFFFF"/>
                <w:lang w:eastAsia="zh-CN"/>
              </w:rPr>
              <w:t>得</w:t>
            </w:r>
            <w:r>
              <w:rPr>
                <w:rFonts w:hint="eastAsia" w:ascii="宋体" w:hAnsi="宋体" w:cs="宋体"/>
                <w:b/>
                <w:bCs/>
                <w:highlight w:val="none"/>
                <w:shd w:val="clear" w:color="auto" w:fill="FFFFFF"/>
              </w:rPr>
              <w:t>6分</w:t>
            </w:r>
            <w:r>
              <w:rPr>
                <w:rFonts w:hint="eastAsia" w:ascii="宋体" w:hAnsi="宋体" w:cs="宋体"/>
                <w:highlight w:val="none"/>
                <w:shd w:val="clear" w:color="auto" w:fill="FFFFFF"/>
              </w:rPr>
              <w:t>。</w:t>
            </w:r>
          </w:p>
          <w:p w14:paraId="3F65EEDD">
            <w:pPr>
              <w:pStyle w:val="7"/>
              <w:widowControl/>
              <w:wordWrap w:val="0"/>
              <w:spacing w:beforeAutospacing="0" w:afterAutospacing="0" w:line="400" w:lineRule="atLeast"/>
              <w:ind w:firstLine="480"/>
              <w:jc w:val="both"/>
              <w:rPr>
                <w:rFonts w:ascii="Times New Roman" w:hAnsi="Times New Roman"/>
                <w:b/>
                <w:bCs/>
                <w:sz w:val="21"/>
                <w:szCs w:val="21"/>
              </w:rPr>
            </w:pPr>
            <w:r>
              <w:rPr>
                <w:rFonts w:hint="eastAsia" w:ascii="宋体" w:hAnsi="宋体" w:cs="宋体"/>
                <w:shd w:val="clear" w:color="auto" w:fill="FFFFFF"/>
              </w:rPr>
              <w:t>（2）具有</w:t>
            </w:r>
            <w:r>
              <w:rPr>
                <w:rFonts w:hint="eastAsia" w:ascii="宋体" w:hAnsi="宋体" w:cs="宋体"/>
                <w:shd w:val="clear" w:color="auto" w:fill="FFFFFF"/>
                <w:lang w:val="en-US" w:eastAsia="zh-CN"/>
              </w:rPr>
              <w:t>助理及以上</w:t>
            </w:r>
            <w:r>
              <w:rPr>
                <w:rFonts w:hint="eastAsia" w:ascii="宋体" w:hAnsi="宋体" w:cs="宋体"/>
                <w:shd w:val="clear" w:color="auto" w:fill="FFFFFF"/>
              </w:rPr>
              <w:t>社会工作</w:t>
            </w:r>
            <w:r>
              <w:rPr>
                <w:rFonts w:hint="eastAsia" w:ascii="宋体" w:hAnsi="宋体" w:cs="宋体"/>
                <w:shd w:val="clear" w:color="auto" w:fill="FFFFFF"/>
                <w:lang w:val="en-US" w:eastAsia="zh-CN"/>
              </w:rPr>
              <w:t>师</w:t>
            </w:r>
            <w:r>
              <w:rPr>
                <w:rFonts w:hint="eastAsia" w:ascii="宋体" w:hAnsi="宋体" w:cs="宋体"/>
                <w:shd w:val="clear" w:color="auto" w:fill="FFFFFF"/>
              </w:rPr>
              <w:t>职业资格证书，每提供1人得</w:t>
            </w:r>
            <w:r>
              <w:rPr>
                <w:rFonts w:hint="eastAsia" w:ascii="宋体" w:hAnsi="宋体" w:cs="宋体"/>
                <w:b/>
                <w:bCs/>
                <w:shd w:val="clear" w:color="auto" w:fill="FFFFFF"/>
              </w:rPr>
              <w:t>1分</w:t>
            </w:r>
            <w:r>
              <w:rPr>
                <w:rFonts w:hint="eastAsia" w:ascii="宋体" w:hAnsi="宋体" w:cs="宋体"/>
                <w:shd w:val="clear" w:color="auto" w:fill="FFFFFF"/>
              </w:rPr>
              <w:t>，</w:t>
            </w:r>
            <w:r>
              <w:rPr>
                <w:rFonts w:hint="eastAsia" w:ascii="宋体" w:hAnsi="宋体" w:cs="宋体"/>
                <w:b/>
                <w:bCs/>
                <w:shd w:val="clear" w:color="auto" w:fill="FFFFFF"/>
              </w:rPr>
              <w:t>最高得2分。</w:t>
            </w:r>
          </w:p>
          <w:p w14:paraId="76725C14">
            <w:pPr>
              <w:pStyle w:val="7"/>
              <w:widowControl/>
              <w:wordWrap w:val="0"/>
              <w:spacing w:beforeAutospacing="0" w:afterAutospacing="0" w:line="400" w:lineRule="atLeast"/>
              <w:ind w:firstLine="241" w:firstLineChars="100"/>
              <w:jc w:val="both"/>
              <w:rPr>
                <w:rFonts w:hint="eastAsia" w:ascii="宋体" w:hAnsi="宋体" w:cs="宋体"/>
                <w:b/>
                <w:bCs/>
                <w:shd w:val="clear" w:color="auto" w:fill="FFFFFF"/>
              </w:rPr>
            </w:pPr>
            <w:r>
              <w:rPr>
                <w:rFonts w:hint="eastAsia" w:ascii="宋体" w:hAnsi="宋体" w:cs="宋体"/>
                <w:b/>
                <w:bCs/>
                <w:shd w:val="clear" w:color="auto" w:fill="FFFFFF"/>
              </w:rPr>
              <w:t>备注：1.项目负责人需提供学历证书、资格证书、荣誉证书（或表彰文件）和社会组织为其缴纳的5年及以上社保证明材料。相关项目管理经验需提供业绩合同和业主单位的履约评价证明，如合同中无法体现项目负责人姓名的，需另提交合同甲方出具的证明材料。时间以合同签订时间为准，含正在履约的项目业绩。以上材料未提供或提供不全的不得分；</w:t>
            </w:r>
          </w:p>
          <w:p w14:paraId="2937751C">
            <w:pPr>
              <w:pStyle w:val="7"/>
              <w:widowControl/>
              <w:wordWrap w:val="0"/>
              <w:spacing w:beforeAutospacing="0" w:afterAutospacing="0" w:line="400" w:lineRule="atLeast"/>
              <w:ind w:firstLine="723" w:firstLineChars="300"/>
              <w:jc w:val="both"/>
              <w:rPr>
                <w:rFonts w:hint="eastAsia" w:ascii="宋体" w:hAnsi="宋体" w:cs="宋体"/>
                <w:b w:val="0"/>
                <w:bCs w:val="0"/>
                <w:shd w:val="clear" w:color="auto" w:fill="FFFFFF"/>
              </w:rPr>
            </w:pPr>
            <w:r>
              <w:rPr>
                <w:rFonts w:hint="eastAsia" w:ascii="宋体" w:hAnsi="宋体" w:cs="宋体"/>
                <w:b/>
                <w:bCs/>
                <w:shd w:val="clear" w:color="auto" w:fill="FFFFFF"/>
                <w:lang w:val="en-US" w:eastAsia="zh-CN"/>
              </w:rPr>
              <w:t>2.</w:t>
            </w:r>
            <w:r>
              <w:rPr>
                <w:rFonts w:hint="eastAsia" w:ascii="宋体" w:hAnsi="宋体" w:cs="宋体"/>
                <w:b/>
                <w:bCs/>
                <w:shd w:val="clear" w:color="auto" w:fill="FFFFFF"/>
              </w:rPr>
              <w:t>项目驻点社工需提供学历证书、社会工作职业资格证书以及开标之日前近三个月内任意一个月投标人为其交纳的社保证明材料（社保证明材料为下述形式之一，须提供扫描件）：</w:t>
            </w:r>
            <w:r>
              <w:rPr>
                <w:rFonts w:hint="eastAsia" w:ascii="宋体" w:hAnsi="宋体" w:cs="宋体"/>
                <w:b w:val="0"/>
                <w:bCs w:val="0"/>
                <w:shd w:val="clear" w:color="auto" w:fill="FFFFFF"/>
              </w:rPr>
              <w:t>（1）社保局官方网站查询的缴费记录截图；（2）社保局的书面证明材料；（3）经投标人委托的第三方人力资源服务机构或与投标人有直接隶属关系的机构可以代缴社保，但须提供有关证明材料并经评标委员会确认；（4）其他经评标委员会认可的证明材料；（5）法定代表人参与项目的，无需提供社保证明材料，提供身份证明扫描件即可。</w:t>
            </w:r>
          </w:p>
          <w:p w14:paraId="1DDDAB28">
            <w:pPr>
              <w:pStyle w:val="7"/>
              <w:widowControl/>
              <w:numPr>
                <w:ilvl w:val="0"/>
                <w:numId w:val="0"/>
              </w:numPr>
              <w:wordWrap w:val="0"/>
              <w:spacing w:beforeAutospacing="0" w:afterAutospacing="0" w:line="400" w:lineRule="atLeast"/>
              <w:ind w:right="0" w:rightChars="0" w:firstLine="482" w:firstLineChars="200"/>
              <w:jc w:val="both"/>
              <w:rPr>
                <w:rFonts w:hint="eastAsia" w:ascii="宋体" w:hAnsi="宋体" w:cs="宋体"/>
                <w:b w:val="0"/>
                <w:bCs w:val="0"/>
                <w:shd w:val="clear" w:color="auto" w:fill="FFFFFF"/>
              </w:rPr>
            </w:pPr>
            <w:r>
              <w:rPr>
                <w:rFonts w:hint="eastAsia" w:ascii="宋体" w:hAnsi="宋体" w:cs="宋体"/>
                <w:b/>
                <w:bCs/>
                <w:shd w:val="clear" w:color="auto" w:fill="FFFFFF"/>
              </w:rPr>
              <w:t>未提供或提供不全的不得分。</w:t>
            </w:r>
          </w:p>
          <w:p w14:paraId="0C3171A9">
            <w:pPr>
              <w:pStyle w:val="7"/>
              <w:widowControl/>
              <w:numPr>
                <w:ilvl w:val="0"/>
                <w:numId w:val="2"/>
              </w:numPr>
              <w:wordWrap w:val="0"/>
              <w:spacing w:beforeAutospacing="0" w:afterAutospacing="0" w:line="400" w:lineRule="atLeast"/>
              <w:ind w:firstLine="793" w:firstLineChars="329"/>
              <w:jc w:val="both"/>
              <w:rPr>
                <w:rFonts w:hint="eastAsia" w:ascii="宋体" w:hAnsi="宋体" w:cs="宋体"/>
                <w:b/>
                <w:bCs/>
                <w:shd w:val="clear" w:color="auto" w:fill="FFFFFF"/>
              </w:rPr>
            </w:pPr>
            <w:r>
              <w:rPr>
                <w:rFonts w:hint="eastAsia" w:ascii="宋体" w:hAnsi="宋体" w:cs="宋体"/>
                <w:b/>
                <w:bCs/>
                <w:shd w:val="clear" w:color="auto" w:fill="FFFFFF"/>
              </w:rPr>
              <w:t>上述人员专人专岗，不得兼任。</w:t>
            </w:r>
          </w:p>
          <w:p w14:paraId="7661E4AD">
            <w:pPr>
              <w:pStyle w:val="7"/>
              <w:widowControl/>
              <w:numPr>
                <w:ilvl w:val="0"/>
                <w:numId w:val="0"/>
              </w:numPr>
              <w:wordWrap w:val="0"/>
              <w:spacing w:beforeAutospacing="0" w:afterAutospacing="0" w:line="400" w:lineRule="atLeast"/>
              <w:ind w:leftChars="329" w:right="0" w:rightChars="0"/>
              <w:jc w:val="both"/>
              <w:rPr>
                <w:rFonts w:hint="eastAsia" w:ascii="宋体" w:hAnsi="宋体" w:cs="宋体"/>
                <w:b/>
                <w:bCs/>
                <w:shd w:val="clear" w:color="auto" w:fill="FFFFFF"/>
              </w:rPr>
            </w:pPr>
          </w:p>
        </w:tc>
        <w:tc>
          <w:tcPr>
            <w:tcW w:w="1283" w:type="dxa"/>
            <w:tcBorders>
              <w:top w:val="single" w:color="auto" w:sz="4" w:space="0"/>
              <w:left w:val="single" w:color="auto" w:sz="6" w:space="0"/>
              <w:bottom w:val="single" w:color="auto" w:sz="4" w:space="0"/>
              <w:right w:val="single" w:color="auto" w:sz="6" w:space="0"/>
            </w:tcBorders>
            <w:noWrap w:val="0"/>
            <w:tcMar>
              <w:top w:w="0" w:type="dxa"/>
              <w:left w:w="108" w:type="dxa"/>
              <w:bottom w:w="0" w:type="dxa"/>
              <w:right w:w="108" w:type="dxa"/>
            </w:tcMar>
            <w:vAlign w:val="center"/>
          </w:tcPr>
          <w:p w14:paraId="69007F18">
            <w:pPr>
              <w:pStyle w:val="7"/>
              <w:widowControl/>
              <w:wordWrap w:val="0"/>
              <w:spacing w:before="181" w:beforeAutospacing="0" w:afterAutospacing="0"/>
              <w:ind w:left="800" w:right="29"/>
              <w:jc w:val="center"/>
              <w:rPr>
                <w:rFonts w:ascii="宋体" w:hAnsi="宋体" w:cs="宋体"/>
              </w:rPr>
            </w:pPr>
            <w:r>
              <w:rPr>
                <w:rFonts w:hint="eastAsia" w:ascii="宋体" w:hAnsi="宋体" w:cs="宋体"/>
              </w:rPr>
              <w:t> </w:t>
            </w:r>
          </w:p>
          <w:p w14:paraId="16540DFA">
            <w:pPr>
              <w:pStyle w:val="7"/>
              <w:widowControl/>
              <w:wordWrap w:val="0"/>
              <w:spacing w:before="181" w:beforeAutospacing="0" w:afterAutospacing="0"/>
              <w:ind w:left="800" w:right="29"/>
              <w:jc w:val="center"/>
              <w:rPr>
                <w:rFonts w:ascii="宋体" w:hAnsi="宋体" w:cs="宋体"/>
              </w:rPr>
            </w:pPr>
            <w:r>
              <w:rPr>
                <w:rFonts w:hint="eastAsia" w:ascii="宋体" w:hAnsi="宋体" w:cs="宋体"/>
              </w:rPr>
              <w:t> </w:t>
            </w:r>
          </w:p>
          <w:p w14:paraId="6851E8FB">
            <w:pPr>
              <w:pStyle w:val="7"/>
              <w:widowControl/>
              <w:wordWrap w:val="0"/>
              <w:spacing w:before="181" w:beforeAutospacing="0" w:afterAutospacing="0"/>
              <w:ind w:left="800" w:right="29"/>
              <w:jc w:val="center"/>
              <w:rPr>
                <w:rFonts w:ascii="宋体" w:hAnsi="宋体" w:cs="宋体"/>
              </w:rPr>
            </w:pPr>
            <w:r>
              <w:rPr>
                <w:rFonts w:hint="eastAsia" w:ascii="宋体" w:hAnsi="宋体" w:cs="宋体"/>
              </w:rPr>
              <w:t> </w:t>
            </w:r>
          </w:p>
          <w:p w14:paraId="718957F6">
            <w:pPr>
              <w:pStyle w:val="7"/>
              <w:widowControl/>
              <w:wordWrap w:val="0"/>
              <w:spacing w:before="181" w:beforeAutospacing="0" w:afterAutospacing="0"/>
              <w:ind w:left="800" w:right="29"/>
              <w:jc w:val="center"/>
              <w:rPr>
                <w:rFonts w:ascii="宋体" w:hAnsi="宋体" w:cs="宋体"/>
              </w:rPr>
            </w:pPr>
            <w:r>
              <w:rPr>
                <w:rFonts w:hint="eastAsia" w:ascii="宋体" w:hAnsi="宋体" w:cs="宋体"/>
              </w:rPr>
              <w:t> </w:t>
            </w:r>
          </w:p>
          <w:p w14:paraId="370F9AA8">
            <w:pPr>
              <w:pStyle w:val="7"/>
              <w:widowControl/>
              <w:wordWrap w:val="0"/>
              <w:spacing w:before="181" w:beforeAutospacing="0" w:afterAutospacing="0"/>
              <w:ind w:left="800" w:right="29"/>
              <w:jc w:val="center"/>
              <w:rPr>
                <w:rFonts w:ascii="宋体" w:hAnsi="宋体" w:cs="宋体"/>
              </w:rPr>
            </w:pPr>
            <w:r>
              <w:rPr>
                <w:rFonts w:hint="eastAsia" w:ascii="宋体" w:hAnsi="宋体" w:cs="宋体"/>
              </w:rPr>
              <w:t> </w:t>
            </w:r>
          </w:p>
          <w:p w14:paraId="791743C6">
            <w:pPr>
              <w:pStyle w:val="7"/>
              <w:widowControl/>
              <w:wordWrap w:val="0"/>
              <w:spacing w:before="181" w:beforeAutospacing="0" w:afterAutospacing="0"/>
              <w:ind w:left="800" w:right="29"/>
              <w:jc w:val="center"/>
              <w:rPr>
                <w:rFonts w:ascii="宋体" w:hAnsi="宋体" w:cs="宋体"/>
              </w:rPr>
            </w:pPr>
            <w:r>
              <w:rPr>
                <w:rFonts w:hint="eastAsia" w:ascii="宋体" w:hAnsi="宋体" w:cs="宋体"/>
              </w:rPr>
              <w:t> </w:t>
            </w:r>
          </w:p>
          <w:p w14:paraId="598A8149">
            <w:pPr>
              <w:pStyle w:val="7"/>
              <w:widowControl/>
              <w:wordWrap w:val="0"/>
              <w:spacing w:before="181" w:beforeAutospacing="0" w:afterAutospacing="0"/>
              <w:ind w:left="800" w:right="29"/>
              <w:jc w:val="center"/>
              <w:rPr>
                <w:rFonts w:ascii="宋体" w:hAnsi="宋体" w:cs="宋体"/>
              </w:rPr>
            </w:pPr>
            <w:r>
              <w:rPr>
                <w:rFonts w:hint="eastAsia" w:ascii="宋体" w:hAnsi="宋体" w:cs="宋体"/>
              </w:rPr>
              <w:t> </w:t>
            </w:r>
          </w:p>
          <w:p w14:paraId="09373E74">
            <w:pPr>
              <w:pStyle w:val="7"/>
              <w:widowControl/>
              <w:wordWrap w:val="0"/>
              <w:spacing w:before="181" w:beforeAutospacing="0" w:afterAutospacing="0"/>
              <w:ind w:left="800" w:right="29"/>
              <w:jc w:val="center"/>
              <w:rPr>
                <w:rFonts w:ascii="宋体" w:hAnsi="宋体" w:cs="宋体"/>
              </w:rPr>
            </w:pPr>
            <w:r>
              <w:rPr>
                <w:rFonts w:hint="eastAsia" w:ascii="宋体" w:hAnsi="宋体" w:cs="宋体"/>
              </w:rPr>
              <w:t> </w:t>
            </w:r>
          </w:p>
          <w:p w14:paraId="47536873">
            <w:pPr>
              <w:pStyle w:val="7"/>
              <w:widowControl/>
              <w:wordWrap w:val="0"/>
              <w:spacing w:before="181" w:beforeAutospacing="0" w:afterAutospacing="0"/>
              <w:ind w:left="800" w:right="29"/>
              <w:jc w:val="center"/>
              <w:rPr>
                <w:rFonts w:ascii="宋体" w:hAnsi="宋体" w:cs="宋体"/>
              </w:rPr>
            </w:pPr>
            <w:r>
              <w:rPr>
                <w:rFonts w:hint="eastAsia" w:ascii="宋体" w:hAnsi="宋体" w:cs="宋体"/>
              </w:rPr>
              <w:t> </w:t>
            </w:r>
          </w:p>
          <w:p w14:paraId="4B188D94">
            <w:pPr>
              <w:pStyle w:val="7"/>
              <w:widowControl/>
              <w:wordWrap w:val="0"/>
              <w:spacing w:before="181" w:beforeAutospacing="0" w:afterAutospacing="0"/>
              <w:ind w:left="800" w:right="29"/>
              <w:jc w:val="center"/>
              <w:rPr>
                <w:rFonts w:ascii="宋体" w:hAnsi="宋体" w:cs="宋体"/>
              </w:rPr>
            </w:pPr>
            <w:r>
              <w:rPr>
                <w:rFonts w:hint="eastAsia" w:ascii="宋体" w:hAnsi="宋体" w:cs="宋体"/>
              </w:rPr>
              <w:t> </w:t>
            </w:r>
          </w:p>
          <w:p w14:paraId="6D3EC224">
            <w:pPr>
              <w:pStyle w:val="7"/>
              <w:widowControl/>
              <w:wordWrap w:val="0"/>
              <w:spacing w:before="181" w:beforeAutospacing="0" w:afterAutospacing="0"/>
              <w:ind w:left="800" w:right="29"/>
              <w:jc w:val="center"/>
              <w:rPr>
                <w:rFonts w:ascii="宋体" w:hAnsi="宋体" w:cs="宋体"/>
              </w:rPr>
            </w:pPr>
            <w:r>
              <w:rPr>
                <w:rFonts w:hint="eastAsia" w:ascii="宋体" w:hAnsi="宋体" w:cs="宋体"/>
              </w:rPr>
              <w:t> </w:t>
            </w:r>
          </w:p>
          <w:p w14:paraId="1A1E6C91">
            <w:pPr>
              <w:pStyle w:val="7"/>
              <w:widowControl/>
              <w:wordWrap w:val="0"/>
              <w:spacing w:before="181" w:beforeAutospacing="0" w:afterAutospacing="0"/>
              <w:ind w:right="29" w:firstLine="240"/>
              <w:jc w:val="both"/>
              <w:rPr>
                <w:rFonts w:ascii="宋体" w:hAnsi="宋体" w:cs="宋体"/>
              </w:rPr>
            </w:pPr>
            <w:r>
              <w:rPr>
                <w:rFonts w:hint="eastAsia" w:ascii="宋体" w:hAnsi="宋体" w:cs="宋体"/>
                <w:shd w:val="clear" w:color="auto" w:fill="FFFFFF"/>
              </w:rPr>
              <w:t>0-18分</w:t>
            </w:r>
          </w:p>
        </w:tc>
      </w:tr>
      <w:tr w14:paraId="11BA0A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285" w:type="dxa"/>
            <w:tcBorders>
              <w:top w:val="single" w:color="auto" w:sz="4"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14:paraId="010E1F14">
            <w:pPr>
              <w:pStyle w:val="7"/>
              <w:widowControl/>
              <w:wordWrap w:val="0"/>
              <w:spacing w:beforeAutospacing="0" w:afterAutospacing="0"/>
              <w:ind w:left="240" w:hanging="240"/>
              <w:jc w:val="both"/>
              <w:rPr>
                <w:rFonts w:ascii="Times New Roman" w:hAnsi="Times New Roman"/>
                <w:sz w:val="21"/>
                <w:szCs w:val="21"/>
              </w:rPr>
            </w:pPr>
            <w:r>
              <w:rPr>
                <w:rFonts w:ascii="Times New Roman" w:hAnsi="Times New Roman"/>
                <w:sz w:val="21"/>
                <w:szCs w:val="21"/>
              </w:rPr>
              <w:t> </w:t>
            </w:r>
          </w:p>
          <w:p w14:paraId="4404899C">
            <w:pPr>
              <w:pStyle w:val="7"/>
              <w:widowControl/>
              <w:wordWrap w:val="0"/>
              <w:spacing w:beforeAutospacing="0" w:afterAutospacing="0"/>
              <w:ind w:left="240" w:hanging="240"/>
              <w:jc w:val="both"/>
              <w:rPr>
                <w:rFonts w:ascii="Times New Roman" w:hAnsi="Times New Roman"/>
                <w:sz w:val="21"/>
                <w:szCs w:val="21"/>
              </w:rPr>
            </w:pPr>
            <w:r>
              <w:rPr>
                <w:rFonts w:ascii="Times New Roman" w:hAnsi="Times New Roman"/>
                <w:sz w:val="21"/>
                <w:szCs w:val="21"/>
              </w:rPr>
              <w:t> </w:t>
            </w:r>
          </w:p>
          <w:p w14:paraId="7E044007">
            <w:pPr>
              <w:pStyle w:val="7"/>
              <w:widowControl/>
              <w:wordWrap w:val="0"/>
              <w:spacing w:beforeAutospacing="0" w:afterAutospacing="0"/>
              <w:ind w:left="240" w:hanging="240"/>
              <w:jc w:val="both"/>
              <w:rPr>
                <w:rFonts w:ascii="Times New Roman" w:hAnsi="Times New Roman"/>
                <w:sz w:val="21"/>
                <w:szCs w:val="21"/>
              </w:rPr>
            </w:pPr>
            <w:r>
              <w:rPr>
                <w:rFonts w:ascii="Times New Roman" w:hAnsi="Times New Roman"/>
                <w:sz w:val="21"/>
                <w:szCs w:val="21"/>
              </w:rPr>
              <w:t> </w:t>
            </w:r>
          </w:p>
          <w:p w14:paraId="55D4C38C">
            <w:pPr>
              <w:pStyle w:val="7"/>
              <w:widowControl/>
              <w:wordWrap w:val="0"/>
              <w:spacing w:beforeAutospacing="0" w:afterAutospacing="0"/>
              <w:ind w:left="240" w:hanging="240"/>
              <w:jc w:val="both"/>
              <w:rPr>
                <w:rFonts w:ascii="Times New Roman" w:hAnsi="Times New Roman"/>
                <w:sz w:val="21"/>
                <w:szCs w:val="21"/>
              </w:rPr>
            </w:pPr>
            <w:r>
              <w:rPr>
                <w:rFonts w:ascii="Times New Roman" w:hAnsi="Times New Roman"/>
                <w:sz w:val="21"/>
                <w:szCs w:val="21"/>
              </w:rPr>
              <w:t> </w:t>
            </w:r>
          </w:p>
          <w:p w14:paraId="23644E3E">
            <w:pPr>
              <w:pStyle w:val="7"/>
              <w:widowControl/>
              <w:wordWrap w:val="0"/>
              <w:spacing w:beforeAutospacing="0" w:afterAutospacing="0"/>
              <w:ind w:left="240" w:hanging="240"/>
              <w:jc w:val="both"/>
              <w:rPr>
                <w:rFonts w:ascii="Times New Roman" w:hAnsi="Times New Roman"/>
                <w:sz w:val="21"/>
                <w:szCs w:val="21"/>
              </w:rPr>
            </w:pPr>
            <w:r>
              <w:rPr>
                <w:rFonts w:ascii="Times New Roman" w:hAnsi="Times New Roman"/>
                <w:sz w:val="21"/>
                <w:szCs w:val="21"/>
              </w:rPr>
              <w:t> </w:t>
            </w:r>
          </w:p>
          <w:p w14:paraId="3FFEAD00">
            <w:pPr>
              <w:pStyle w:val="7"/>
              <w:widowControl/>
              <w:wordWrap w:val="0"/>
              <w:spacing w:beforeAutospacing="0" w:afterAutospacing="0"/>
              <w:ind w:left="240" w:hanging="240"/>
              <w:jc w:val="both"/>
              <w:rPr>
                <w:rFonts w:ascii="Times New Roman" w:hAnsi="Times New Roman"/>
                <w:sz w:val="21"/>
                <w:szCs w:val="21"/>
              </w:rPr>
            </w:pPr>
            <w:r>
              <w:rPr>
                <w:rFonts w:ascii="Times New Roman" w:hAnsi="Times New Roman"/>
                <w:sz w:val="21"/>
                <w:szCs w:val="21"/>
              </w:rPr>
              <w:t> </w:t>
            </w:r>
          </w:p>
          <w:p w14:paraId="526321B3">
            <w:pPr>
              <w:pStyle w:val="7"/>
              <w:widowControl/>
              <w:wordWrap w:val="0"/>
              <w:spacing w:beforeAutospacing="0" w:afterAutospacing="0"/>
              <w:ind w:left="240" w:hanging="240"/>
              <w:jc w:val="both"/>
              <w:rPr>
                <w:rFonts w:ascii="Times New Roman" w:hAnsi="Times New Roman"/>
                <w:sz w:val="21"/>
                <w:szCs w:val="21"/>
              </w:rPr>
            </w:pPr>
            <w:r>
              <w:rPr>
                <w:rFonts w:ascii="Times New Roman" w:hAnsi="Times New Roman"/>
                <w:sz w:val="21"/>
                <w:szCs w:val="21"/>
              </w:rPr>
              <w:t> </w:t>
            </w:r>
          </w:p>
          <w:p w14:paraId="61EFC6BD">
            <w:pPr>
              <w:pStyle w:val="7"/>
              <w:widowControl/>
              <w:wordWrap w:val="0"/>
              <w:spacing w:beforeAutospacing="0" w:afterAutospacing="0"/>
              <w:ind w:left="240" w:hanging="240"/>
              <w:jc w:val="both"/>
              <w:rPr>
                <w:rFonts w:ascii="Times New Roman" w:hAnsi="Times New Roman"/>
                <w:sz w:val="21"/>
                <w:szCs w:val="21"/>
              </w:rPr>
            </w:pPr>
            <w:r>
              <w:rPr>
                <w:rFonts w:ascii="Times New Roman" w:hAnsi="Times New Roman"/>
                <w:sz w:val="21"/>
                <w:szCs w:val="21"/>
              </w:rPr>
              <w:t> </w:t>
            </w:r>
          </w:p>
          <w:p w14:paraId="661C1684">
            <w:pPr>
              <w:pStyle w:val="7"/>
              <w:widowControl/>
              <w:wordWrap w:val="0"/>
              <w:spacing w:beforeAutospacing="0" w:afterAutospacing="0"/>
              <w:ind w:left="240" w:hanging="240"/>
              <w:jc w:val="both"/>
              <w:rPr>
                <w:rFonts w:ascii="Times New Roman" w:hAnsi="Times New Roman"/>
                <w:sz w:val="21"/>
                <w:szCs w:val="21"/>
              </w:rPr>
            </w:pPr>
            <w:r>
              <w:rPr>
                <w:rFonts w:ascii="Times New Roman" w:hAnsi="Times New Roman"/>
                <w:sz w:val="21"/>
                <w:szCs w:val="21"/>
              </w:rPr>
              <w:t> </w:t>
            </w:r>
          </w:p>
          <w:p w14:paraId="63872E05">
            <w:pPr>
              <w:pStyle w:val="7"/>
              <w:widowControl/>
              <w:wordWrap w:val="0"/>
              <w:spacing w:beforeAutospacing="0" w:afterAutospacing="0"/>
              <w:ind w:left="240" w:hanging="240"/>
              <w:jc w:val="both"/>
              <w:rPr>
                <w:rFonts w:ascii="Times New Roman" w:hAnsi="Times New Roman"/>
                <w:sz w:val="21"/>
                <w:szCs w:val="21"/>
              </w:rPr>
            </w:pPr>
            <w:r>
              <w:rPr>
                <w:rFonts w:ascii="Times New Roman" w:hAnsi="Times New Roman"/>
                <w:sz w:val="21"/>
                <w:szCs w:val="21"/>
              </w:rPr>
              <w:t> </w:t>
            </w:r>
          </w:p>
          <w:p w14:paraId="1AB3E5E0">
            <w:pPr>
              <w:pStyle w:val="7"/>
              <w:widowControl/>
              <w:wordWrap w:val="0"/>
              <w:spacing w:beforeAutospacing="0" w:afterAutospacing="0"/>
              <w:ind w:left="240" w:hanging="240"/>
              <w:jc w:val="both"/>
              <w:rPr>
                <w:rFonts w:ascii="Times New Roman" w:hAnsi="Times New Roman"/>
                <w:sz w:val="21"/>
                <w:szCs w:val="21"/>
              </w:rPr>
            </w:pPr>
            <w:r>
              <w:rPr>
                <w:rFonts w:ascii="Times New Roman" w:hAnsi="Times New Roman"/>
                <w:sz w:val="21"/>
                <w:szCs w:val="21"/>
              </w:rPr>
              <w:t> </w:t>
            </w:r>
          </w:p>
          <w:p w14:paraId="2DBCF2E3">
            <w:pPr>
              <w:pStyle w:val="7"/>
              <w:widowControl/>
              <w:wordWrap w:val="0"/>
              <w:spacing w:beforeAutospacing="0" w:afterAutospacing="0"/>
              <w:ind w:left="240" w:hanging="240"/>
              <w:jc w:val="center"/>
              <w:rPr>
                <w:rFonts w:ascii="Times New Roman" w:hAnsi="Times New Roman"/>
                <w:sz w:val="21"/>
                <w:szCs w:val="21"/>
              </w:rPr>
            </w:pPr>
            <w:r>
              <w:rPr>
                <w:rFonts w:hint="eastAsia" w:ascii="宋体" w:hAnsi="宋体" w:cs="宋体"/>
                <w:shd w:val="clear" w:color="auto" w:fill="FFFFFF"/>
              </w:rPr>
              <w:t>投标人</w:t>
            </w:r>
          </w:p>
          <w:p w14:paraId="5A4C8370">
            <w:pPr>
              <w:pStyle w:val="7"/>
              <w:widowControl/>
              <w:wordWrap w:val="0"/>
              <w:spacing w:beforeAutospacing="0" w:afterAutospacing="0"/>
              <w:ind w:left="240" w:hanging="240"/>
              <w:jc w:val="center"/>
              <w:rPr>
                <w:rFonts w:ascii="Times New Roman" w:hAnsi="Times New Roman"/>
                <w:sz w:val="21"/>
                <w:szCs w:val="21"/>
              </w:rPr>
            </w:pPr>
            <w:r>
              <w:rPr>
                <w:rFonts w:hint="eastAsia" w:ascii="宋体" w:hAnsi="宋体" w:cs="宋体"/>
                <w:shd w:val="clear" w:color="auto" w:fill="FFFFFF"/>
              </w:rPr>
              <w:t>业绩</w:t>
            </w:r>
          </w:p>
        </w:tc>
        <w:tc>
          <w:tcPr>
            <w:tcW w:w="7031" w:type="dxa"/>
            <w:tcBorders>
              <w:top w:val="single" w:color="auto" w:sz="4" w:space="0"/>
              <w:left w:val="single" w:color="auto" w:sz="6" w:space="0"/>
              <w:bottom w:val="single" w:color="auto" w:sz="6" w:space="0"/>
              <w:right w:val="single" w:color="auto" w:sz="6" w:space="0"/>
            </w:tcBorders>
            <w:noWrap w:val="0"/>
            <w:tcMar>
              <w:top w:w="0" w:type="dxa"/>
              <w:left w:w="108" w:type="dxa"/>
              <w:bottom w:w="0" w:type="dxa"/>
              <w:right w:w="108" w:type="dxa"/>
            </w:tcMar>
            <w:vAlign w:val="top"/>
          </w:tcPr>
          <w:p w14:paraId="1293DF33">
            <w:pPr>
              <w:pStyle w:val="7"/>
              <w:widowControl/>
              <w:wordWrap w:val="0"/>
              <w:spacing w:beforeAutospacing="0" w:afterAutospacing="0"/>
              <w:ind w:firstLine="482" w:firstLineChars="200"/>
              <w:rPr>
                <w:rFonts w:ascii="Times New Roman" w:hAnsi="Times New Roman"/>
                <w:sz w:val="21"/>
                <w:szCs w:val="21"/>
              </w:rPr>
            </w:pPr>
            <w:r>
              <w:rPr>
                <w:rFonts w:hint="eastAsia" w:ascii="宋体" w:hAnsi="宋体" w:cs="宋体"/>
                <w:b/>
                <w:bCs/>
              </w:rPr>
              <w:t>1.项目实施经验(15分)：</w:t>
            </w:r>
          </w:p>
          <w:p w14:paraId="71EFE3CE">
            <w:pPr>
              <w:pStyle w:val="7"/>
              <w:widowControl/>
              <w:wordWrap w:val="0"/>
              <w:spacing w:beforeAutospacing="0" w:afterAutospacing="0" w:line="400" w:lineRule="atLeast"/>
              <w:jc w:val="both"/>
              <w:rPr>
                <w:rFonts w:hint="eastAsia" w:ascii="宋体" w:hAnsi="宋体" w:cs="宋体"/>
                <w:shd w:val="clear" w:color="auto" w:fill="FFFFFF"/>
              </w:rPr>
            </w:pPr>
            <w:r>
              <w:rPr>
                <w:rFonts w:hint="eastAsia" w:ascii="宋体" w:hAnsi="宋体" w:cs="宋体"/>
                <w:shd w:val="clear" w:color="auto" w:fill="FFFFFF"/>
              </w:rPr>
              <w:t> 2020年1月1日以来（以合同签订时间为准）,投标人承接下列任意种类社会服务或运营管理项目业绩（含正在履约）的，要求街镇及以上政府部门购买：</w:t>
            </w:r>
          </w:p>
          <w:p w14:paraId="35A3AA2E">
            <w:pPr>
              <w:pStyle w:val="7"/>
              <w:widowControl/>
              <w:wordWrap w:val="0"/>
              <w:spacing w:beforeAutospacing="0" w:afterAutospacing="0" w:line="400" w:lineRule="atLeast"/>
              <w:ind w:left="239" w:leftChars="114" w:firstLine="0" w:firstLineChars="0"/>
              <w:jc w:val="both"/>
              <w:rPr>
                <w:rFonts w:ascii="Times New Roman" w:hAnsi="Times New Roman"/>
                <w:sz w:val="21"/>
                <w:szCs w:val="21"/>
              </w:rPr>
            </w:pPr>
            <w:r>
              <w:rPr>
                <w:rFonts w:hint="eastAsia" w:ascii="宋体" w:hAnsi="宋体" w:cs="宋体"/>
                <w:shd w:val="clear" w:color="auto" w:fill="FFFFFF"/>
              </w:rPr>
              <w:t>（1）社区养老服务业绩；（2）社区青少年（儿童）服务业绩；（3）社会救助服务业绩；（4）社区服务设施运营业绩；</w:t>
            </w:r>
            <w:r>
              <w:rPr>
                <w:rFonts w:hint="eastAsia" w:ascii="宋体" w:hAnsi="宋体" w:cs="宋体"/>
                <w:shd w:val="clear" w:color="auto" w:fill="FFFFFF"/>
                <w:lang w:val="en-US" w:eastAsia="zh-CN"/>
              </w:rPr>
              <w:t xml:space="preserve">    </w:t>
            </w:r>
            <w:r>
              <w:rPr>
                <w:rFonts w:hint="eastAsia" w:ascii="宋体" w:hAnsi="宋体" w:cs="宋体"/>
                <w:shd w:val="clear" w:color="auto" w:fill="FFFFFF"/>
              </w:rPr>
              <w:t>（5）社区微公益创投实施管理服务业绩。</w:t>
            </w:r>
          </w:p>
          <w:p w14:paraId="6DA1C563">
            <w:pPr>
              <w:pStyle w:val="7"/>
              <w:widowControl/>
              <w:wordWrap w:val="0"/>
              <w:spacing w:beforeAutospacing="0" w:afterAutospacing="0" w:line="400" w:lineRule="atLeast"/>
              <w:ind w:firstLine="480"/>
              <w:jc w:val="both"/>
              <w:rPr>
                <w:rFonts w:hint="eastAsia" w:ascii="宋体" w:hAnsi="宋体" w:cs="宋体"/>
                <w:b w:val="0"/>
                <w:bCs w:val="0"/>
                <w:shd w:val="clear" w:color="auto" w:fill="FFFFFF"/>
              </w:rPr>
            </w:pPr>
            <w:r>
              <w:rPr>
                <w:rFonts w:hint="eastAsia" w:ascii="宋体" w:hAnsi="宋体" w:cs="宋体"/>
                <w:b w:val="0"/>
                <w:bCs w:val="0"/>
                <w:shd w:val="clear" w:color="auto" w:fill="FFFFFF"/>
              </w:rPr>
              <w:t>每满足一个种类的业绩得</w:t>
            </w:r>
            <w:r>
              <w:rPr>
                <w:rFonts w:hint="eastAsia" w:ascii="宋体" w:hAnsi="宋体" w:cs="宋体"/>
                <w:b/>
                <w:bCs/>
                <w:shd w:val="clear" w:color="auto" w:fill="FFFFFF"/>
              </w:rPr>
              <w:t>3分</w:t>
            </w:r>
            <w:r>
              <w:rPr>
                <w:rFonts w:hint="eastAsia" w:ascii="宋体" w:hAnsi="宋体" w:cs="宋体"/>
                <w:b w:val="0"/>
                <w:bCs w:val="0"/>
                <w:shd w:val="clear" w:color="auto" w:fill="FFFFFF"/>
              </w:rPr>
              <w:t>，全部满足最高得</w:t>
            </w:r>
            <w:r>
              <w:rPr>
                <w:rFonts w:hint="eastAsia" w:ascii="宋体" w:hAnsi="宋体" w:cs="宋体"/>
                <w:b/>
                <w:bCs/>
                <w:shd w:val="clear" w:color="auto" w:fill="FFFFFF"/>
              </w:rPr>
              <w:t>15分</w:t>
            </w:r>
            <w:r>
              <w:rPr>
                <w:rFonts w:hint="eastAsia" w:ascii="宋体" w:hAnsi="宋体" w:cs="宋体"/>
                <w:b w:val="0"/>
                <w:bCs w:val="0"/>
                <w:shd w:val="clear" w:color="auto" w:fill="FFFFFF"/>
              </w:rPr>
              <w:t>。</w:t>
            </w:r>
          </w:p>
          <w:p w14:paraId="4E6FE802">
            <w:pPr>
              <w:pStyle w:val="7"/>
              <w:widowControl/>
              <w:wordWrap w:val="0"/>
              <w:spacing w:beforeAutospacing="0" w:afterAutospacing="0" w:line="400" w:lineRule="atLeast"/>
              <w:jc w:val="left"/>
              <w:rPr>
                <w:rFonts w:hint="eastAsia" w:ascii="宋体" w:hAnsi="宋体" w:cs="宋体"/>
                <w:b w:val="0"/>
                <w:bCs w:val="0"/>
                <w:shd w:val="clear" w:color="auto" w:fill="FFFFFF"/>
              </w:rPr>
            </w:pPr>
            <w:r>
              <w:rPr>
                <w:rFonts w:hint="eastAsia" w:ascii="宋体" w:hAnsi="宋体" w:cs="宋体"/>
                <w:b w:val="0"/>
                <w:bCs w:val="0"/>
                <w:shd w:val="clear" w:color="auto" w:fill="FFFFFF"/>
                <w:lang w:eastAsia="zh-CN"/>
              </w:rPr>
              <w:t>注：</w:t>
            </w:r>
            <w:r>
              <w:rPr>
                <w:rFonts w:hint="eastAsia" w:ascii="宋体" w:hAnsi="宋体" w:cs="宋体"/>
                <w:b w:val="0"/>
                <w:bCs w:val="0"/>
                <w:shd w:val="clear" w:color="auto" w:fill="FFFFFF"/>
              </w:rPr>
              <w:t>（1）提供街镇级及以上政府部门购买服务项目合同的扫描件或影印件，合同名称或者内容里需体现上述相关字眼，若合同中无法体现签订时间、项目类型等评审因素的，须同时提供业主（或合同甲方）出具的相关证明材料加以明确说明（加盖合同甲方公章），否则不予认可。              </w:t>
            </w:r>
          </w:p>
          <w:p w14:paraId="209736B8">
            <w:pPr>
              <w:pStyle w:val="7"/>
              <w:widowControl/>
              <w:numPr>
                <w:ilvl w:val="0"/>
                <w:numId w:val="3"/>
              </w:numPr>
              <w:wordWrap w:val="0"/>
              <w:spacing w:beforeAutospacing="0" w:afterAutospacing="0" w:line="400" w:lineRule="atLeast"/>
              <w:ind w:firstLine="482"/>
              <w:jc w:val="left"/>
              <w:rPr>
                <w:rFonts w:hint="eastAsia" w:ascii="宋体" w:hAnsi="宋体" w:cs="宋体"/>
                <w:b w:val="0"/>
                <w:bCs w:val="0"/>
                <w:shd w:val="clear" w:color="auto" w:fill="FFFFFF"/>
              </w:rPr>
            </w:pPr>
            <w:r>
              <w:rPr>
                <w:rFonts w:hint="eastAsia" w:ascii="宋体" w:hAnsi="宋体" w:cs="宋体"/>
                <w:b w:val="0"/>
                <w:bCs w:val="0"/>
                <w:shd w:val="clear" w:color="auto" w:fill="FFFFFF"/>
              </w:rPr>
              <w:t>同一业绩续签合同不予认可，同一合同中同时包含上述两个或以上业绩内容的，不累计计分，仅计分一次。</w:t>
            </w:r>
          </w:p>
          <w:p w14:paraId="46AF0422">
            <w:pPr>
              <w:pStyle w:val="7"/>
              <w:widowControl/>
              <w:numPr>
                <w:ilvl w:val="0"/>
                <w:numId w:val="0"/>
              </w:numPr>
              <w:wordWrap w:val="0"/>
              <w:spacing w:beforeAutospacing="0" w:afterAutospacing="0" w:line="400" w:lineRule="atLeast"/>
              <w:ind w:left="482" w:leftChars="0" w:right="0" w:rightChars="0" w:firstLine="240" w:firstLineChars="100"/>
              <w:jc w:val="left"/>
              <w:rPr>
                <w:rFonts w:ascii="Times New Roman" w:hAnsi="Times New Roman"/>
                <w:b w:val="0"/>
                <w:bCs w:val="0"/>
                <w:sz w:val="21"/>
                <w:szCs w:val="21"/>
              </w:rPr>
            </w:pPr>
            <w:r>
              <w:rPr>
                <w:rFonts w:hint="eastAsia" w:ascii="宋体" w:hAnsi="宋体" w:cs="宋体"/>
                <w:b w:val="0"/>
                <w:bCs w:val="0"/>
                <w:shd w:val="clear" w:color="auto" w:fill="FFFFFF"/>
              </w:rPr>
              <w:t>2.服务连续性（</w:t>
            </w:r>
            <w:r>
              <w:rPr>
                <w:rFonts w:hint="eastAsia" w:ascii="宋体" w:hAnsi="宋体" w:cs="宋体"/>
                <w:b/>
                <w:bCs/>
                <w:shd w:val="clear" w:color="auto" w:fill="FFFFFF"/>
              </w:rPr>
              <w:t>5分</w:t>
            </w:r>
            <w:r>
              <w:rPr>
                <w:rFonts w:hint="eastAsia" w:ascii="宋体" w:hAnsi="宋体" w:cs="宋体"/>
                <w:b w:val="0"/>
                <w:bCs w:val="0"/>
                <w:shd w:val="clear" w:color="auto" w:fill="FFFFFF"/>
              </w:rPr>
              <w:t>）</w:t>
            </w:r>
          </w:p>
          <w:p w14:paraId="1D374A4A">
            <w:pPr>
              <w:pStyle w:val="7"/>
              <w:widowControl/>
              <w:wordWrap w:val="0"/>
              <w:spacing w:beforeAutospacing="0" w:afterAutospacing="0" w:line="400" w:lineRule="atLeast"/>
              <w:ind w:firstLine="480"/>
              <w:jc w:val="both"/>
              <w:rPr>
                <w:rFonts w:ascii="Times New Roman" w:hAnsi="Times New Roman"/>
                <w:sz w:val="21"/>
                <w:szCs w:val="21"/>
              </w:rPr>
            </w:pPr>
            <w:r>
              <w:rPr>
                <w:rFonts w:hint="eastAsia" w:ascii="宋体" w:hAnsi="宋体" w:cs="宋体"/>
                <w:shd w:val="clear" w:color="auto" w:fill="FFFFFF"/>
              </w:rPr>
              <w:t>在同一街镇级及以上政府进行社会服务或运营管理服务，连续服务满2年加</w:t>
            </w:r>
            <w:r>
              <w:rPr>
                <w:rFonts w:hint="eastAsia" w:ascii="宋体" w:hAnsi="宋体" w:cs="宋体"/>
                <w:b/>
                <w:bCs/>
                <w:shd w:val="clear" w:color="auto" w:fill="FFFFFF"/>
              </w:rPr>
              <w:t>2分</w:t>
            </w:r>
            <w:r>
              <w:rPr>
                <w:rFonts w:hint="eastAsia" w:ascii="宋体" w:hAnsi="宋体" w:cs="宋体"/>
                <w:shd w:val="clear" w:color="auto" w:fill="FFFFFF"/>
              </w:rPr>
              <w:t>，满3年加</w:t>
            </w:r>
            <w:r>
              <w:rPr>
                <w:rFonts w:hint="eastAsia" w:ascii="宋体" w:hAnsi="宋体" w:cs="宋体"/>
                <w:b/>
                <w:bCs/>
                <w:shd w:val="clear" w:color="auto" w:fill="FFFFFF"/>
              </w:rPr>
              <w:t>3分</w:t>
            </w:r>
            <w:r>
              <w:rPr>
                <w:rFonts w:hint="eastAsia" w:ascii="宋体" w:hAnsi="宋体" w:cs="宋体"/>
                <w:shd w:val="clear" w:color="auto" w:fill="FFFFFF"/>
              </w:rPr>
              <w:t>，满 4年加</w:t>
            </w:r>
            <w:r>
              <w:rPr>
                <w:rFonts w:hint="eastAsia" w:ascii="宋体" w:hAnsi="宋体" w:cs="宋体"/>
                <w:b/>
                <w:bCs/>
                <w:shd w:val="clear" w:color="auto" w:fill="FFFFFF"/>
              </w:rPr>
              <w:t>4分</w:t>
            </w:r>
            <w:r>
              <w:rPr>
                <w:rFonts w:hint="eastAsia" w:ascii="宋体" w:hAnsi="宋体" w:cs="宋体"/>
                <w:shd w:val="clear" w:color="auto" w:fill="FFFFFF"/>
              </w:rPr>
              <w:t>，满 5年加</w:t>
            </w:r>
            <w:r>
              <w:rPr>
                <w:rFonts w:hint="eastAsia" w:ascii="宋体" w:hAnsi="宋体" w:cs="宋体"/>
                <w:b/>
                <w:bCs/>
                <w:shd w:val="clear" w:color="auto" w:fill="FFFFFF"/>
              </w:rPr>
              <w:t>5分</w:t>
            </w:r>
            <w:r>
              <w:rPr>
                <w:rFonts w:hint="eastAsia" w:ascii="宋体" w:hAnsi="宋体" w:cs="宋体"/>
                <w:shd w:val="clear" w:color="auto" w:fill="FFFFFF"/>
              </w:rPr>
              <w:t>，</w:t>
            </w:r>
            <w:r>
              <w:rPr>
                <w:rFonts w:hint="eastAsia" w:ascii="宋体" w:hAnsi="宋体" w:cs="宋体"/>
                <w:b/>
                <w:bCs/>
                <w:shd w:val="clear" w:color="auto" w:fill="FFFFFF"/>
              </w:rPr>
              <w:t>满分5分</w:t>
            </w:r>
            <w:r>
              <w:rPr>
                <w:rFonts w:hint="eastAsia" w:ascii="宋体" w:hAnsi="宋体" w:cs="宋体"/>
                <w:shd w:val="clear" w:color="auto" w:fill="FFFFFF"/>
              </w:rPr>
              <w:t>。</w:t>
            </w:r>
          </w:p>
          <w:p w14:paraId="47A9D5BA">
            <w:pPr>
              <w:pStyle w:val="7"/>
              <w:widowControl/>
              <w:wordWrap w:val="0"/>
              <w:spacing w:beforeAutospacing="0" w:afterAutospacing="0" w:line="400" w:lineRule="atLeast"/>
              <w:ind w:firstLine="482"/>
              <w:jc w:val="both"/>
              <w:rPr>
                <w:rFonts w:ascii="Times New Roman" w:hAnsi="Times New Roman"/>
                <w:sz w:val="21"/>
                <w:szCs w:val="21"/>
              </w:rPr>
            </w:pPr>
            <w:r>
              <w:rPr>
                <w:rFonts w:hint="eastAsia" w:ascii="宋体" w:hAnsi="宋体" w:cs="宋体"/>
                <w:b/>
                <w:bCs/>
                <w:shd w:val="clear" w:color="auto" w:fill="FFFFFF"/>
              </w:rPr>
              <w:t>备注：响应文件中须提供业绩合同（或者协议、批复及具有法律效应的证明材料）扫描件或影印件，需能体现服务期限。</w:t>
            </w:r>
          </w:p>
        </w:tc>
        <w:tc>
          <w:tcPr>
            <w:tcW w:w="1283" w:type="dxa"/>
            <w:tcBorders>
              <w:top w:val="single" w:color="auto" w:sz="4"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14:paraId="6A1155B3">
            <w:pPr>
              <w:pStyle w:val="7"/>
              <w:widowControl/>
              <w:wordWrap w:val="0"/>
              <w:spacing w:beforeAutospacing="0" w:afterAutospacing="0"/>
              <w:jc w:val="center"/>
              <w:rPr>
                <w:rFonts w:ascii="Times New Roman" w:hAnsi="Times New Roman"/>
                <w:sz w:val="21"/>
                <w:szCs w:val="21"/>
              </w:rPr>
            </w:pPr>
            <w:r>
              <w:rPr>
                <w:rFonts w:ascii="Times New Roman" w:hAnsi="Times New Roman"/>
                <w:sz w:val="21"/>
                <w:szCs w:val="21"/>
              </w:rPr>
              <w:t> </w:t>
            </w:r>
          </w:p>
          <w:p w14:paraId="58768AD9">
            <w:pPr>
              <w:pStyle w:val="7"/>
              <w:widowControl/>
              <w:wordWrap w:val="0"/>
              <w:spacing w:beforeAutospacing="0" w:afterAutospacing="0"/>
              <w:jc w:val="center"/>
              <w:rPr>
                <w:rFonts w:ascii="Times New Roman" w:hAnsi="Times New Roman"/>
                <w:sz w:val="21"/>
                <w:szCs w:val="21"/>
              </w:rPr>
            </w:pPr>
            <w:r>
              <w:rPr>
                <w:rFonts w:ascii="Times New Roman" w:hAnsi="Times New Roman"/>
                <w:sz w:val="21"/>
                <w:szCs w:val="21"/>
              </w:rPr>
              <w:t> </w:t>
            </w:r>
          </w:p>
          <w:p w14:paraId="12755076">
            <w:pPr>
              <w:pStyle w:val="7"/>
              <w:widowControl/>
              <w:wordWrap w:val="0"/>
              <w:spacing w:beforeAutospacing="0" w:afterAutospacing="0"/>
              <w:jc w:val="center"/>
              <w:rPr>
                <w:rFonts w:ascii="Times New Roman" w:hAnsi="Times New Roman"/>
                <w:sz w:val="21"/>
                <w:szCs w:val="21"/>
              </w:rPr>
            </w:pPr>
            <w:r>
              <w:rPr>
                <w:rFonts w:ascii="Times New Roman" w:hAnsi="Times New Roman"/>
                <w:sz w:val="21"/>
                <w:szCs w:val="21"/>
              </w:rPr>
              <w:t> </w:t>
            </w:r>
          </w:p>
          <w:p w14:paraId="705233D3">
            <w:pPr>
              <w:pStyle w:val="7"/>
              <w:widowControl/>
              <w:wordWrap w:val="0"/>
              <w:spacing w:beforeAutospacing="0" w:afterAutospacing="0"/>
              <w:jc w:val="center"/>
              <w:rPr>
                <w:rFonts w:ascii="Times New Roman" w:hAnsi="Times New Roman"/>
                <w:sz w:val="21"/>
                <w:szCs w:val="21"/>
              </w:rPr>
            </w:pPr>
            <w:r>
              <w:rPr>
                <w:rFonts w:ascii="Times New Roman" w:hAnsi="Times New Roman"/>
                <w:sz w:val="21"/>
                <w:szCs w:val="21"/>
              </w:rPr>
              <w:t> </w:t>
            </w:r>
          </w:p>
          <w:p w14:paraId="0E6A0EB2">
            <w:pPr>
              <w:pStyle w:val="7"/>
              <w:widowControl/>
              <w:wordWrap w:val="0"/>
              <w:spacing w:beforeAutospacing="0" w:afterAutospacing="0"/>
              <w:jc w:val="center"/>
              <w:rPr>
                <w:rFonts w:ascii="Times New Roman" w:hAnsi="Times New Roman"/>
                <w:sz w:val="21"/>
                <w:szCs w:val="21"/>
              </w:rPr>
            </w:pPr>
            <w:r>
              <w:rPr>
                <w:rFonts w:ascii="Times New Roman" w:hAnsi="Times New Roman"/>
                <w:sz w:val="21"/>
                <w:szCs w:val="21"/>
              </w:rPr>
              <w:t> </w:t>
            </w:r>
          </w:p>
          <w:p w14:paraId="5B666A88">
            <w:pPr>
              <w:pStyle w:val="7"/>
              <w:widowControl/>
              <w:wordWrap w:val="0"/>
              <w:spacing w:beforeAutospacing="0" w:afterAutospacing="0"/>
              <w:jc w:val="center"/>
              <w:rPr>
                <w:rFonts w:ascii="Times New Roman" w:hAnsi="Times New Roman"/>
                <w:sz w:val="21"/>
                <w:szCs w:val="21"/>
              </w:rPr>
            </w:pPr>
            <w:r>
              <w:rPr>
                <w:rFonts w:ascii="Times New Roman" w:hAnsi="Times New Roman"/>
                <w:sz w:val="21"/>
                <w:szCs w:val="21"/>
              </w:rPr>
              <w:t> </w:t>
            </w:r>
          </w:p>
          <w:p w14:paraId="2CB557DB">
            <w:pPr>
              <w:pStyle w:val="7"/>
              <w:widowControl/>
              <w:wordWrap w:val="0"/>
              <w:spacing w:beforeAutospacing="0" w:afterAutospacing="0"/>
              <w:jc w:val="center"/>
              <w:rPr>
                <w:rFonts w:ascii="Times New Roman" w:hAnsi="Times New Roman"/>
                <w:sz w:val="21"/>
                <w:szCs w:val="21"/>
              </w:rPr>
            </w:pPr>
            <w:r>
              <w:rPr>
                <w:rFonts w:ascii="Times New Roman" w:hAnsi="Times New Roman"/>
                <w:sz w:val="21"/>
                <w:szCs w:val="21"/>
              </w:rPr>
              <w:t> </w:t>
            </w:r>
          </w:p>
          <w:p w14:paraId="5A5F32D7">
            <w:pPr>
              <w:pStyle w:val="7"/>
              <w:widowControl/>
              <w:wordWrap w:val="0"/>
              <w:spacing w:beforeAutospacing="0" w:afterAutospacing="0"/>
              <w:jc w:val="center"/>
              <w:rPr>
                <w:rFonts w:ascii="Times New Roman" w:hAnsi="Times New Roman"/>
                <w:sz w:val="21"/>
                <w:szCs w:val="21"/>
              </w:rPr>
            </w:pPr>
            <w:r>
              <w:rPr>
                <w:rFonts w:ascii="Times New Roman" w:hAnsi="Times New Roman"/>
                <w:sz w:val="21"/>
                <w:szCs w:val="21"/>
              </w:rPr>
              <w:t> </w:t>
            </w:r>
          </w:p>
          <w:p w14:paraId="26F9AC86">
            <w:pPr>
              <w:pStyle w:val="7"/>
              <w:widowControl/>
              <w:wordWrap w:val="0"/>
              <w:spacing w:beforeAutospacing="0" w:afterAutospacing="0"/>
              <w:jc w:val="center"/>
              <w:rPr>
                <w:rFonts w:ascii="Times New Roman" w:hAnsi="Times New Roman"/>
                <w:sz w:val="21"/>
                <w:szCs w:val="21"/>
              </w:rPr>
            </w:pPr>
            <w:r>
              <w:rPr>
                <w:rFonts w:ascii="Times New Roman" w:hAnsi="Times New Roman"/>
                <w:sz w:val="21"/>
                <w:szCs w:val="21"/>
              </w:rPr>
              <w:t> </w:t>
            </w:r>
          </w:p>
          <w:p w14:paraId="23AB0B38">
            <w:pPr>
              <w:pStyle w:val="7"/>
              <w:widowControl/>
              <w:wordWrap w:val="0"/>
              <w:spacing w:beforeAutospacing="0" w:afterAutospacing="0"/>
              <w:jc w:val="center"/>
              <w:rPr>
                <w:rFonts w:ascii="Times New Roman" w:hAnsi="Times New Roman"/>
                <w:sz w:val="21"/>
                <w:szCs w:val="21"/>
              </w:rPr>
            </w:pPr>
            <w:r>
              <w:rPr>
                <w:rFonts w:ascii="Times New Roman" w:hAnsi="Times New Roman"/>
                <w:sz w:val="21"/>
                <w:szCs w:val="21"/>
              </w:rPr>
              <w:t> </w:t>
            </w:r>
          </w:p>
          <w:p w14:paraId="7723D175">
            <w:pPr>
              <w:pStyle w:val="7"/>
              <w:widowControl/>
              <w:wordWrap w:val="0"/>
              <w:spacing w:beforeAutospacing="0" w:afterAutospacing="0"/>
              <w:jc w:val="center"/>
              <w:rPr>
                <w:rFonts w:ascii="Times New Roman" w:hAnsi="Times New Roman"/>
                <w:sz w:val="21"/>
                <w:szCs w:val="21"/>
              </w:rPr>
            </w:pPr>
            <w:r>
              <w:rPr>
                <w:rFonts w:ascii="Times New Roman" w:hAnsi="Times New Roman"/>
                <w:sz w:val="21"/>
                <w:szCs w:val="21"/>
              </w:rPr>
              <w:t> </w:t>
            </w:r>
          </w:p>
          <w:p w14:paraId="2BF6C820">
            <w:pPr>
              <w:pStyle w:val="7"/>
              <w:widowControl/>
              <w:wordWrap w:val="0"/>
              <w:spacing w:beforeAutospacing="0" w:afterAutospacing="0"/>
              <w:jc w:val="center"/>
              <w:rPr>
                <w:rFonts w:ascii="Times New Roman" w:hAnsi="Times New Roman"/>
                <w:sz w:val="21"/>
                <w:szCs w:val="21"/>
              </w:rPr>
            </w:pPr>
            <w:r>
              <w:rPr>
                <w:rFonts w:hint="eastAsia" w:ascii="宋体" w:hAnsi="宋体" w:cs="宋体"/>
              </w:rPr>
              <w:t>0-20分</w:t>
            </w:r>
          </w:p>
          <w:p w14:paraId="408CA5FD">
            <w:pPr>
              <w:pStyle w:val="7"/>
              <w:widowControl/>
              <w:wordWrap w:val="0"/>
              <w:spacing w:before="181" w:beforeAutospacing="0" w:afterAutospacing="0"/>
              <w:ind w:left="800" w:right="29"/>
              <w:jc w:val="center"/>
              <w:rPr>
                <w:rFonts w:ascii="宋体" w:hAnsi="宋体" w:cs="宋体"/>
              </w:rPr>
            </w:pPr>
            <w:r>
              <w:rPr>
                <w:rFonts w:hint="eastAsia" w:ascii="宋体" w:hAnsi="宋体" w:cs="宋体"/>
              </w:rPr>
              <w:t> </w:t>
            </w:r>
          </w:p>
        </w:tc>
      </w:tr>
      <w:tr w14:paraId="0FA2F1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9" w:hRule="atLeast"/>
        </w:trPr>
        <w:tc>
          <w:tcPr>
            <w:tcW w:w="1285" w:type="dxa"/>
            <w:tcBorders>
              <w:top w:val="nil"/>
              <w:left w:val="single" w:color="auto" w:sz="6" w:space="0"/>
              <w:bottom w:val="single" w:color="auto" w:sz="4" w:space="0"/>
              <w:right w:val="single" w:color="auto" w:sz="6" w:space="0"/>
            </w:tcBorders>
            <w:noWrap w:val="0"/>
            <w:tcMar>
              <w:top w:w="0" w:type="dxa"/>
              <w:left w:w="108" w:type="dxa"/>
              <w:bottom w:w="0" w:type="dxa"/>
              <w:right w:w="108" w:type="dxa"/>
            </w:tcMar>
            <w:vAlign w:val="center"/>
          </w:tcPr>
          <w:p w14:paraId="5F581132">
            <w:pPr>
              <w:pStyle w:val="7"/>
              <w:widowControl/>
              <w:wordWrap w:val="0"/>
              <w:spacing w:before="181" w:beforeAutospacing="0" w:afterAutospacing="0"/>
              <w:ind w:right="29"/>
              <w:jc w:val="both"/>
              <w:rPr>
                <w:rFonts w:ascii="宋体" w:hAnsi="宋体" w:cs="宋体"/>
              </w:rPr>
            </w:pPr>
            <w:r>
              <w:rPr>
                <w:rFonts w:hint="eastAsia" w:ascii="宋体" w:hAnsi="宋体" w:cs="宋体"/>
              </w:rPr>
              <w:t>媒体宣传</w:t>
            </w:r>
          </w:p>
        </w:tc>
        <w:tc>
          <w:tcPr>
            <w:tcW w:w="7031" w:type="dxa"/>
            <w:tcBorders>
              <w:top w:val="nil"/>
              <w:left w:val="single" w:color="auto" w:sz="6" w:space="0"/>
              <w:bottom w:val="single" w:color="auto" w:sz="4" w:space="0"/>
              <w:right w:val="single" w:color="auto" w:sz="6" w:space="0"/>
            </w:tcBorders>
            <w:noWrap w:val="0"/>
            <w:tcMar>
              <w:top w:w="0" w:type="dxa"/>
              <w:left w:w="108" w:type="dxa"/>
              <w:bottom w:w="0" w:type="dxa"/>
              <w:right w:w="108" w:type="dxa"/>
            </w:tcMar>
            <w:vAlign w:val="top"/>
          </w:tcPr>
          <w:p w14:paraId="3D6AD19E">
            <w:pPr>
              <w:pStyle w:val="7"/>
              <w:widowControl/>
              <w:wordWrap w:val="0"/>
              <w:spacing w:beforeAutospacing="0" w:afterAutospacing="0" w:line="480" w:lineRule="atLeast"/>
              <w:ind w:firstLine="480"/>
              <w:jc w:val="both"/>
              <w:rPr>
                <w:rFonts w:hint="eastAsia" w:ascii="宋体" w:hAnsi="宋体" w:cs="宋体"/>
              </w:rPr>
            </w:pPr>
            <w:r>
              <w:rPr>
                <w:rFonts w:hint="eastAsia" w:ascii="宋体" w:hAnsi="宋体" w:cs="宋体"/>
              </w:rPr>
              <w:t>202</w:t>
            </w:r>
            <w:r>
              <w:rPr>
                <w:rFonts w:hint="eastAsia" w:ascii="宋体" w:hAnsi="宋体" w:cs="宋体"/>
                <w:lang w:val="en-US" w:eastAsia="zh-CN"/>
              </w:rPr>
              <w:t>0</w:t>
            </w:r>
            <w:r>
              <w:rPr>
                <w:rFonts w:hint="eastAsia" w:ascii="宋体" w:hAnsi="宋体" w:cs="宋体"/>
              </w:rPr>
              <w:t>年1月1日以来（以媒体报道时间为准），在开展有关社会服务项目期间，业绩突出，被相关媒体正面报道的：</w:t>
            </w:r>
          </w:p>
          <w:p w14:paraId="55CDAB84">
            <w:pPr>
              <w:pStyle w:val="7"/>
              <w:widowControl/>
              <w:wordWrap w:val="0"/>
              <w:spacing w:beforeAutospacing="0" w:afterAutospacing="0" w:line="480" w:lineRule="atLeast"/>
              <w:ind w:firstLine="480"/>
              <w:jc w:val="both"/>
              <w:rPr>
                <w:rFonts w:ascii="Times New Roman" w:hAnsi="Times New Roman"/>
                <w:sz w:val="21"/>
                <w:szCs w:val="21"/>
              </w:rPr>
            </w:pPr>
            <w:r>
              <w:rPr>
                <w:rFonts w:hint="eastAsia" w:ascii="宋体" w:hAnsi="宋体" w:cs="宋体"/>
                <w:lang w:val="en-US" w:eastAsia="zh-CN"/>
              </w:rPr>
              <w:t>(1)</w:t>
            </w:r>
            <w:r>
              <w:rPr>
                <w:rFonts w:hint="eastAsia" w:ascii="宋体" w:hAnsi="宋体" w:cs="宋体"/>
              </w:rPr>
              <w:t>被国家级媒体报道的，每次得</w:t>
            </w:r>
            <w:r>
              <w:rPr>
                <w:rFonts w:hint="eastAsia" w:ascii="宋体" w:hAnsi="宋体" w:cs="宋体"/>
                <w:b/>
                <w:bCs/>
              </w:rPr>
              <w:t>3分</w:t>
            </w:r>
            <w:r>
              <w:rPr>
                <w:rFonts w:hint="eastAsia" w:ascii="宋体" w:hAnsi="宋体" w:cs="宋体"/>
              </w:rPr>
              <w:t>；</w:t>
            </w:r>
            <w:r>
              <w:rPr>
                <w:rFonts w:hint="eastAsia" w:ascii="宋体" w:hAnsi="宋体" w:cs="宋体"/>
                <w:lang w:val="en-US" w:eastAsia="zh-CN"/>
              </w:rPr>
              <w:t>(2)</w:t>
            </w:r>
            <w:r>
              <w:rPr>
                <w:rFonts w:hint="eastAsia" w:ascii="宋体" w:hAnsi="宋体" w:cs="宋体"/>
              </w:rPr>
              <w:t>被省级媒体报道的，每次得</w:t>
            </w:r>
            <w:r>
              <w:rPr>
                <w:rFonts w:hint="eastAsia" w:ascii="宋体" w:hAnsi="宋体" w:cs="宋体"/>
                <w:b/>
                <w:bCs/>
              </w:rPr>
              <w:t>2分</w:t>
            </w:r>
            <w:r>
              <w:rPr>
                <w:rFonts w:hint="eastAsia" w:ascii="宋体" w:hAnsi="宋体" w:cs="宋体"/>
              </w:rPr>
              <w:t>；</w:t>
            </w:r>
            <w:r>
              <w:rPr>
                <w:rFonts w:hint="eastAsia" w:ascii="宋体" w:hAnsi="宋体" w:cs="宋体"/>
                <w:lang w:val="en-US" w:eastAsia="zh-CN"/>
              </w:rPr>
              <w:t>(3)</w:t>
            </w:r>
            <w:r>
              <w:rPr>
                <w:rFonts w:hint="eastAsia" w:ascii="宋体" w:hAnsi="宋体" w:cs="宋体"/>
              </w:rPr>
              <w:t>被地市级媒体报道的，每次得</w:t>
            </w:r>
            <w:r>
              <w:rPr>
                <w:rFonts w:hint="eastAsia" w:ascii="宋体" w:hAnsi="宋体" w:cs="宋体"/>
                <w:b/>
                <w:bCs/>
              </w:rPr>
              <w:t>1分</w:t>
            </w:r>
            <w:r>
              <w:rPr>
                <w:rFonts w:hint="eastAsia" w:ascii="宋体" w:hAnsi="宋体" w:cs="宋体"/>
              </w:rPr>
              <w:t>。</w:t>
            </w:r>
          </w:p>
          <w:p w14:paraId="1281E005">
            <w:pPr>
              <w:pStyle w:val="7"/>
              <w:widowControl/>
              <w:wordWrap w:val="0"/>
              <w:spacing w:beforeAutospacing="0" w:afterAutospacing="0" w:line="480" w:lineRule="atLeast"/>
              <w:ind w:firstLine="482" w:firstLineChars="200"/>
              <w:jc w:val="both"/>
              <w:rPr>
                <w:rFonts w:ascii="Times New Roman" w:hAnsi="Times New Roman"/>
                <w:sz w:val="21"/>
                <w:szCs w:val="21"/>
              </w:rPr>
            </w:pPr>
            <w:r>
              <w:rPr>
                <w:rFonts w:hint="eastAsia" w:ascii="宋体" w:hAnsi="宋体" w:cs="宋体"/>
                <w:b/>
                <w:bCs/>
              </w:rPr>
              <w:t>最高得10分</w:t>
            </w:r>
            <w:r>
              <w:rPr>
                <w:rFonts w:hint="eastAsia" w:ascii="宋体" w:hAnsi="宋体" w:cs="宋体"/>
              </w:rPr>
              <w:t>，以上业绩报道按最高等级计算，同一业绩不得重复计算。</w:t>
            </w:r>
          </w:p>
          <w:p w14:paraId="5766E0E4">
            <w:pPr>
              <w:pStyle w:val="7"/>
              <w:widowControl/>
              <w:wordWrap w:val="0"/>
              <w:spacing w:beforeAutospacing="0" w:afterAutospacing="0" w:line="480" w:lineRule="atLeast"/>
              <w:jc w:val="both"/>
              <w:rPr>
                <w:rFonts w:ascii="Times New Roman" w:hAnsi="Times New Roman"/>
                <w:sz w:val="21"/>
                <w:szCs w:val="21"/>
              </w:rPr>
            </w:pPr>
            <w:r>
              <w:rPr>
                <w:rFonts w:hint="eastAsia" w:ascii="宋体" w:hAnsi="宋体" w:cs="宋体"/>
                <w:b w:val="0"/>
                <w:bCs w:val="0"/>
              </w:rPr>
              <w:t>注：需提供媒体报道的网络链接、报道截图，或者纸质报道的扫描件或影印件。同时响应文件中还提供其所承接的项目对应的合同，媒体报道时间须在业绩合同服务期内。若上述证明材料不能体现供应商名称、媒体名称、项目内容等评审因素的，须同时提供所报道媒体出具的相关证明材料</w:t>
            </w:r>
            <w:r>
              <w:rPr>
                <w:rFonts w:hint="eastAsia" w:ascii="宋体" w:hAnsi="宋体" w:cs="宋体"/>
              </w:rPr>
              <w:t>。</w:t>
            </w:r>
            <w:r>
              <w:rPr>
                <w:rFonts w:hint="eastAsia" w:ascii="宋体" w:hAnsi="宋体" w:cs="宋体"/>
                <w:b/>
                <w:bCs/>
              </w:rPr>
              <w:t>未提供或提供不全的不得分。</w:t>
            </w:r>
          </w:p>
        </w:tc>
        <w:tc>
          <w:tcPr>
            <w:tcW w:w="1283" w:type="dxa"/>
            <w:tcBorders>
              <w:top w:val="nil"/>
              <w:left w:val="single" w:color="auto" w:sz="6" w:space="0"/>
              <w:bottom w:val="single" w:color="auto" w:sz="4" w:space="0"/>
              <w:right w:val="single" w:color="auto" w:sz="6" w:space="0"/>
            </w:tcBorders>
            <w:noWrap w:val="0"/>
            <w:tcMar>
              <w:top w:w="0" w:type="dxa"/>
              <w:left w:w="108" w:type="dxa"/>
              <w:bottom w:w="0" w:type="dxa"/>
              <w:right w:w="108" w:type="dxa"/>
            </w:tcMar>
            <w:vAlign w:val="center"/>
          </w:tcPr>
          <w:p w14:paraId="446B855F">
            <w:pPr>
              <w:pStyle w:val="7"/>
              <w:widowControl/>
              <w:wordWrap w:val="0"/>
              <w:spacing w:beforeAutospacing="0" w:afterAutospacing="0"/>
              <w:jc w:val="center"/>
              <w:rPr>
                <w:rFonts w:ascii="Times New Roman" w:hAnsi="Times New Roman"/>
                <w:sz w:val="21"/>
                <w:szCs w:val="21"/>
              </w:rPr>
            </w:pPr>
            <w:r>
              <w:rPr>
                <w:rFonts w:ascii="Times New Roman" w:hAnsi="Times New Roman"/>
                <w:sz w:val="21"/>
                <w:szCs w:val="21"/>
              </w:rPr>
              <w:t> </w:t>
            </w:r>
          </w:p>
          <w:p w14:paraId="4F08EDC8">
            <w:pPr>
              <w:pStyle w:val="7"/>
              <w:widowControl/>
              <w:wordWrap w:val="0"/>
              <w:spacing w:beforeAutospacing="0" w:afterAutospacing="0"/>
              <w:jc w:val="center"/>
              <w:rPr>
                <w:rFonts w:ascii="Times New Roman" w:hAnsi="Times New Roman"/>
                <w:sz w:val="21"/>
                <w:szCs w:val="21"/>
              </w:rPr>
            </w:pPr>
            <w:r>
              <w:rPr>
                <w:rFonts w:ascii="Times New Roman" w:hAnsi="Times New Roman"/>
                <w:sz w:val="21"/>
                <w:szCs w:val="21"/>
              </w:rPr>
              <w:t> </w:t>
            </w:r>
          </w:p>
          <w:p w14:paraId="084A1275">
            <w:pPr>
              <w:pStyle w:val="7"/>
              <w:widowControl/>
              <w:wordWrap w:val="0"/>
              <w:spacing w:beforeAutospacing="0" w:afterAutospacing="0"/>
              <w:jc w:val="center"/>
              <w:rPr>
                <w:rFonts w:ascii="Times New Roman" w:hAnsi="Times New Roman"/>
                <w:sz w:val="21"/>
                <w:szCs w:val="21"/>
              </w:rPr>
            </w:pPr>
            <w:r>
              <w:rPr>
                <w:rFonts w:ascii="Times New Roman" w:hAnsi="Times New Roman"/>
                <w:sz w:val="21"/>
                <w:szCs w:val="21"/>
              </w:rPr>
              <w:t> </w:t>
            </w:r>
          </w:p>
          <w:p w14:paraId="107FB4EB">
            <w:pPr>
              <w:pStyle w:val="7"/>
              <w:widowControl/>
              <w:wordWrap w:val="0"/>
              <w:spacing w:beforeAutospacing="0" w:afterAutospacing="0"/>
              <w:jc w:val="center"/>
              <w:rPr>
                <w:rFonts w:ascii="Times New Roman" w:hAnsi="Times New Roman"/>
                <w:sz w:val="21"/>
                <w:szCs w:val="21"/>
              </w:rPr>
            </w:pPr>
            <w:r>
              <w:rPr>
                <w:rFonts w:ascii="Times New Roman" w:hAnsi="Times New Roman"/>
                <w:sz w:val="21"/>
                <w:szCs w:val="21"/>
              </w:rPr>
              <w:t> </w:t>
            </w:r>
          </w:p>
          <w:p w14:paraId="00DC5773">
            <w:pPr>
              <w:pStyle w:val="7"/>
              <w:widowControl/>
              <w:wordWrap w:val="0"/>
              <w:spacing w:beforeAutospacing="0" w:afterAutospacing="0"/>
              <w:jc w:val="center"/>
              <w:rPr>
                <w:rFonts w:ascii="Times New Roman" w:hAnsi="Times New Roman"/>
                <w:sz w:val="21"/>
                <w:szCs w:val="21"/>
              </w:rPr>
            </w:pPr>
            <w:r>
              <w:rPr>
                <w:rFonts w:ascii="Times New Roman" w:hAnsi="Times New Roman"/>
                <w:sz w:val="21"/>
                <w:szCs w:val="21"/>
              </w:rPr>
              <w:t> </w:t>
            </w:r>
          </w:p>
          <w:p w14:paraId="4779D3B1">
            <w:pPr>
              <w:pStyle w:val="7"/>
              <w:widowControl/>
              <w:wordWrap w:val="0"/>
              <w:spacing w:beforeAutospacing="0" w:afterAutospacing="0"/>
              <w:jc w:val="center"/>
              <w:rPr>
                <w:rFonts w:ascii="Times New Roman" w:hAnsi="Times New Roman"/>
                <w:sz w:val="21"/>
                <w:szCs w:val="21"/>
              </w:rPr>
            </w:pPr>
            <w:r>
              <w:rPr>
                <w:rFonts w:ascii="Times New Roman" w:hAnsi="Times New Roman"/>
                <w:sz w:val="21"/>
                <w:szCs w:val="21"/>
              </w:rPr>
              <w:t> </w:t>
            </w:r>
          </w:p>
          <w:p w14:paraId="2E6B40A5">
            <w:pPr>
              <w:pStyle w:val="7"/>
              <w:widowControl/>
              <w:wordWrap w:val="0"/>
              <w:spacing w:beforeAutospacing="0" w:afterAutospacing="0"/>
              <w:jc w:val="center"/>
              <w:rPr>
                <w:rFonts w:ascii="Times New Roman" w:hAnsi="Times New Roman"/>
                <w:sz w:val="21"/>
                <w:szCs w:val="21"/>
              </w:rPr>
            </w:pPr>
            <w:r>
              <w:rPr>
                <w:rFonts w:ascii="Times New Roman" w:hAnsi="Times New Roman"/>
                <w:sz w:val="21"/>
                <w:szCs w:val="21"/>
              </w:rPr>
              <w:t> </w:t>
            </w:r>
          </w:p>
          <w:p w14:paraId="28D30B17">
            <w:pPr>
              <w:pStyle w:val="7"/>
              <w:widowControl/>
              <w:wordWrap w:val="0"/>
              <w:spacing w:beforeAutospacing="0" w:afterAutospacing="0"/>
              <w:jc w:val="center"/>
              <w:rPr>
                <w:rFonts w:ascii="Times New Roman" w:hAnsi="Times New Roman"/>
                <w:sz w:val="21"/>
                <w:szCs w:val="21"/>
              </w:rPr>
            </w:pPr>
            <w:r>
              <w:rPr>
                <w:rFonts w:ascii="Times New Roman" w:hAnsi="Times New Roman"/>
                <w:sz w:val="21"/>
                <w:szCs w:val="21"/>
              </w:rPr>
              <w:t> </w:t>
            </w:r>
          </w:p>
          <w:p w14:paraId="67818182">
            <w:pPr>
              <w:pStyle w:val="7"/>
              <w:widowControl/>
              <w:wordWrap w:val="0"/>
              <w:spacing w:beforeAutospacing="0" w:afterAutospacing="0"/>
              <w:jc w:val="center"/>
              <w:rPr>
                <w:rFonts w:ascii="Times New Roman" w:hAnsi="Times New Roman"/>
                <w:sz w:val="21"/>
                <w:szCs w:val="21"/>
              </w:rPr>
            </w:pPr>
            <w:r>
              <w:rPr>
                <w:rFonts w:ascii="Times New Roman" w:hAnsi="Times New Roman"/>
                <w:sz w:val="21"/>
                <w:szCs w:val="21"/>
              </w:rPr>
              <w:t> </w:t>
            </w:r>
          </w:p>
          <w:p w14:paraId="539C635D">
            <w:pPr>
              <w:pStyle w:val="7"/>
              <w:widowControl/>
              <w:wordWrap w:val="0"/>
              <w:spacing w:beforeAutospacing="0" w:afterAutospacing="0"/>
              <w:jc w:val="center"/>
              <w:rPr>
                <w:rFonts w:ascii="Times New Roman" w:hAnsi="Times New Roman"/>
                <w:sz w:val="21"/>
                <w:szCs w:val="21"/>
              </w:rPr>
            </w:pPr>
            <w:r>
              <w:rPr>
                <w:rFonts w:ascii="Times New Roman" w:hAnsi="Times New Roman"/>
                <w:sz w:val="21"/>
                <w:szCs w:val="21"/>
              </w:rPr>
              <w:t> </w:t>
            </w:r>
          </w:p>
          <w:p w14:paraId="1AA1DBF0">
            <w:pPr>
              <w:pStyle w:val="7"/>
              <w:widowControl/>
              <w:wordWrap w:val="0"/>
              <w:spacing w:beforeAutospacing="0" w:afterAutospacing="0"/>
              <w:jc w:val="center"/>
              <w:rPr>
                <w:rFonts w:ascii="Times New Roman" w:hAnsi="Times New Roman"/>
                <w:sz w:val="21"/>
                <w:szCs w:val="21"/>
              </w:rPr>
            </w:pPr>
            <w:r>
              <w:rPr>
                <w:rFonts w:ascii="Times New Roman" w:hAnsi="Times New Roman"/>
                <w:sz w:val="21"/>
                <w:szCs w:val="21"/>
              </w:rPr>
              <w:t> </w:t>
            </w:r>
          </w:p>
          <w:p w14:paraId="0B01F6B7">
            <w:pPr>
              <w:pStyle w:val="7"/>
              <w:widowControl/>
              <w:wordWrap w:val="0"/>
              <w:spacing w:beforeAutospacing="0" w:afterAutospacing="0" w:line="400" w:lineRule="atLeast"/>
              <w:jc w:val="center"/>
              <w:rPr>
                <w:rFonts w:ascii="Times New Roman" w:hAnsi="Times New Roman"/>
                <w:sz w:val="21"/>
                <w:szCs w:val="21"/>
              </w:rPr>
            </w:pPr>
            <w:r>
              <w:rPr>
                <w:rFonts w:hint="eastAsia" w:ascii="宋体" w:hAnsi="宋体" w:cs="宋体"/>
              </w:rPr>
              <w:t>0-10分</w:t>
            </w:r>
          </w:p>
          <w:p w14:paraId="2359D087">
            <w:pPr>
              <w:pStyle w:val="7"/>
              <w:widowControl/>
              <w:wordWrap w:val="0"/>
              <w:spacing w:beforeAutospacing="0" w:afterAutospacing="0"/>
              <w:jc w:val="center"/>
              <w:rPr>
                <w:rFonts w:ascii="Times New Roman" w:hAnsi="Times New Roman"/>
                <w:sz w:val="21"/>
                <w:szCs w:val="21"/>
              </w:rPr>
            </w:pPr>
            <w:r>
              <w:rPr>
                <w:rFonts w:ascii="Times New Roman" w:hAnsi="Times New Roman"/>
                <w:sz w:val="21"/>
                <w:szCs w:val="21"/>
              </w:rPr>
              <w:t> </w:t>
            </w:r>
          </w:p>
        </w:tc>
      </w:tr>
      <w:tr w14:paraId="631599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62" w:hRule="atLeast"/>
        </w:trPr>
        <w:tc>
          <w:tcPr>
            <w:tcW w:w="1285" w:type="dxa"/>
            <w:tcBorders>
              <w:top w:val="single" w:color="auto" w:sz="4"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14:paraId="55279102">
            <w:pPr>
              <w:pStyle w:val="7"/>
              <w:widowControl/>
              <w:wordWrap w:val="0"/>
              <w:spacing w:before="181" w:beforeAutospacing="0" w:afterAutospacing="0"/>
              <w:ind w:right="29"/>
              <w:rPr>
                <w:rFonts w:hint="eastAsia" w:ascii="宋体" w:hAnsi="宋体" w:cs="宋体"/>
              </w:rPr>
            </w:pPr>
          </w:p>
          <w:p w14:paraId="09BC4E82">
            <w:pPr>
              <w:pStyle w:val="7"/>
              <w:widowControl/>
              <w:spacing w:before="181" w:beforeAutospacing="0" w:afterAutospacing="0"/>
              <w:ind w:right="29"/>
              <w:jc w:val="center"/>
              <w:rPr>
                <w:rFonts w:hint="eastAsia" w:ascii="宋体" w:hAnsi="宋体" w:cs="宋体"/>
              </w:rPr>
            </w:pPr>
            <w:r>
              <w:rPr>
                <w:rFonts w:hint="eastAsia" w:ascii="宋体" w:hAnsi="宋体" w:cs="宋体"/>
              </w:rPr>
              <w:t>供应商</w:t>
            </w:r>
          </w:p>
          <w:p w14:paraId="3C5320B1">
            <w:pPr>
              <w:pStyle w:val="7"/>
              <w:widowControl/>
              <w:wordWrap w:val="0"/>
              <w:spacing w:before="181" w:beforeAutospacing="0" w:afterAutospacing="0"/>
              <w:ind w:right="29"/>
              <w:jc w:val="center"/>
              <w:rPr>
                <w:rFonts w:ascii="宋体" w:hAnsi="宋体" w:cs="宋体"/>
              </w:rPr>
            </w:pPr>
            <w:r>
              <w:rPr>
                <w:rFonts w:hint="eastAsia" w:ascii="宋体" w:hAnsi="宋体" w:cs="宋体"/>
              </w:rPr>
              <w:t>能力</w:t>
            </w:r>
          </w:p>
        </w:tc>
        <w:tc>
          <w:tcPr>
            <w:tcW w:w="7031" w:type="dxa"/>
            <w:tcBorders>
              <w:top w:val="single" w:color="auto" w:sz="4"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14:paraId="2BFE0E11">
            <w:pPr>
              <w:pStyle w:val="7"/>
              <w:widowControl/>
              <w:wordWrap w:val="0"/>
              <w:spacing w:beforeAutospacing="0" w:afterAutospacing="0" w:line="480" w:lineRule="atLeast"/>
              <w:ind w:firstLine="480"/>
              <w:jc w:val="both"/>
              <w:rPr>
                <w:rFonts w:ascii="Times New Roman" w:hAnsi="Times New Roman"/>
                <w:sz w:val="21"/>
                <w:szCs w:val="21"/>
              </w:rPr>
            </w:pPr>
            <w:r>
              <w:rPr>
                <w:rFonts w:hint="eastAsia" w:ascii="宋体" w:hAnsi="宋体" w:cs="宋体"/>
              </w:rPr>
              <w:t>投标人获得社会组织等级评估认定情况：</w:t>
            </w:r>
          </w:p>
          <w:p w14:paraId="1D473A1E">
            <w:pPr>
              <w:pStyle w:val="7"/>
              <w:widowControl/>
              <w:wordWrap w:val="0"/>
              <w:spacing w:beforeAutospacing="0" w:afterAutospacing="0" w:line="480" w:lineRule="atLeast"/>
              <w:ind w:firstLine="480"/>
              <w:jc w:val="both"/>
              <w:rPr>
                <w:rFonts w:ascii="Times New Roman" w:hAnsi="Times New Roman"/>
                <w:sz w:val="21"/>
                <w:szCs w:val="21"/>
              </w:rPr>
            </w:pPr>
            <w:r>
              <w:rPr>
                <w:rFonts w:hint="eastAsia" w:ascii="宋体" w:hAnsi="宋体" w:cs="宋体"/>
              </w:rPr>
              <w:t>1.社会组织等级认定3A，得</w:t>
            </w:r>
            <w:r>
              <w:rPr>
                <w:rFonts w:hint="eastAsia" w:ascii="宋体" w:hAnsi="宋体" w:cs="宋体"/>
                <w:b/>
                <w:bCs/>
              </w:rPr>
              <w:t>3分</w:t>
            </w:r>
            <w:r>
              <w:rPr>
                <w:rFonts w:hint="eastAsia" w:ascii="宋体" w:hAnsi="宋体" w:cs="宋体"/>
              </w:rPr>
              <w:t>；</w:t>
            </w:r>
          </w:p>
          <w:p w14:paraId="4F25938D">
            <w:pPr>
              <w:pStyle w:val="7"/>
              <w:widowControl/>
              <w:wordWrap w:val="0"/>
              <w:spacing w:beforeAutospacing="0" w:afterAutospacing="0" w:line="480" w:lineRule="atLeast"/>
              <w:ind w:firstLine="480"/>
              <w:jc w:val="both"/>
              <w:rPr>
                <w:rFonts w:ascii="Times New Roman" w:hAnsi="Times New Roman"/>
                <w:sz w:val="21"/>
                <w:szCs w:val="21"/>
              </w:rPr>
            </w:pPr>
            <w:r>
              <w:rPr>
                <w:rFonts w:hint="eastAsia" w:ascii="宋体" w:hAnsi="宋体" w:cs="宋体"/>
              </w:rPr>
              <w:t>2.社会组织等级认定4A，得</w:t>
            </w:r>
            <w:r>
              <w:rPr>
                <w:rFonts w:hint="eastAsia" w:ascii="宋体" w:hAnsi="宋体" w:cs="宋体"/>
                <w:b/>
                <w:bCs/>
              </w:rPr>
              <w:t>5分</w:t>
            </w:r>
            <w:r>
              <w:rPr>
                <w:rFonts w:hint="eastAsia" w:ascii="宋体" w:hAnsi="宋体" w:cs="宋体"/>
              </w:rPr>
              <w:t>；</w:t>
            </w:r>
          </w:p>
          <w:p w14:paraId="23F93262">
            <w:pPr>
              <w:pStyle w:val="7"/>
              <w:widowControl/>
              <w:wordWrap w:val="0"/>
              <w:spacing w:beforeAutospacing="0" w:afterAutospacing="0" w:line="480" w:lineRule="atLeast"/>
              <w:ind w:firstLine="480"/>
              <w:jc w:val="both"/>
              <w:rPr>
                <w:rFonts w:ascii="Times New Roman" w:hAnsi="Times New Roman"/>
                <w:sz w:val="21"/>
                <w:szCs w:val="21"/>
              </w:rPr>
            </w:pPr>
            <w:r>
              <w:rPr>
                <w:rFonts w:hint="eastAsia" w:ascii="宋体" w:hAnsi="宋体" w:cs="宋体"/>
              </w:rPr>
              <w:t>3.社会组织等级认定5A，得</w:t>
            </w:r>
            <w:r>
              <w:rPr>
                <w:rFonts w:hint="eastAsia" w:ascii="宋体" w:hAnsi="宋体" w:cs="宋体"/>
                <w:b/>
                <w:bCs/>
              </w:rPr>
              <w:t>7分</w:t>
            </w:r>
            <w:r>
              <w:rPr>
                <w:rFonts w:hint="eastAsia" w:ascii="宋体" w:hAnsi="宋体" w:cs="宋体"/>
              </w:rPr>
              <w:t>；</w:t>
            </w:r>
          </w:p>
          <w:p w14:paraId="14FD7D86">
            <w:pPr>
              <w:pStyle w:val="7"/>
              <w:widowControl/>
              <w:wordWrap w:val="0"/>
              <w:spacing w:beforeAutospacing="0" w:afterAutospacing="0" w:line="400" w:lineRule="atLeast"/>
              <w:ind w:firstLine="482"/>
              <w:rPr>
                <w:rFonts w:ascii="Times New Roman" w:hAnsi="Times New Roman"/>
                <w:sz w:val="21"/>
                <w:szCs w:val="21"/>
              </w:rPr>
            </w:pPr>
            <w:r>
              <w:rPr>
                <w:rFonts w:hint="eastAsia" w:ascii="宋体" w:hAnsi="宋体" w:cs="宋体"/>
                <w:b/>
                <w:bCs/>
              </w:rPr>
              <w:t>注：需提供社会组织等级认定证书。</w:t>
            </w:r>
          </w:p>
        </w:tc>
        <w:tc>
          <w:tcPr>
            <w:tcW w:w="1283" w:type="dxa"/>
            <w:tcBorders>
              <w:top w:val="single" w:color="auto" w:sz="4"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14:paraId="5E5D04F6">
            <w:pPr>
              <w:pStyle w:val="7"/>
              <w:widowControl/>
              <w:wordWrap w:val="0"/>
              <w:spacing w:beforeAutospacing="0" w:afterAutospacing="0"/>
              <w:jc w:val="center"/>
              <w:rPr>
                <w:rFonts w:ascii="Times New Roman" w:hAnsi="Times New Roman"/>
                <w:sz w:val="21"/>
                <w:szCs w:val="21"/>
              </w:rPr>
            </w:pPr>
            <w:r>
              <w:rPr>
                <w:rFonts w:hint="eastAsia" w:ascii="宋体" w:hAnsi="宋体" w:cs="宋体"/>
              </w:rPr>
              <w:t>0-7分</w:t>
            </w:r>
          </w:p>
        </w:tc>
      </w:tr>
      <w:tr w14:paraId="44647E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43" w:hRule="atLeast"/>
        </w:trPr>
        <w:tc>
          <w:tcPr>
            <w:tcW w:w="1285" w:type="dxa"/>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14:paraId="67793F73">
            <w:pPr>
              <w:pStyle w:val="7"/>
              <w:widowControl/>
              <w:wordWrap w:val="0"/>
              <w:spacing w:before="181" w:beforeAutospacing="0" w:afterAutospacing="0"/>
              <w:ind w:left="240" w:right="29" w:hanging="240"/>
              <w:jc w:val="center"/>
              <w:rPr>
                <w:rFonts w:ascii="宋体" w:hAnsi="宋体" w:cs="宋体"/>
              </w:rPr>
            </w:pPr>
            <w:r>
              <w:rPr>
                <w:rFonts w:hint="eastAsia" w:ascii="宋体" w:hAnsi="宋体" w:cs="宋体"/>
              </w:rPr>
              <w:t>供应商</w:t>
            </w:r>
          </w:p>
          <w:p w14:paraId="5E837B4C">
            <w:pPr>
              <w:pStyle w:val="7"/>
              <w:widowControl/>
              <w:wordWrap w:val="0"/>
              <w:spacing w:before="181" w:beforeAutospacing="0" w:afterAutospacing="0"/>
              <w:ind w:left="240" w:right="29" w:hanging="240"/>
              <w:jc w:val="center"/>
              <w:rPr>
                <w:rFonts w:ascii="宋体" w:hAnsi="宋体" w:cs="宋体"/>
              </w:rPr>
            </w:pPr>
            <w:r>
              <w:rPr>
                <w:rFonts w:hint="eastAsia" w:ascii="宋体" w:hAnsi="宋体" w:cs="宋体"/>
              </w:rPr>
              <w:t>荣誉</w:t>
            </w:r>
          </w:p>
        </w:tc>
        <w:tc>
          <w:tcPr>
            <w:tcW w:w="7031" w:type="dxa"/>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14:paraId="3E5DF471">
            <w:pPr>
              <w:pStyle w:val="7"/>
              <w:widowControl/>
              <w:wordWrap w:val="0"/>
              <w:spacing w:beforeAutospacing="0" w:afterAutospacing="0" w:line="480" w:lineRule="atLeast"/>
              <w:ind w:firstLine="480"/>
              <w:jc w:val="both"/>
              <w:rPr>
                <w:rFonts w:ascii="Times New Roman" w:hAnsi="Times New Roman"/>
                <w:sz w:val="21"/>
                <w:szCs w:val="21"/>
              </w:rPr>
            </w:pPr>
            <w:r>
              <w:rPr>
                <w:rFonts w:hint="eastAsia" w:ascii="宋体" w:hAnsi="宋体" w:cs="宋体"/>
              </w:rPr>
              <w:t>2020年1月1日以来（以获奖时间为准），</w:t>
            </w:r>
            <w:r>
              <w:rPr>
                <w:rFonts w:hint="eastAsia" w:ascii="宋体" w:hAnsi="宋体" w:cs="宋体"/>
                <w:highlight w:val="none"/>
              </w:rPr>
              <w:t>投标人</w:t>
            </w:r>
            <w:r>
              <w:rPr>
                <w:rFonts w:hint="eastAsia" w:ascii="宋体" w:hAnsi="宋体" w:cs="宋体"/>
                <w:highlight w:val="none"/>
                <w:lang w:eastAsia="zh-CN"/>
              </w:rPr>
              <w:t>或服务项目</w:t>
            </w:r>
            <w:r>
              <w:rPr>
                <w:rFonts w:hint="eastAsia" w:ascii="宋体" w:hAnsi="宋体" w:cs="宋体"/>
                <w:highlight w:val="none"/>
              </w:rPr>
              <w:t>获得党政机关（或事业单位）颁发的公益、社</w:t>
            </w:r>
            <w:r>
              <w:rPr>
                <w:rFonts w:hint="eastAsia" w:ascii="宋体" w:hAnsi="宋体" w:cs="宋体"/>
              </w:rPr>
              <w:t>会服务等相关荣誉。</w:t>
            </w:r>
          </w:p>
          <w:p w14:paraId="281C3D97">
            <w:pPr>
              <w:pStyle w:val="7"/>
              <w:widowControl/>
              <w:wordWrap w:val="0"/>
              <w:spacing w:beforeAutospacing="0" w:afterAutospacing="0" w:line="480" w:lineRule="atLeast"/>
              <w:ind w:firstLine="480"/>
              <w:jc w:val="both"/>
              <w:rPr>
                <w:rFonts w:ascii="Times New Roman" w:hAnsi="Times New Roman"/>
                <w:sz w:val="21"/>
                <w:szCs w:val="21"/>
              </w:rPr>
            </w:pPr>
            <w:r>
              <w:rPr>
                <w:rFonts w:hint="eastAsia" w:ascii="宋体" w:hAnsi="宋体" w:cs="宋体"/>
              </w:rPr>
              <w:t>1.县区级政府部门表彰荣誉，得</w:t>
            </w:r>
            <w:r>
              <w:rPr>
                <w:rFonts w:hint="eastAsia" w:ascii="宋体" w:hAnsi="宋体" w:cs="宋体"/>
                <w:b/>
                <w:bCs/>
                <w:lang w:val="en-US" w:eastAsia="zh-CN"/>
              </w:rPr>
              <w:t>2</w:t>
            </w:r>
            <w:r>
              <w:rPr>
                <w:rFonts w:hint="eastAsia" w:ascii="宋体" w:hAnsi="宋体" w:cs="宋体"/>
                <w:b/>
                <w:bCs/>
              </w:rPr>
              <w:t>分</w:t>
            </w:r>
            <w:r>
              <w:rPr>
                <w:rFonts w:hint="eastAsia" w:ascii="宋体" w:hAnsi="宋体" w:cs="宋体"/>
              </w:rPr>
              <w:t>；</w:t>
            </w:r>
          </w:p>
          <w:p w14:paraId="4AC80A61">
            <w:pPr>
              <w:pStyle w:val="7"/>
              <w:widowControl/>
              <w:wordWrap w:val="0"/>
              <w:spacing w:beforeAutospacing="0" w:afterAutospacing="0" w:line="480" w:lineRule="atLeast"/>
              <w:ind w:firstLine="480"/>
              <w:jc w:val="both"/>
              <w:rPr>
                <w:rFonts w:hint="eastAsia" w:ascii="Times New Roman" w:hAnsi="Times New Roman" w:eastAsiaTheme="minorEastAsia"/>
                <w:sz w:val="21"/>
                <w:szCs w:val="21"/>
                <w:lang w:eastAsia="zh-CN"/>
              </w:rPr>
            </w:pPr>
            <w:r>
              <w:rPr>
                <w:rFonts w:hint="eastAsia" w:ascii="宋体" w:hAnsi="宋体" w:cs="宋体"/>
              </w:rPr>
              <w:t>2.市级</w:t>
            </w:r>
            <w:r>
              <w:rPr>
                <w:rFonts w:hint="eastAsia" w:ascii="宋体" w:hAnsi="宋体" w:cs="宋体"/>
                <w:lang w:eastAsia="zh-CN"/>
              </w:rPr>
              <w:t>及以上</w:t>
            </w:r>
            <w:r>
              <w:rPr>
                <w:rFonts w:hint="eastAsia" w:ascii="宋体" w:hAnsi="宋体" w:cs="宋体"/>
              </w:rPr>
              <w:t>政府部门表彰荣誉，得</w:t>
            </w:r>
            <w:r>
              <w:rPr>
                <w:rFonts w:hint="eastAsia" w:ascii="宋体" w:hAnsi="宋体" w:cs="宋体"/>
                <w:lang w:val="en-US" w:eastAsia="zh-CN"/>
              </w:rPr>
              <w:t>3</w:t>
            </w:r>
            <w:r>
              <w:rPr>
                <w:rFonts w:hint="eastAsia" w:ascii="宋体" w:hAnsi="宋体" w:cs="宋体"/>
                <w:b/>
                <w:bCs/>
              </w:rPr>
              <w:t>分</w:t>
            </w:r>
            <w:r>
              <w:rPr>
                <w:rFonts w:hint="eastAsia" w:ascii="宋体" w:hAnsi="宋体" w:cs="宋体"/>
                <w:b/>
                <w:bCs/>
                <w:lang w:eastAsia="zh-CN"/>
              </w:rPr>
              <w:t>。</w:t>
            </w:r>
          </w:p>
          <w:p w14:paraId="6F2A7F15">
            <w:pPr>
              <w:pStyle w:val="7"/>
              <w:widowControl/>
              <w:wordWrap w:val="0"/>
              <w:spacing w:beforeAutospacing="0" w:afterAutospacing="0" w:line="400" w:lineRule="atLeast"/>
              <w:ind w:firstLine="482"/>
              <w:rPr>
                <w:rFonts w:ascii="Times New Roman" w:hAnsi="Times New Roman"/>
                <w:b w:val="0"/>
                <w:bCs w:val="0"/>
                <w:sz w:val="21"/>
                <w:szCs w:val="21"/>
              </w:rPr>
            </w:pPr>
            <w:r>
              <w:rPr>
                <w:rFonts w:hint="eastAsia" w:ascii="宋体" w:hAnsi="宋体" w:cs="宋体"/>
                <w:b w:val="0"/>
                <w:bCs w:val="0"/>
              </w:rPr>
              <w:t>注：（1）响应文件中提供政府主管部门颁发的荣誉</w:t>
            </w:r>
            <w:r>
              <w:rPr>
                <w:rFonts w:hint="eastAsia" w:ascii="宋体" w:hAnsi="宋体" w:cs="宋体"/>
                <w:b w:val="0"/>
                <w:bCs w:val="0"/>
                <w:lang w:eastAsia="zh-CN"/>
              </w:rPr>
              <w:t>公示</w:t>
            </w:r>
            <w:r>
              <w:rPr>
                <w:rFonts w:hint="eastAsia" w:ascii="宋体" w:hAnsi="宋体" w:cs="宋体"/>
                <w:b w:val="0"/>
                <w:bCs w:val="0"/>
              </w:rPr>
              <w:t>文件、网络截图等证明材料（具有其中之一即可）。以上材料提供扫描件或影印件，须能体现供应商名称，如无法体现，须另附颁奖单位的相关证明材料。  </w:t>
            </w:r>
            <w:bookmarkStart w:id="3" w:name="_GoBack"/>
            <w:bookmarkEnd w:id="3"/>
          </w:p>
          <w:p w14:paraId="7C639D70">
            <w:pPr>
              <w:pStyle w:val="7"/>
              <w:widowControl/>
              <w:wordWrap w:val="0"/>
              <w:spacing w:beforeAutospacing="0" w:afterAutospacing="0" w:line="400" w:lineRule="atLeast"/>
              <w:ind w:firstLine="482"/>
              <w:rPr>
                <w:rFonts w:ascii="Times New Roman" w:hAnsi="Times New Roman"/>
                <w:b w:val="0"/>
                <w:bCs w:val="0"/>
                <w:sz w:val="21"/>
                <w:szCs w:val="21"/>
              </w:rPr>
            </w:pPr>
            <w:r>
              <w:rPr>
                <w:rFonts w:hint="eastAsia" w:ascii="宋体" w:hAnsi="宋体" w:cs="宋体"/>
                <w:b w:val="0"/>
                <w:bCs w:val="0"/>
              </w:rPr>
              <w:t>（2）单个项目获得多个荣誉的，不累计得分，以最高标准计分一次。 同一荣誉不同年度的予以累计计分。</w:t>
            </w:r>
          </w:p>
          <w:p w14:paraId="50D47E36">
            <w:pPr>
              <w:pStyle w:val="7"/>
              <w:widowControl/>
              <w:wordWrap w:val="0"/>
              <w:spacing w:beforeAutospacing="0" w:afterAutospacing="0" w:line="400" w:lineRule="atLeast"/>
              <w:ind w:firstLine="482"/>
              <w:rPr>
                <w:rFonts w:ascii="Times New Roman" w:hAnsi="Times New Roman"/>
                <w:b w:val="0"/>
                <w:bCs w:val="0"/>
                <w:sz w:val="21"/>
                <w:szCs w:val="21"/>
              </w:rPr>
            </w:pPr>
            <w:r>
              <w:rPr>
                <w:rFonts w:hint="eastAsia" w:ascii="宋体" w:hAnsi="宋体" w:cs="宋体"/>
                <w:b w:val="0"/>
                <w:bCs w:val="0"/>
              </w:rPr>
              <w:t>（3）如为供应商承接的项目获奖的，须同时提供业绩合同扫描件或影印件。</w:t>
            </w:r>
          </w:p>
          <w:p w14:paraId="5406E517">
            <w:pPr>
              <w:pStyle w:val="7"/>
              <w:widowControl/>
              <w:wordWrap w:val="0"/>
              <w:spacing w:beforeAutospacing="0" w:afterAutospacing="0" w:line="400" w:lineRule="atLeast"/>
              <w:ind w:firstLine="482"/>
              <w:rPr>
                <w:rFonts w:ascii="Times New Roman" w:hAnsi="Times New Roman"/>
                <w:sz w:val="21"/>
                <w:szCs w:val="21"/>
              </w:rPr>
            </w:pPr>
            <w:r>
              <w:rPr>
                <w:rFonts w:hint="eastAsia" w:ascii="宋体" w:hAnsi="宋体" w:cs="宋体"/>
                <w:b/>
                <w:bCs/>
              </w:rPr>
              <w:t>未提供或提供不符合要求的不得分。</w:t>
            </w:r>
          </w:p>
        </w:tc>
        <w:tc>
          <w:tcPr>
            <w:tcW w:w="1283" w:type="dxa"/>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14:paraId="64D52E25">
            <w:pPr>
              <w:pStyle w:val="7"/>
              <w:widowControl/>
              <w:wordWrap w:val="0"/>
              <w:spacing w:beforeAutospacing="0" w:afterAutospacing="0"/>
              <w:jc w:val="center"/>
              <w:rPr>
                <w:rFonts w:ascii="Times New Roman" w:hAnsi="Times New Roman"/>
                <w:sz w:val="21"/>
                <w:szCs w:val="21"/>
              </w:rPr>
            </w:pPr>
            <w:r>
              <w:rPr>
                <w:rFonts w:hint="eastAsia" w:ascii="宋体" w:hAnsi="宋体" w:cs="宋体"/>
              </w:rPr>
              <w:t>0-10分</w:t>
            </w:r>
          </w:p>
          <w:p w14:paraId="2FEBAF14">
            <w:pPr>
              <w:pStyle w:val="7"/>
              <w:widowControl/>
              <w:wordWrap w:val="0"/>
              <w:spacing w:beforeAutospacing="0" w:afterAutospacing="0"/>
              <w:jc w:val="center"/>
              <w:rPr>
                <w:rFonts w:ascii="Times New Roman" w:hAnsi="Times New Roman"/>
                <w:sz w:val="21"/>
                <w:szCs w:val="21"/>
              </w:rPr>
            </w:pPr>
            <w:r>
              <w:rPr>
                <w:rFonts w:ascii="Times New Roman" w:hAnsi="Times New Roman"/>
                <w:sz w:val="21"/>
                <w:szCs w:val="21"/>
              </w:rPr>
              <w:t> </w:t>
            </w:r>
          </w:p>
        </w:tc>
      </w:tr>
    </w:tbl>
    <w:p w14:paraId="482B8B54"/>
    <w:p w14:paraId="6E79FD82"/>
    <w:p w14:paraId="6DF2D28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1840" w:firstLine="0"/>
        <w:jc w:val="left"/>
        <w:rPr>
          <w:rFonts w:hint="eastAsia" w:ascii="仿宋" w:hAnsi="仿宋" w:eastAsia="仿宋" w:cs="仿宋"/>
          <w:i w:val="0"/>
          <w:iCs w:val="0"/>
          <w:caps w:val="0"/>
          <w:color w:val="333333"/>
          <w:spacing w:val="0"/>
          <w:sz w:val="32"/>
          <w:szCs w:val="32"/>
          <w:shd w:val="clear" w:fill="FFFFFF"/>
          <w:vertAlign w:val="baseline"/>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F6BA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3E54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A3E54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D166">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79213"/>
    <w:multiLevelType w:val="singleLevel"/>
    <w:tmpl w:val="A0679213"/>
    <w:lvl w:ilvl="0" w:tentative="0">
      <w:start w:val="5"/>
      <w:numFmt w:val="chineseCounting"/>
      <w:suff w:val="nothing"/>
      <w:lvlText w:val="（%1）"/>
      <w:lvlJc w:val="left"/>
      <w:rPr>
        <w:rFonts w:hint="eastAsia"/>
      </w:rPr>
    </w:lvl>
  </w:abstractNum>
  <w:abstractNum w:abstractNumId="1">
    <w:nsid w:val="19E0E424"/>
    <w:multiLevelType w:val="singleLevel"/>
    <w:tmpl w:val="19E0E424"/>
    <w:lvl w:ilvl="0" w:tentative="0">
      <w:start w:val="2"/>
      <w:numFmt w:val="decimal"/>
      <w:suff w:val="nothing"/>
      <w:lvlText w:val="（%1）"/>
      <w:lvlJc w:val="left"/>
    </w:lvl>
  </w:abstractNum>
  <w:abstractNum w:abstractNumId="2">
    <w:nsid w:val="6BA59AAB"/>
    <w:multiLevelType w:val="singleLevel"/>
    <w:tmpl w:val="6BA59AAB"/>
    <w:lvl w:ilvl="0" w:tentative="0">
      <w:start w:val="3"/>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570EE"/>
    <w:rsid w:val="093E4BDB"/>
    <w:rsid w:val="12140629"/>
    <w:rsid w:val="1351036F"/>
    <w:rsid w:val="167638A9"/>
    <w:rsid w:val="1DCB02EB"/>
    <w:rsid w:val="1FA37075"/>
    <w:rsid w:val="20B570EE"/>
    <w:rsid w:val="21CC4432"/>
    <w:rsid w:val="2E797ACE"/>
    <w:rsid w:val="344C073A"/>
    <w:rsid w:val="43C0571B"/>
    <w:rsid w:val="56CC34A3"/>
    <w:rsid w:val="586B5E63"/>
    <w:rsid w:val="58E126B9"/>
    <w:rsid w:val="5BB7711F"/>
    <w:rsid w:val="5F6175B8"/>
    <w:rsid w:val="6F256865"/>
    <w:rsid w:val="6F34549C"/>
    <w:rsid w:val="7A5A2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qFormat/>
    <w:uiPriority w:val="0"/>
    <w:rPr>
      <w:b/>
      <w:color w:val="2222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4722</Words>
  <Characters>4821</Characters>
  <Lines>0</Lines>
  <Paragraphs>0</Paragraphs>
  <TotalTime>9</TotalTime>
  <ScaleCrop>false</ScaleCrop>
  <LinksUpToDate>false</LinksUpToDate>
  <CharactersWithSpaces>4949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2025-06-10T08:40:00Z</dcterms:created>
  <dc:creator>新月</dc:creator>
  <cp:lastModifiedBy>新月</cp:lastModifiedBy>
  <cp:lastPrinted>2025-06-12T03:21:00Z</cp:lastPrinted>
  <dcterms:modified xsi:type="dcterms:W3CDTF">2025-06-12T09:40:52Z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6B2B7B94DD644C58B194499164D8B452_13</vt:lpwstr>
  </property>
  <property fmtid="{D5CDD505-2E9C-101B-9397-08002B2CF9AE}" pid="4" name="KSOTemplateDocerSaveRecord">
    <vt:lpwstr>eyJoZGlkIjoiMDE5YmQyZjEwMGFiNWY3YjcxZTJmMTExODcyN2I5NTEiLCJ1c2VySWQiOiI0MzM1NDA1NTkifQ==</vt:lpwstr>
  </property>
</Properties>
</file>