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CC0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Calibri" w:hAnsi="Calibri" w:cs="Calibri"/>
          <w:i w:val="0"/>
          <w:iCs w:val="0"/>
          <w:caps w:val="0"/>
          <w:color w:val="333333"/>
          <w:spacing w:val="0"/>
          <w:sz w:val="21"/>
          <w:szCs w:val="21"/>
        </w:rPr>
      </w:pPr>
      <w:bookmarkStart w:id="0" w:name="_GoBack"/>
      <w:r>
        <w:rPr>
          <w:rFonts w:ascii="方正小标宋简体" w:hAnsi="方正小标宋简体" w:eastAsia="方正小标宋简体" w:cs="方正小标宋简体"/>
          <w:i w:val="0"/>
          <w:iCs w:val="0"/>
          <w:caps w:val="0"/>
          <w:color w:val="333333"/>
          <w:spacing w:val="0"/>
          <w:sz w:val="44"/>
          <w:szCs w:val="44"/>
          <w:shd w:val="clear" w:fill="FFFFFF"/>
        </w:rPr>
        <w:t>2025</w:t>
      </w:r>
      <w:r>
        <w:rPr>
          <w:rFonts w:hint="eastAsia" w:ascii="方正小标宋简体" w:hAnsi="方正小标宋简体" w:eastAsia="方正小标宋简体" w:cs="方正小标宋简体"/>
          <w:i w:val="0"/>
          <w:iCs w:val="0"/>
          <w:caps w:val="0"/>
          <w:color w:val="333333"/>
          <w:spacing w:val="0"/>
          <w:sz w:val="44"/>
          <w:szCs w:val="44"/>
          <w:shd w:val="clear" w:fill="FFFFFF"/>
        </w:rPr>
        <w:t>年</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瑶海</w:t>
      </w:r>
      <w:r>
        <w:rPr>
          <w:rFonts w:hint="eastAsia" w:ascii="方正小标宋简体" w:hAnsi="方正小标宋简体" w:eastAsia="方正小标宋简体" w:cs="方正小标宋简体"/>
          <w:i w:val="0"/>
          <w:iCs w:val="0"/>
          <w:caps w:val="0"/>
          <w:color w:val="333333"/>
          <w:spacing w:val="0"/>
          <w:sz w:val="44"/>
          <w:szCs w:val="44"/>
          <w:shd w:val="clear" w:fill="FFFFFF"/>
        </w:rPr>
        <w:t>区人力资源和社会保障</w:t>
      </w:r>
    </w:p>
    <w:p w14:paraId="0A642C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333333"/>
          <w:spacing w:val="0"/>
          <w:sz w:val="44"/>
          <w:szCs w:val="44"/>
          <w:shd w:val="clear" w:fill="FFFFFF"/>
        </w:rPr>
      </w:pPr>
      <w:r>
        <w:rPr>
          <w:rFonts w:hint="eastAsia" w:ascii="方正小标宋简体" w:hAnsi="方正小标宋简体" w:eastAsia="方正小标宋简体" w:cs="方正小标宋简体"/>
          <w:i w:val="0"/>
          <w:iCs w:val="0"/>
          <w:caps w:val="0"/>
          <w:color w:val="333333"/>
          <w:spacing w:val="0"/>
          <w:sz w:val="44"/>
          <w:szCs w:val="44"/>
          <w:shd w:val="clear" w:fill="FFFFFF"/>
        </w:rPr>
        <w:t>工作要点</w:t>
      </w:r>
    </w:p>
    <w:bookmarkEnd w:id="0"/>
    <w:p w14:paraId="045F2C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ascii="仿宋" w:hAnsi="仿宋" w:eastAsia="仿宋" w:cs="仿宋"/>
          <w:i w:val="0"/>
          <w:iCs w:val="0"/>
          <w:caps w:val="0"/>
          <w:color w:val="333333"/>
          <w:spacing w:val="0"/>
          <w:sz w:val="32"/>
          <w:szCs w:val="32"/>
          <w:shd w:val="clear" w:fill="FFFFFF"/>
        </w:rPr>
        <w:t>2025</w:t>
      </w:r>
      <w:r>
        <w:rPr>
          <w:rFonts w:hint="eastAsia" w:ascii="仿宋" w:hAnsi="仿宋" w:eastAsia="仿宋" w:cs="仿宋"/>
          <w:i w:val="0"/>
          <w:iCs w:val="0"/>
          <w:caps w:val="0"/>
          <w:color w:val="333333"/>
          <w:spacing w:val="0"/>
          <w:sz w:val="32"/>
          <w:szCs w:val="32"/>
          <w:shd w:val="clear" w:fill="FFFFFF"/>
        </w:rPr>
        <w:t>年是“十四五”规划收官之年，是“十五五”规划谋篇布局之年，也是进一步全面深化改革的关键之年。做好2025年工作总体要求：坚持以习近平新时代中国特色社会主义思想为指导，全面贯彻落实党的二十大和二十届二中、三中全会精神，深入贯彻落实习近平总书记考察安徽重要讲话精神，坚决落实全国、全省、全市人社工作会议，落实落细就业优先政策，稳步提升民生保障水平，加强人力资源开发利用，维护劳动关系和谐稳定，提高人社公共服务效能，在稳就业、惠民生、提技能、优服务、促增收、守底线上下更大功夫，为“十五五”开局奠定坚实基础。</w:t>
      </w:r>
    </w:p>
    <w:p w14:paraId="60ED4A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ascii="黑体" w:hAnsi="宋体" w:eastAsia="黑体" w:cs="黑体"/>
          <w:i w:val="0"/>
          <w:iCs w:val="0"/>
          <w:caps w:val="0"/>
          <w:color w:val="333333"/>
          <w:spacing w:val="0"/>
          <w:sz w:val="32"/>
          <w:szCs w:val="32"/>
          <w:shd w:val="clear" w:fill="FFFFFF"/>
        </w:rPr>
        <w:t>一、聚焦就业优先，夯实民生发展基本盘</w:t>
      </w:r>
    </w:p>
    <w:p w14:paraId="283FAC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iCs w:val="0"/>
          <w:caps w:val="0"/>
          <w:color w:val="333333"/>
          <w:spacing w:val="0"/>
          <w:sz w:val="21"/>
          <w:szCs w:val="21"/>
        </w:rPr>
      </w:pPr>
      <w:r>
        <w:rPr>
          <w:rFonts w:ascii="楷体" w:hAnsi="楷体" w:eastAsia="楷体" w:cs="楷体"/>
          <w:b/>
          <w:bCs/>
          <w:i w:val="0"/>
          <w:iCs w:val="0"/>
          <w:caps w:val="0"/>
          <w:color w:val="333333"/>
          <w:spacing w:val="0"/>
          <w:sz w:val="32"/>
          <w:szCs w:val="32"/>
          <w:shd w:val="clear" w:fill="FFFFFF"/>
        </w:rPr>
        <w:t>（一）健全高质量充分就业促进机制。</w:t>
      </w:r>
      <w:r>
        <w:rPr>
          <w:rFonts w:hint="eastAsia" w:ascii="仿宋" w:hAnsi="仿宋" w:eastAsia="仿宋" w:cs="仿宋"/>
          <w:i w:val="0"/>
          <w:iCs w:val="0"/>
          <w:caps w:val="0"/>
          <w:color w:val="333333"/>
          <w:spacing w:val="0"/>
          <w:sz w:val="32"/>
          <w:szCs w:val="32"/>
          <w:shd w:val="clear" w:fill="FFFFFF"/>
        </w:rPr>
        <w:t>全面落实就业优先政策，统筹城乡就业政策体系，保持就业形势总体稳定、稳中有进。开展“三公里”充分就业社区创建工作，增加岗位供给，方便群众就近就业。加强城镇居民增收工作调度，做实做细增收政策，根据增收工作开展情况，适时开展对调查户的帮扶走访和记账员的业务培训，确保年度居民增收工作顺利完成。</w:t>
      </w:r>
    </w:p>
    <w:p w14:paraId="188FD6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（二）完善重点群体就业支持体系。</w:t>
      </w:r>
      <w:r>
        <w:rPr>
          <w:rFonts w:hint="eastAsia" w:ascii="仿宋" w:hAnsi="仿宋" w:eastAsia="仿宋" w:cs="仿宋"/>
          <w:i w:val="0"/>
          <w:iCs w:val="0"/>
          <w:caps w:val="0"/>
          <w:color w:val="333333"/>
          <w:spacing w:val="0"/>
          <w:sz w:val="32"/>
          <w:szCs w:val="32"/>
          <w:shd w:val="clear" w:fill="FFFFFF"/>
        </w:rPr>
        <w:t>重点关注高校毕业生、失业人员、残疾人、退役军人、易致贫人口等特殊群体就业，举办专场就业帮扶活动。及时兑现各类高校毕业生就业创业补贴，组织企业进校区开展招聘服务，结合就业见习有效地帮助高校毕业生打通就业“最后一公里”。</w:t>
      </w:r>
    </w:p>
    <w:p w14:paraId="5D1609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w:t>
      </w:r>
      <w:r>
        <w:rPr>
          <w:rFonts w:hint="eastAsia" w:ascii="楷体" w:hAnsi="楷体" w:eastAsia="楷体" w:cs="楷体"/>
          <w:b/>
          <w:bCs/>
          <w:i w:val="0"/>
          <w:iCs w:val="0"/>
          <w:caps w:val="0"/>
          <w:color w:val="333333"/>
          <w:spacing w:val="0"/>
          <w:sz w:val="32"/>
          <w:szCs w:val="32"/>
          <w:shd w:val="clear" w:fill="FFFFFF"/>
          <w:lang w:val="en-US" w:eastAsia="zh-CN"/>
        </w:rPr>
        <w:t>三</w:t>
      </w:r>
      <w:r>
        <w:rPr>
          <w:rFonts w:hint="eastAsia" w:ascii="楷体" w:hAnsi="楷体" w:eastAsia="楷体" w:cs="楷体"/>
          <w:b/>
          <w:bCs/>
          <w:i w:val="0"/>
          <w:iCs w:val="0"/>
          <w:caps w:val="0"/>
          <w:color w:val="333333"/>
          <w:spacing w:val="0"/>
          <w:sz w:val="32"/>
          <w:szCs w:val="32"/>
          <w:shd w:val="clear" w:fill="FFFFFF"/>
        </w:rPr>
        <w:t>）优化创业带动就业政策环境。</w:t>
      </w:r>
      <w:r>
        <w:rPr>
          <w:rFonts w:hint="eastAsia" w:ascii="仿宋" w:hAnsi="仿宋" w:eastAsia="仿宋" w:cs="仿宋"/>
          <w:i w:val="0"/>
          <w:iCs w:val="0"/>
          <w:caps w:val="0"/>
          <w:color w:val="333333"/>
          <w:spacing w:val="0"/>
          <w:sz w:val="32"/>
          <w:szCs w:val="32"/>
          <w:shd w:val="clear" w:fill="FFFFFF"/>
        </w:rPr>
        <w:t>全面落实省市创业孵化基地建设部署，完善省、市、区三级创业孵化基地梯次培育体系。充分调动镇街（开发区）工作积极性，优化创业担保贷款服务流程，提升服务效能。充分发挥省级创业云平台作用，及时编辑发布创业动态、政策解读等信息，提升平台服务能力。加强中小微企业社保补贴等惠企政策宣传力度，创新宣传方式，确保各项惠企惠民政策精准落地。</w:t>
      </w:r>
    </w:p>
    <w:p w14:paraId="41363A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二、聚焦社会保障提质，织密民生保障防护网</w:t>
      </w:r>
    </w:p>
    <w:p w14:paraId="136B58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（一）推进落实社会保障制度改革。</w:t>
      </w:r>
      <w:r>
        <w:rPr>
          <w:rFonts w:hint="eastAsia" w:ascii="仿宋" w:hAnsi="仿宋" w:eastAsia="仿宋" w:cs="仿宋"/>
          <w:i w:val="0"/>
          <w:iCs w:val="0"/>
          <w:caps w:val="0"/>
          <w:color w:val="333333"/>
          <w:spacing w:val="0"/>
          <w:sz w:val="32"/>
          <w:szCs w:val="32"/>
          <w:shd w:val="clear" w:fill="FFFFFF"/>
        </w:rPr>
        <w:t>落实机关事业单位养老保险过渡期结束后待遇衔接，持续做好延迟退休个人养老金政策宣传和城乡居民基本养老保险应保尽保，鼓励符合条件的灵活就业人员参加个人养老保险。不断推动扩大集体经济补助城乡居民养老保险范围，推进基本养老保险参保扩面和城乡居民养老保险缴费水平稳步提高，完成省市下达的参保既定目标。全面落实被征地农民参加基本养老保险缴费补贴政策，提高被征地农民保障水平。</w:t>
      </w:r>
    </w:p>
    <w:p w14:paraId="269A29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（二）推动社保服务提质增效。</w:t>
      </w:r>
      <w:r>
        <w:rPr>
          <w:rFonts w:hint="eastAsia" w:ascii="仿宋" w:hAnsi="仿宋" w:eastAsia="仿宋" w:cs="仿宋"/>
          <w:i w:val="0"/>
          <w:iCs w:val="0"/>
          <w:caps w:val="0"/>
          <w:color w:val="333333"/>
          <w:spacing w:val="0"/>
          <w:sz w:val="32"/>
          <w:szCs w:val="32"/>
          <w:shd w:val="clear" w:fill="FFFFFF"/>
        </w:rPr>
        <w:t>拓宽社银合作便民服务，加快推进社银合作服务事项在各合作银行网点人工柜面落地，完善社保待遇领取资格“静默认证”机制，借助基层平台力量推进社保服务“就近办”。持续推进“数据找人计划”，促进参保缴费提质扩面，确保退休人员养老金准时足额发放。</w:t>
      </w:r>
    </w:p>
    <w:p w14:paraId="0232F0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（三）加强社保基金风险防控。</w:t>
      </w:r>
      <w:r>
        <w:rPr>
          <w:rFonts w:hint="eastAsia" w:ascii="仿宋" w:hAnsi="仿宋" w:eastAsia="仿宋" w:cs="仿宋"/>
          <w:i w:val="0"/>
          <w:iCs w:val="0"/>
          <w:caps w:val="0"/>
          <w:color w:val="333333"/>
          <w:spacing w:val="0"/>
          <w:sz w:val="32"/>
          <w:szCs w:val="32"/>
          <w:shd w:val="clear" w:fill="FFFFFF"/>
        </w:rPr>
        <w:t>以社保基金专项整治为抓手，</w:t>
      </w:r>
      <w:r>
        <w:rPr>
          <w:rFonts w:hint="eastAsia" w:ascii="仿宋" w:hAnsi="仿宋" w:eastAsia="仿宋" w:cs="仿宋"/>
          <w:i w:val="0"/>
          <w:iCs w:val="0"/>
          <w:caps w:val="0"/>
          <w:color w:val="333333"/>
          <w:spacing w:val="0"/>
          <w:sz w:val="31"/>
          <w:szCs w:val="31"/>
          <w:shd w:val="clear" w:fill="FFFFFF"/>
        </w:rPr>
        <w:t>全面梳理基金管理漏洞，落实落细各险种疑点数据复检复核。</w:t>
      </w:r>
      <w:r>
        <w:rPr>
          <w:rFonts w:hint="eastAsia" w:ascii="仿宋" w:hAnsi="仿宋" w:eastAsia="仿宋" w:cs="仿宋"/>
          <w:i w:val="0"/>
          <w:iCs w:val="0"/>
          <w:caps w:val="0"/>
          <w:color w:val="333333"/>
          <w:spacing w:val="0"/>
          <w:sz w:val="32"/>
          <w:szCs w:val="32"/>
          <w:shd w:val="clear" w:fill="FFFFFF"/>
        </w:rPr>
        <w:t>聚焦高风险点，常态化开展风险监督检查，提升技术防范水平，健全稽核内控制度和追缴机制，强化数据赋能、严格事前比对、遏制风险增量，提升风险识别、监测、防控能力，筑牢基金风险防线，维护社保基金安全。</w:t>
      </w:r>
    </w:p>
    <w:p w14:paraId="5A7786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三、聚焦产业需求，激发人才队伍创新力</w:t>
      </w:r>
    </w:p>
    <w:p w14:paraId="5AFB96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（一）加强新时代人才队伍建设。</w:t>
      </w:r>
      <w:r>
        <w:rPr>
          <w:rFonts w:hint="eastAsia" w:ascii="仿宋" w:hAnsi="仿宋" w:eastAsia="仿宋" w:cs="仿宋"/>
          <w:i w:val="0"/>
          <w:iCs w:val="0"/>
          <w:caps w:val="0"/>
          <w:color w:val="333333"/>
          <w:spacing w:val="0"/>
          <w:sz w:val="32"/>
          <w:szCs w:val="32"/>
          <w:shd w:val="clear" w:fill="FFFFFF"/>
        </w:rPr>
        <w:t>紧盯我区重点产业企业，精准对接产业需求，积极协助区内企业扩大技能人才自主评价规模。根据产业发展动态，及时优化课程设置，确保技能人才培养与产业发展紧密衔接，为区域经济高质量发展提供坚实的技能人才支撑。配合合肥市职称改革创新工作，推进职称认定和评审工作有序推进。贯彻落实合肥市高层次人才服务保障政策，做好重点人才项目推荐申报及辖区博士后工作站服务工作，动员辖区博士后积极参加各类人才交流活动，充分释放人才政策红利。</w:t>
      </w:r>
    </w:p>
    <w:p w14:paraId="71AC6A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（二）推动人力资源服务业发展。</w:t>
      </w:r>
      <w:r>
        <w:rPr>
          <w:rFonts w:hint="eastAsia" w:ascii="仿宋" w:hAnsi="仿宋" w:eastAsia="仿宋" w:cs="仿宋"/>
          <w:i w:val="0"/>
          <w:iCs w:val="0"/>
          <w:caps w:val="0"/>
          <w:color w:val="333333"/>
          <w:spacing w:val="0"/>
          <w:sz w:val="32"/>
          <w:szCs w:val="32"/>
          <w:shd w:val="clear" w:fill="FFFFFF"/>
        </w:rPr>
        <w:t>积极谋划人力资源产业高质量发展相关举措，把培育本土行业龙头与引进外来知名品牌相结合，把创建省级人力资源产业园与发展全域人力资源大产业相结合，把扭住传统产业与大力鼓励发展猎头、培训等高端人力资源服务业态相结合，服务全市产业发展大局，打造营商环境一流的人力资源产业高地。进一步完善人力资源产业园园区功能服务和载体建设，充分发挥人力资源服务产业园“集聚产业、培育市场、孵化企业、拓展业态、服务人才”的作用，提升园区整体实力和品牌效应。围绕园区产业发展，建立一套科学合理的考核细则，以考核促提升,以考核促落实，促进人力资源产业园提质扩能。</w:t>
      </w:r>
    </w:p>
    <w:p w14:paraId="75AA9C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（三）拓展招才引智渠道。</w:t>
      </w:r>
      <w:r>
        <w:rPr>
          <w:rFonts w:hint="eastAsia" w:ascii="仿宋" w:hAnsi="仿宋" w:eastAsia="仿宋" w:cs="仿宋"/>
          <w:i w:val="0"/>
          <w:iCs w:val="0"/>
          <w:caps w:val="0"/>
          <w:color w:val="333333"/>
          <w:spacing w:val="0"/>
          <w:sz w:val="32"/>
          <w:szCs w:val="32"/>
          <w:shd w:val="clear" w:fill="FFFFFF"/>
        </w:rPr>
        <w:t>积极配合合肥市开展“千企万岗请您来”专场活动，持续开展省内外“招才引智高校行”活动，加强与高校的合作与交流，拓宽人才引进渠道。定期举办“2+N”招聘会等各类招聘活动，全年举办9</w:t>
      </w:r>
      <w:r>
        <w:rPr>
          <w:rFonts w:hint="eastAsia" w:ascii="仿宋" w:hAnsi="仿宋" w:eastAsia="仿宋" w:cs="仿宋"/>
          <w:i w:val="0"/>
          <w:iCs w:val="0"/>
          <w:caps w:val="0"/>
          <w:color w:val="333333"/>
          <w:spacing w:val="0"/>
          <w:sz w:val="32"/>
          <w:szCs w:val="32"/>
          <w:shd w:val="clear" w:fill="FFFFFF"/>
          <w:lang w:val="en-US" w:eastAsia="zh-CN"/>
        </w:rPr>
        <w:t>6</w:t>
      </w:r>
      <w:r>
        <w:rPr>
          <w:rFonts w:hint="eastAsia" w:ascii="仿宋" w:hAnsi="仿宋" w:eastAsia="仿宋" w:cs="仿宋"/>
          <w:i w:val="0"/>
          <w:iCs w:val="0"/>
          <w:caps w:val="0"/>
          <w:color w:val="333333"/>
          <w:spacing w:val="0"/>
          <w:sz w:val="32"/>
          <w:szCs w:val="32"/>
          <w:shd w:val="clear" w:fill="FFFFFF"/>
        </w:rPr>
        <w:t>场，为求职者与企业搭建高效对接平台。创新招聘方式，利用互联网、社交媒体等新兴渠道，提升招聘活动的知名度和影响力。</w:t>
      </w:r>
    </w:p>
    <w:p w14:paraId="040145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（四）做实做细人才服务。</w:t>
      </w:r>
      <w:r>
        <w:rPr>
          <w:rFonts w:hint="eastAsia" w:ascii="仿宋" w:hAnsi="仿宋" w:eastAsia="仿宋" w:cs="仿宋"/>
          <w:i w:val="0"/>
          <w:iCs w:val="0"/>
          <w:caps w:val="0"/>
          <w:color w:val="333333"/>
          <w:spacing w:val="0"/>
          <w:sz w:val="32"/>
          <w:szCs w:val="32"/>
          <w:shd w:val="clear" w:fill="FFFFFF"/>
        </w:rPr>
        <w:t>加快开展流动人员档案电子化工作，建立数字档案资源库，推动档案“一窗式办理”服务改革，优化服务体验。规范开展事业单位工作人员考核、管理岗位职员等级晋升、薪酬</w:t>
      </w:r>
      <w:r>
        <w:rPr>
          <w:rFonts w:hint="eastAsia" w:ascii="仿宋" w:hAnsi="仿宋" w:eastAsia="仿宋" w:cs="仿宋"/>
          <w:i w:val="0"/>
          <w:iCs w:val="0"/>
          <w:caps w:val="0"/>
          <w:color w:val="333333"/>
          <w:spacing w:val="0"/>
          <w:sz w:val="32"/>
          <w:szCs w:val="32"/>
          <w:shd w:val="clear" w:fill="FFFFFF"/>
          <w:lang w:val="en-US" w:eastAsia="zh-CN"/>
        </w:rPr>
        <w:t>待遇</w:t>
      </w:r>
      <w:r>
        <w:rPr>
          <w:rFonts w:hint="eastAsia" w:ascii="仿宋" w:hAnsi="仿宋" w:eastAsia="仿宋" w:cs="仿宋"/>
          <w:i w:val="0"/>
          <w:iCs w:val="0"/>
          <w:caps w:val="0"/>
          <w:color w:val="333333"/>
          <w:spacing w:val="0"/>
          <w:sz w:val="32"/>
          <w:szCs w:val="32"/>
          <w:shd w:val="clear" w:fill="FFFFFF"/>
        </w:rPr>
        <w:t>审批等工作。积极配合上级和有关部门做好事业单位改革和绩效工资改革，提升事业单位管理服务质效</w:t>
      </w:r>
      <w:r>
        <w:rPr>
          <w:rFonts w:hint="eastAsia" w:ascii="仿宋" w:hAnsi="仿宋" w:eastAsia="仿宋" w:cs="仿宋"/>
          <w:i w:val="0"/>
          <w:iCs w:val="0"/>
          <w:caps w:val="0"/>
          <w:color w:val="333333"/>
          <w:spacing w:val="0"/>
          <w:sz w:val="32"/>
          <w:szCs w:val="32"/>
          <w:shd w:val="clear" w:fill="FFFFFF"/>
        </w:rPr>
        <w:t>激发人员活力</w:t>
      </w:r>
      <w:r>
        <w:rPr>
          <w:rFonts w:hint="eastAsia" w:ascii="仿宋" w:hAnsi="仿宋" w:eastAsia="仿宋" w:cs="仿宋"/>
          <w:i w:val="0"/>
          <w:iCs w:val="0"/>
          <w:caps w:val="0"/>
          <w:color w:val="333333"/>
          <w:spacing w:val="0"/>
          <w:sz w:val="32"/>
          <w:szCs w:val="32"/>
          <w:shd w:val="clear" w:fill="FFFFFF"/>
        </w:rPr>
        <w:t>。严格落实上级关于评选表彰活动规定，高标准做好</w:t>
      </w:r>
      <w:r>
        <w:rPr>
          <w:rFonts w:hint="eastAsia" w:ascii="仿宋" w:hAnsi="仿宋" w:eastAsia="仿宋" w:cs="仿宋"/>
          <w:i w:val="0"/>
          <w:iCs w:val="0"/>
          <w:caps w:val="0"/>
          <w:color w:val="333333"/>
          <w:spacing w:val="0"/>
          <w:sz w:val="32"/>
          <w:szCs w:val="32"/>
          <w:shd w:val="clear" w:fill="FFFFFF"/>
          <w:lang w:val="en-US" w:eastAsia="zh-CN"/>
        </w:rPr>
        <w:t>事业单位人员招聘</w:t>
      </w:r>
      <w:r>
        <w:rPr>
          <w:rFonts w:hint="eastAsia" w:ascii="仿宋" w:hAnsi="仿宋" w:eastAsia="仿宋" w:cs="仿宋"/>
          <w:i w:val="0"/>
          <w:iCs w:val="0"/>
          <w:caps w:val="0"/>
          <w:color w:val="333333"/>
          <w:spacing w:val="0"/>
          <w:sz w:val="32"/>
          <w:szCs w:val="32"/>
          <w:shd w:val="clear" w:fill="FFFFFF"/>
        </w:rPr>
        <w:t>工作，确保人事</w:t>
      </w:r>
      <w:r>
        <w:rPr>
          <w:rFonts w:hint="eastAsia" w:ascii="仿宋" w:hAnsi="仿宋" w:eastAsia="仿宋" w:cs="仿宋"/>
          <w:i w:val="0"/>
          <w:iCs w:val="0"/>
          <w:caps w:val="0"/>
          <w:color w:val="333333"/>
          <w:spacing w:val="0"/>
          <w:sz w:val="32"/>
          <w:szCs w:val="32"/>
          <w:shd w:val="clear" w:fill="FFFFFF"/>
          <w:lang w:val="en-US" w:eastAsia="zh-CN"/>
        </w:rPr>
        <w:t>招聘</w:t>
      </w:r>
      <w:r>
        <w:rPr>
          <w:rFonts w:hint="eastAsia" w:ascii="仿宋" w:hAnsi="仿宋" w:eastAsia="仿宋" w:cs="仿宋"/>
          <w:i w:val="0"/>
          <w:iCs w:val="0"/>
          <w:caps w:val="0"/>
          <w:color w:val="333333"/>
          <w:spacing w:val="0"/>
          <w:sz w:val="32"/>
          <w:szCs w:val="32"/>
          <w:shd w:val="clear" w:fill="FFFFFF"/>
        </w:rPr>
        <w:t>工作安全有序。</w:t>
      </w:r>
    </w:p>
    <w:p w14:paraId="6E7C4A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四、聚焦劳动关系治理，构建和谐稳定新格局</w:t>
      </w:r>
    </w:p>
    <w:p w14:paraId="3B16B0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18"/>
          <w:szCs w:val="18"/>
        </w:rPr>
      </w:pPr>
      <w:r>
        <w:rPr>
          <w:rFonts w:hint="eastAsia" w:ascii="楷体" w:hAnsi="楷体" w:eastAsia="楷体" w:cs="楷体"/>
          <w:b/>
          <w:bCs/>
          <w:i w:val="0"/>
          <w:iCs w:val="0"/>
          <w:caps w:val="0"/>
          <w:color w:val="333333"/>
          <w:spacing w:val="0"/>
          <w:sz w:val="32"/>
          <w:szCs w:val="32"/>
          <w:shd w:val="clear" w:fill="FFFFFF"/>
        </w:rPr>
        <w:t>（一）强化劳动者权益保障。</w:t>
      </w:r>
      <w:r>
        <w:rPr>
          <w:rFonts w:hint="eastAsia" w:ascii="仿宋" w:hAnsi="仿宋" w:eastAsia="仿宋" w:cs="仿宋"/>
          <w:i w:val="0"/>
          <w:iCs w:val="0"/>
          <w:caps w:val="0"/>
          <w:color w:val="333333"/>
          <w:spacing w:val="0"/>
          <w:sz w:val="32"/>
          <w:szCs w:val="32"/>
          <w:shd w:val="clear" w:fill="FFFFFF"/>
        </w:rPr>
        <w:t>畅通线上、线下维权渠道，积极核处各类欠薪投诉，全国欠薪平台接收线索动态办结率不低于98%。组织全区劳动保障监察部门积极参加业务培训，加强基层中队业务水平建设，切实提升工作能力。加强对企业规范用工指导，配合新业态行业主管部门推进劳动合同制度专项行动，扩大电子劳动合同应用范围。密切关注房地产、教培、金融服务等行业领域经济裁员情况，防范发生行业性、规模性欠薪舆情风险。</w:t>
      </w:r>
    </w:p>
    <w:p w14:paraId="3C258B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18"/>
          <w:szCs w:val="18"/>
        </w:rPr>
      </w:pPr>
      <w:r>
        <w:rPr>
          <w:rFonts w:hint="eastAsia" w:ascii="楷体" w:hAnsi="楷体" w:eastAsia="楷体" w:cs="楷体"/>
          <w:b/>
          <w:bCs/>
          <w:i w:val="0"/>
          <w:iCs w:val="0"/>
          <w:caps w:val="0"/>
          <w:color w:val="333333"/>
          <w:spacing w:val="0"/>
          <w:sz w:val="32"/>
          <w:szCs w:val="32"/>
          <w:shd w:val="clear" w:fill="FFFFFF"/>
        </w:rPr>
        <w:t>（二）夯实欠薪治理机制。</w:t>
      </w:r>
      <w:r>
        <w:rPr>
          <w:rFonts w:hint="eastAsia" w:ascii="仿宋" w:hAnsi="仿宋" w:eastAsia="仿宋" w:cs="仿宋"/>
          <w:i w:val="0"/>
          <w:iCs w:val="0"/>
          <w:caps w:val="0"/>
          <w:color w:val="333333"/>
          <w:spacing w:val="0"/>
          <w:sz w:val="32"/>
          <w:szCs w:val="32"/>
          <w:shd w:val="clear" w:fill="FFFFFF"/>
        </w:rPr>
        <w:t>压实施工项目属地责任、行业监管责任，动态开展欠薪隐患摸排化解工作，将欠薪投诉吸附在当地，化解在基层，避免欠薪问题久拖不决，造成矛盾转移，引发群体性事件。配合住建部门、项目属地对新建工程项目落实实名制管理、工资专用账户、总包单位代发工资、工资保证金等规范制度进行全面检查，推动制度有效运转。强化行刑衔接，坚决打击拒不支付劳动报酬犯罪行为。</w:t>
      </w:r>
    </w:p>
    <w:p w14:paraId="17C586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（三）加强劳动人事争议调处。</w:t>
      </w:r>
      <w:r>
        <w:rPr>
          <w:rFonts w:hint="eastAsia" w:ascii="仿宋" w:hAnsi="仿宋" w:eastAsia="仿宋" w:cs="仿宋"/>
          <w:i w:val="0"/>
          <w:iCs w:val="0"/>
          <w:caps w:val="0"/>
          <w:color w:val="333333"/>
          <w:spacing w:val="0"/>
          <w:sz w:val="32"/>
          <w:szCs w:val="32"/>
          <w:shd w:val="clear" w:fill="FFFFFF"/>
        </w:rPr>
        <w:t>做好劳动争议调解仲裁案件的受理工作，加大案前和案外调解力度，确保劳动争议调解成功率不低于60%、仲裁结案率不低于92%。完善劳动争议多元处理机制，加强与各类调解组织的协调联动和与区人民法院的调裁审衔接，稳妥处置重大集体争议、农民工工资争议、新就业形态劳动纠纷等重点争议。</w:t>
      </w:r>
    </w:p>
    <w:p w14:paraId="1BA9C7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五、聚焦全面从严治党，提升人社服务能级</w:t>
      </w:r>
    </w:p>
    <w:p w14:paraId="40E65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（一）坚持思想引领，把牢政治方向。</w:t>
      </w:r>
      <w:r>
        <w:rPr>
          <w:rFonts w:hint="eastAsia" w:ascii="仿宋" w:hAnsi="仿宋" w:eastAsia="仿宋" w:cs="仿宋"/>
          <w:i w:val="0"/>
          <w:iCs w:val="0"/>
          <w:caps w:val="0"/>
          <w:color w:val="333333"/>
          <w:spacing w:val="0"/>
          <w:sz w:val="32"/>
          <w:szCs w:val="32"/>
          <w:shd w:val="clear" w:fill="FFFFFF"/>
        </w:rPr>
        <w:t>坚持把讲政治贯穿人社工作始终，牢固树立抓好党建是最大政绩的理念，一体化推进党建业务互促共进。持续深化巩固学习贯彻习近平新时代中国特色社会主义思想党纪教育成果，开展深入贯彻中央八项规定精神学习教育，坚持全面系统学、及时跟进学、联系实际学，引导党员、干部锤炼党性、提高思想觉悟，密切党群干群关系，以作风建设新成效推动保持党的先进性纯洁性。</w:t>
      </w:r>
    </w:p>
    <w:p w14:paraId="30920B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（二）加强作风建设，推进全面从严治党。</w:t>
      </w:r>
      <w:r>
        <w:rPr>
          <w:rFonts w:hint="eastAsia" w:ascii="仿宋" w:hAnsi="仿宋" w:eastAsia="仿宋" w:cs="仿宋"/>
          <w:i w:val="0"/>
          <w:iCs w:val="0"/>
          <w:caps w:val="0"/>
          <w:color w:val="333333"/>
          <w:spacing w:val="0"/>
          <w:sz w:val="32"/>
          <w:szCs w:val="32"/>
          <w:shd w:val="clear" w:fill="FFFFFF"/>
        </w:rPr>
        <w:t>深入开展“以案促改促治、打造阳光人社”专项行动，聚焦人社领域资金使用监管、惠民惠企政策落实等情况，全面排查、重拳整治人社领域风险隐患和乱点乱象，建立健全管理、预防、整治长效机制，大力整治群众身边不正之风和腐败问题，强化党风廉政建设，推动全面从严治党向基层一线延伸、向群众身边延伸，真正做到解民忧、惠民生、促发展。</w:t>
      </w:r>
    </w:p>
    <w:p w14:paraId="4C255D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（三）优化服务举措，提升政务效能。</w:t>
      </w:r>
      <w:r>
        <w:rPr>
          <w:rFonts w:hint="eastAsia" w:ascii="仿宋" w:hAnsi="仿宋" w:eastAsia="仿宋" w:cs="仿宋"/>
          <w:i w:val="0"/>
          <w:iCs w:val="0"/>
          <w:caps w:val="0"/>
          <w:color w:val="333333"/>
          <w:spacing w:val="0"/>
          <w:sz w:val="32"/>
          <w:szCs w:val="32"/>
          <w:shd w:val="clear" w:fill="FFFFFF"/>
        </w:rPr>
        <w:t>推进落实“高效办成一件事”，扎实做好人社领域惠企便民服务，优化营商环境，以数字化赋能打造便民、高效、智慧的人社服务。聚焦法治政府建设，深入推进法治人社建设，依法依规高质量开展统计工作，做好政务信息公开，持续提升依法决策质量和水平。</w:t>
      </w:r>
    </w:p>
    <w:p w14:paraId="7835C4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 </w:t>
      </w:r>
    </w:p>
    <w:p w14:paraId="5E0D70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8085F"/>
    <w:rsid w:val="22C32593"/>
    <w:rsid w:val="3B954675"/>
    <w:rsid w:val="59373116"/>
    <w:rsid w:val="5EF76247"/>
    <w:rsid w:val="6A113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3160</Words>
  <Characters>3178</Characters>
  <Lines>0</Lines>
  <Paragraphs>0</Paragraphs>
  <TotalTime>20</TotalTime>
  <ScaleCrop>false</ScaleCrop>
  <LinksUpToDate>false</LinksUpToDate>
  <CharactersWithSpaces>3179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2025-06-19T05:28:00Z</dcterms:created>
  <dc:creator>Administrator</dc:creator>
  <cp:lastModifiedBy>赤雪极雨</cp:lastModifiedBy>
  <cp:lastPrinted>2025-06-19T06:53:00Z</cp:lastPrinted>
  <dcterms:modified xsi:type="dcterms:W3CDTF">2025-06-19T08:36:59Z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eyJoZGlkIjoiMWZjYmNjOGZkNGJhMTI3OTkzY2YyMTdjMjUzZWNkNWUiLCJ1c2VySWQiOiI3NjE4MzA2NjkifQ==</vt:lpwstr>
  </property>
  <property fmtid="{D5CDD505-2E9C-101B-9397-08002B2CF9AE}" pid="4" name="ICV">
    <vt:lpwstr>6FAC5AC7A3FD43B4A38F1C265B3F2433_12</vt:lpwstr>
  </property>
</Properties>
</file>