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CDFC2">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14:paraId="1B4B4035">
      <w:pPr>
        <w:ind w:right="120"/>
        <w:jc w:val="right"/>
        <w:rPr>
          <w:rFonts w:ascii="Times New Roman" w:hAnsi="Times New Roman" w:eastAsia="华文楷体"/>
          <w:bCs/>
          <w:sz w:val="16"/>
          <w:szCs w:val="21"/>
        </w:rPr>
      </w:pPr>
    </w:p>
    <w:p w14:paraId="7B1CE7F0">
      <w:pPr>
        <w:ind w:right="120"/>
        <w:jc w:val="right"/>
        <w:rPr>
          <w:rFonts w:ascii="Times New Roman" w:hAnsi="Times New Roman" w:eastAsia="华文楷体"/>
          <w:bCs/>
          <w:sz w:val="16"/>
          <w:szCs w:val="21"/>
        </w:rPr>
      </w:pPr>
    </w:p>
    <w:p w14:paraId="6DE8DB8E">
      <w:pPr>
        <w:ind w:right="120"/>
        <w:jc w:val="right"/>
        <w:rPr>
          <w:rFonts w:ascii="Times New Roman" w:hAnsi="Times New Roman" w:eastAsia="华文楷体"/>
          <w:bCs/>
          <w:sz w:val="16"/>
          <w:szCs w:val="21"/>
        </w:rPr>
      </w:pPr>
    </w:p>
    <w:p w14:paraId="0FCB406A">
      <w:pPr>
        <w:jc w:val="center"/>
        <w:rPr>
          <w:rFonts w:ascii="Times New Roman" w:hAnsi="Times New Roman" w:eastAsia="黑体"/>
          <w:bCs/>
          <w:sz w:val="44"/>
        </w:rPr>
      </w:pPr>
    </w:p>
    <w:p w14:paraId="74BEAF24">
      <w:pPr>
        <w:jc w:val="center"/>
        <w:rPr>
          <w:rFonts w:ascii="Times New Roman" w:hAnsi="Times New Roman" w:eastAsia="黑体"/>
          <w:bCs/>
          <w:sz w:val="44"/>
        </w:rPr>
      </w:pPr>
    </w:p>
    <w:p w14:paraId="11A720B4">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14:paraId="574BD4D2">
      <w:pPr>
        <w:spacing w:line="600" w:lineRule="exact"/>
        <w:jc w:val="center"/>
        <w:rPr>
          <w:rFonts w:ascii="Times New Roman" w:hAnsi="Times New Roman" w:eastAsia="方正小标宋简体"/>
          <w:bCs/>
          <w:sz w:val="32"/>
        </w:rPr>
      </w:pPr>
    </w:p>
    <w:p w14:paraId="57D984AA">
      <w:pPr>
        <w:jc w:val="center"/>
        <w:rPr>
          <w:rFonts w:ascii="Times New Roman" w:hAnsi="Times New Roman" w:eastAsia="楷体_GB2312"/>
          <w:b/>
          <w:bCs/>
          <w:sz w:val="32"/>
        </w:rPr>
      </w:pPr>
    </w:p>
    <w:p w14:paraId="618C7A1D">
      <w:pPr>
        <w:spacing w:before="156" w:beforeLines="50" w:after="156" w:afterLines="50"/>
        <w:ind w:firstLine="614" w:firstLineChars="192"/>
        <w:rPr>
          <w:rFonts w:ascii="Times New Roman" w:hAnsi="Times New Roman" w:eastAsia="楷体_GB2312"/>
          <w:sz w:val="32"/>
        </w:rPr>
      </w:pPr>
    </w:p>
    <w:p w14:paraId="3AF490D5">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征迁补偿款     </w:t>
      </w:r>
      <w:r>
        <w:rPr>
          <w:rFonts w:ascii="Times New Roman" w:hAnsi="Times New Roman" w:eastAsia="楷体_GB2312"/>
          <w:sz w:val="32"/>
          <w:u w:val="single"/>
        </w:rPr>
        <w:t xml:space="preserve">      </w:t>
      </w:r>
    </w:p>
    <w:p w14:paraId="469A88C2">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城东街道</w:t>
      </w:r>
      <w:r>
        <w:rPr>
          <w:rFonts w:hint="eastAsia" w:ascii="Times New Roman" w:hAnsi="Times New Roman" w:eastAsia="楷体_GB2312"/>
          <w:sz w:val="32"/>
          <w:u w:val="single"/>
          <w:lang w:val="en-US" w:eastAsia="zh-CN"/>
        </w:rPr>
        <w:t xml:space="preserve">办事处   </w:t>
      </w:r>
      <w:r>
        <w:rPr>
          <w:rFonts w:ascii="Times New Roman" w:hAnsi="Times New Roman" w:eastAsia="楷体_GB2312"/>
          <w:sz w:val="32"/>
          <w:u w:val="single"/>
        </w:rPr>
        <w:t xml:space="preserve">    </w:t>
      </w:r>
    </w:p>
    <w:p w14:paraId="01FF126C">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p>
    <w:p w14:paraId="50782066">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14:paraId="69325A42">
      <w:pPr>
        <w:spacing w:before="156" w:beforeLines="50" w:after="156" w:afterLines="50"/>
        <w:ind w:firstLine="614" w:firstLineChars="192"/>
        <w:rPr>
          <w:rFonts w:ascii="Times New Roman" w:hAnsi="Times New Roman" w:eastAsia="楷体_GB2312"/>
          <w:sz w:val="32"/>
        </w:rPr>
      </w:pPr>
    </w:p>
    <w:p w14:paraId="7B249807">
      <w:pPr>
        <w:ind w:firstLine="614" w:firstLineChars="192"/>
        <w:jc w:val="center"/>
        <w:rPr>
          <w:rFonts w:ascii="Times New Roman" w:hAnsi="Times New Roman" w:eastAsia="楷体_GB2312"/>
          <w:sz w:val="32"/>
        </w:rPr>
      </w:pPr>
    </w:p>
    <w:p w14:paraId="6015CAC6">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5</w:t>
      </w:r>
      <w:r>
        <w:rPr>
          <w:rFonts w:ascii="Times New Roman" w:hAnsi="Times New Roman" w:eastAsia="楷体_GB2312"/>
          <w:sz w:val="32"/>
        </w:rPr>
        <w:t>年</w:t>
      </w:r>
      <w:r>
        <w:rPr>
          <w:rFonts w:hint="eastAsia" w:ascii="Times New Roman" w:hAnsi="Times New Roman" w:eastAsia="楷体"/>
          <w:sz w:val="32"/>
          <w:lang w:val="en-US" w:eastAsia="zh-CN"/>
        </w:rPr>
        <w:t>9</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lang w:eastAsia="zh-CN"/>
        </w:rPr>
        <w:t>202</w:t>
      </w:r>
      <w:r>
        <w:rPr>
          <w:rFonts w:hint="eastAsia" w:ascii="Times New Roman" w:hAnsi="Times New Roman" w:eastAsia="方正小标宋简体"/>
          <w:bCs/>
          <w:sz w:val="44"/>
          <w:szCs w:val="24"/>
          <w:lang w:val="en-US" w:eastAsia="zh-CN"/>
        </w:rPr>
        <w:t>4</w:t>
      </w:r>
      <w:r>
        <w:rPr>
          <w:rFonts w:ascii="Times New Roman" w:hAnsi="Times New Roman" w:eastAsia="方正小标宋简体"/>
          <w:bCs/>
          <w:sz w:val="44"/>
          <w:szCs w:val="24"/>
        </w:rPr>
        <w:t>年</w:t>
      </w:r>
      <w:r>
        <w:rPr>
          <w:rFonts w:hint="eastAsia" w:ascii="Times New Roman" w:hAnsi="Times New Roman" w:eastAsia="方正小标宋简体"/>
          <w:bCs/>
          <w:sz w:val="44"/>
          <w:szCs w:val="24"/>
          <w:lang w:val="en-US" w:eastAsia="zh-CN"/>
        </w:rPr>
        <w:t>征迁补偿款</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14:paraId="598970F2">
      <w:pPr>
        <w:spacing w:line="580" w:lineRule="exact"/>
        <w:jc w:val="center"/>
        <w:rPr>
          <w:rFonts w:ascii="Times New Roman" w:hAnsi="Times New Roman" w:eastAsia="仿宋_GB2312"/>
          <w:bCs/>
          <w:sz w:val="32"/>
          <w:szCs w:val="32"/>
        </w:rPr>
      </w:pPr>
    </w:p>
    <w:p w14:paraId="0B9F37E6">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5E4B3BD5">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04C64A69">
      <w:pPr>
        <w:widowControl/>
        <w:spacing w:line="56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1.项目立项情况</w:t>
      </w:r>
    </w:p>
    <w:p w14:paraId="5F71C9E2">
      <w:pPr>
        <w:widowControl/>
        <w:spacing w:line="560" w:lineRule="exact"/>
        <w:ind w:firstLine="640" w:firstLineChars="200"/>
        <w:rPr>
          <w:rFonts w:hint="eastAsia" w:ascii="仿宋_GB2312" w:hAnsi="仿宋_GB2312" w:eastAsia="仿宋_GB2312" w:cs="仿宋_GB2312"/>
          <w:snapToGrid w:val="0"/>
          <w:color w:val="000000"/>
          <w:sz w:val="32"/>
          <w:szCs w:val="32"/>
          <w:lang w:eastAsia="zh-CN"/>
        </w:rPr>
      </w:pPr>
      <w:r>
        <w:rPr>
          <w:rFonts w:hint="eastAsia" w:ascii="仿宋_GB2312" w:hAnsi="仿宋_GB2312" w:eastAsia="仿宋_GB2312" w:cs="仿宋_GB2312"/>
          <w:snapToGrid w:val="0"/>
          <w:color w:val="000000"/>
          <w:sz w:val="32"/>
          <w:szCs w:val="32"/>
          <w:lang w:eastAsia="zh-CN"/>
        </w:rPr>
        <w:t>区长办公会议通过城东街道集体土地城中村征迁实施方案。</w:t>
      </w:r>
    </w:p>
    <w:p w14:paraId="711F312D">
      <w:pPr>
        <w:spacing w:line="560" w:lineRule="exact"/>
        <w:ind w:firstLine="646" w:firstLineChars="202"/>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2.项目执行情况</w:t>
      </w:r>
    </w:p>
    <w:p w14:paraId="202308CC">
      <w:pPr>
        <w:widowControl/>
        <w:spacing w:line="560" w:lineRule="exact"/>
        <w:ind w:firstLine="640" w:firstLineChars="200"/>
        <w:rPr>
          <w:rFonts w:hint="eastAsia" w:ascii="Times New Roman" w:hAnsi="Times New Roman" w:eastAsia="仿宋_GB2312"/>
          <w:color w:val="000000"/>
          <w:sz w:val="32"/>
          <w:szCs w:val="32"/>
          <w:lang w:eastAsia="zh-CN"/>
        </w:rPr>
      </w:pPr>
      <w:r>
        <w:rPr>
          <w:rFonts w:hint="eastAsia" w:ascii="仿宋_GB2312" w:hAnsi="仿宋_GB2312" w:eastAsia="仿宋_GB2312" w:cs="仿宋_GB2312"/>
          <w:color w:val="000000"/>
          <w:sz w:val="32"/>
          <w:szCs w:val="32"/>
          <w:lang w:eastAsia="zh-CN"/>
        </w:rPr>
        <w:t>区征收办确认城东街道集体土地城中村改造征收范围内房屋按照集体土地上房屋征收规定执行。</w:t>
      </w:r>
      <w:r>
        <w:rPr>
          <w:rFonts w:hint="eastAsia" w:ascii="仿宋_GB2312" w:hAnsi="仿宋_GB2312" w:eastAsia="仿宋_GB2312" w:cs="仿宋_GB2312"/>
          <w:snapToGrid w:val="0"/>
          <w:color w:val="000000"/>
          <w:sz w:val="32"/>
          <w:szCs w:val="32"/>
          <w:lang w:val="en-US" w:eastAsia="zh-CN"/>
        </w:rPr>
        <w:t>征迁补偿款</w:t>
      </w:r>
      <w:r>
        <w:rPr>
          <w:rFonts w:hint="eastAsia" w:ascii="仿宋_GB2312" w:hAnsi="仿宋_GB2312" w:eastAsia="仿宋_GB2312" w:cs="仿宋_GB2312"/>
          <w:snapToGrid w:val="0"/>
          <w:color w:val="000000"/>
          <w:sz w:val="32"/>
          <w:szCs w:val="32"/>
        </w:rPr>
        <w:t>项目202</w:t>
      </w:r>
      <w:r>
        <w:rPr>
          <w:rFonts w:hint="eastAsia" w:ascii="仿宋_GB2312" w:hAnsi="仿宋_GB2312" w:eastAsia="仿宋_GB2312" w:cs="仿宋_GB2312"/>
          <w:snapToGrid w:val="0"/>
          <w:color w:val="000000"/>
          <w:sz w:val="32"/>
          <w:szCs w:val="32"/>
          <w:lang w:val="en-US" w:eastAsia="zh-CN"/>
        </w:rPr>
        <w:t>4</w:t>
      </w:r>
      <w:r>
        <w:rPr>
          <w:rFonts w:hint="eastAsia" w:ascii="仿宋_GB2312" w:hAnsi="仿宋_GB2312" w:eastAsia="仿宋_GB2312" w:cs="仿宋_GB2312"/>
          <w:snapToGrid w:val="0"/>
          <w:color w:val="000000"/>
          <w:sz w:val="32"/>
          <w:szCs w:val="32"/>
        </w:rPr>
        <w:t>年度预算批复为5083.50万元，年中预算调整0万元,实际支出总额为5083.50万元，预算执行率为100%。</w:t>
      </w:r>
    </w:p>
    <w:p w14:paraId="37E1F92C">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07D2C607">
      <w:pPr>
        <w:widowControl/>
        <w:spacing w:line="560" w:lineRule="exact"/>
        <w:ind w:firstLine="640" w:firstLineChars="200"/>
        <w:rPr>
          <w:rFonts w:hint="eastAsia" w:ascii="仿宋_GB2312" w:hAnsi="仿宋_GB2312" w:eastAsia="仿宋_GB2312" w:cs="仿宋_GB2312"/>
          <w:snapToGrid w:val="0"/>
          <w:color w:val="000000"/>
          <w:sz w:val="32"/>
          <w:szCs w:val="32"/>
          <w:lang w:eastAsia="zh-CN"/>
        </w:rPr>
      </w:pPr>
      <w:r>
        <w:rPr>
          <w:rFonts w:hint="eastAsia" w:ascii="仿宋_GB2312" w:hAnsi="仿宋_GB2312" w:eastAsia="仿宋_GB2312" w:cs="仿宋_GB2312"/>
          <w:snapToGrid w:val="0"/>
          <w:color w:val="000000"/>
          <w:sz w:val="32"/>
          <w:szCs w:val="32"/>
          <w:lang w:eastAsia="zh-CN"/>
        </w:rPr>
        <w:t>1.项目年度总体目标</w:t>
      </w:r>
    </w:p>
    <w:p w14:paraId="0E8941CF">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申请财政资金用于拆迁户货币化补偿及相关费用发放，该项目消除了城中村基础设差、存在安全隐患的问题，为提高周边居住环境和改善城市面貌起到积极的促进作用。</w:t>
      </w:r>
    </w:p>
    <w:p w14:paraId="0A442F93">
      <w:pPr>
        <w:widowControl/>
        <w:spacing w:line="560" w:lineRule="exact"/>
        <w:ind w:firstLine="640" w:firstLineChars="200"/>
        <w:rPr>
          <w:rFonts w:hint="eastAsia" w:ascii="仿宋_GB2312" w:hAnsi="仿宋_GB2312" w:eastAsia="仿宋_GB2312" w:cs="仿宋_GB2312"/>
          <w:snapToGrid w:val="0"/>
          <w:color w:val="000000"/>
          <w:sz w:val="32"/>
          <w:szCs w:val="32"/>
          <w:lang w:eastAsia="zh-CN"/>
        </w:rPr>
      </w:pPr>
      <w:r>
        <w:rPr>
          <w:rFonts w:hint="eastAsia" w:ascii="仿宋_GB2312" w:hAnsi="仿宋_GB2312" w:eastAsia="仿宋_GB2312" w:cs="仿宋_GB2312"/>
          <w:snapToGrid w:val="0"/>
          <w:color w:val="000000"/>
          <w:sz w:val="32"/>
          <w:szCs w:val="32"/>
          <w:lang w:val="en-US" w:eastAsia="zh-CN"/>
        </w:rPr>
        <w:t>2.</w:t>
      </w:r>
      <w:r>
        <w:rPr>
          <w:rFonts w:hint="eastAsia" w:ascii="仿宋_GB2312" w:hAnsi="仿宋_GB2312" w:eastAsia="仿宋_GB2312" w:cs="仿宋_GB2312"/>
          <w:snapToGrid w:val="0"/>
          <w:color w:val="000000"/>
          <w:sz w:val="32"/>
          <w:szCs w:val="32"/>
          <w:lang w:eastAsia="zh-CN"/>
        </w:rPr>
        <w:t>总体目标完成情况</w:t>
      </w:r>
    </w:p>
    <w:p w14:paraId="06AE242F">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经费主要用于产权收购费用发放，解除了城中村居民的居住安全隐患，保障了居民的生命财产安全。经费能按时、按进度支付，全年目标已完成。</w:t>
      </w:r>
    </w:p>
    <w:p w14:paraId="68CA4752">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7E9BFA5B">
      <w:pPr>
        <w:widowControl/>
        <w:spacing w:line="600" w:lineRule="exact"/>
        <w:ind w:firstLine="643" w:firstLineChars="200"/>
        <w:rPr>
          <w:rFonts w:hint="eastAsia" w:ascii="Times New Roman" w:hAnsi="Times New Roman" w:eastAsia="楷体_GB2312"/>
          <w:b/>
          <w:color w:val="000000"/>
          <w:sz w:val="32"/>
          <w:szCs w:val="32"/>
        </w:rPr>
      </w:pPr>
      <w:r>
        <w:rPr>
          <w:rFonts w:hint="eastAsia" w:ascii="Times New Roman" w:hAnsi="Times New Roman" w:eastAsia="楷体_GB2312"/>
          <w:b/>
          <w:color w:val="000000"/>
          <w:sz w:val="32"/>
          <w:szCs w:val="32"/>
          <w:lang w:eastAsia="zh-CN"/>
        </w:rPr>
        <w:t>（</w:t>
      </w:r>
      <w:r>
        <w:rPr>
          <w:rFonts w:hint="eastAsia" w:ascii="Times New Roman" w:hAnsi="Times New Roman" w:eastAsia="楷体_GB2312"/>
          <w:b/>
          <w:color w:val="000000"/>
          <w:sz w:val="32"/>
          <w:szCs w:val="32"/>
          <w:lang w:val="en-US" w:eastAsia="zh-CN"/>
        </w:rPr>
        <w:t>一</w:t>
      </w:r>
      <w:r>
        <w:rPr>
          <w:rFonts w:hint="eastAsia" w:ascii="Times New Roman" w:hAnsi="Times New Roman" w:eastAsia="楷体_GB2312"/>
          <w:b/>
          <w:color w:val="000000"/>
          <w:sz w:val="32"/>
          <w:szCs w:val="32"/>
          <w:lang w:eastAsia="zh-CN"/>
        </w:rPr>
        <w:t>）</w:t>
      </w:r>
      <w:r>
        <w:rPr>
          <w:rFonts w:hint="eastAsia" w:ascii="Times New Roman" w:hAnsi="Times New Roman" w:eastAsia="楷体_GB2312"/>
          <w:b/>
          <w:color w:val="000000"/>
          <w:sz w:val="32"/>
          <w:szCs w:val="32"/>
        </w:rPr>
        <w:t>总体结论</w:t>
      </w:r>
    </w:p>
    <w:p w14:paraId="4C831D3D">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2024年度，征迁补偿款项目通过申请财政资金5083.50万元，完成产权收购费用发放、过渡费发放等相关征迁工作，已完成年度设定的绩效目标，达到项目预期效果。</w:t>
      </w:r>
    </w:p>
    <w:p w14:paraId="477447A4">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14:paraId="56E379D2">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经评价，2024年度征迁补偿款项目综合得分为100分，评价结果为“优”。</w:t>
      </w:r>
    </w:p>
    <w:p w14:paraId="0A35B03C">
      <w:pPr>
        <w:spacing w:line="600" w:lineRule="exact"/>
        <w:ind w:firstLine="640" w:firstLineChars="200"/>
        <w:rPr>
          <w:rFonts w:ascii="Times New Roman" w:hAnsi="Times New Roman" w:eastAsia="仿宋_GB2312"/>
          <w:color w:val="000000"/>
          <w:sz w:val="32"/>
          <w:szCs w:val="32"/>
        </w:rPr>
      </w:pPr>
      <w:r>
        <w:rPr>
          <w:rFonts w:ascii="Times New Roman" w:hAnsi="Times New Roman" w:eastAsia="黑体"/>
          <w:color w:val="000000"/>
          <w:sz w:val="32"/>
          <w:szCs w:val="32"/>
        </w:rPr>
        <w:t>三、指标分析</w:t>
      </w:r>
    </w:p>
    <w:p w14:paraId="22D2F7BF">
      <w:pPr>
        <w:widowControl/>
        <w:spacing w:line="560" w:lineRule="exact"/>
        <w:ind w:firstLine="640" w:firstLineChars="200"/>
        <w:rPr>
          <w:rFonts w:hint="eastAsia" w:ascii="Times New Roman" w:hAnsi="Times New Roman" w:eastAsia="仿宋_GB2312" w:cs="Times New Roman"/>
          <w:snapToGrid w:val="0"/>
          <w:color w:val="000000"/>
          <w:sz w:val="32"/>
          <w:szCs w:val="32"/>
        </w:rPr>
      </w:pPr>
      <w:r>
        <w:rPr>
          <w:rFonts w:hint="eastAsia" w:ascii="仿宋_GB2312" w:hAnsi="仿宋_GB2312" w:eastAsia="仿宋_GB2312" w:cs="仿宋_GB2312"/>
          <w:snapToGrid w:val="0"/>
          <w:color w:val="000000"/>
          <w:sz w:val="32"/>
          <w:szCs w:val="32"/>
          <w:lang w:val="en-US" w:eastAsia="zh-CN"/>
        </w:rPr>
        <w:t>项目绩效自评指标体系共设置3个一级指标，9个二级指标，9个三级指标，各项指标评分情况分析如下：</w:t>
      </w:r>
    </w:p>
    <w:p w14:paraId="505B6D4B">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14:paraId="58E8FC78">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2024年，征迁补偿款项目全年预算安排5083.50万元，全年执行5083.50万元，预算执行率100%，得分10分。</w:t>
      </w:r>
    </w:p>
    <w:p w14:paraId="3C925DC8">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14:paraId="7831C47B">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1.数量指标（满分12分，实得12分）</w:t>
      </w:r>
    </w:p>
    <w:p w14:paraId="39803D13">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年度设定的数量指标为保障社区数量3个；截至2024年底已保障社区数量3个，实际完成率为100%，得分12分。</w:t>
      </w:r>
    </w:p>
    <w:p w14:paraId="6077C817">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2.时效指标（满分12分，实得12分）</w:t>
      </w:r>
    </w:p>
    <w:p w14:paraId="0705797E">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年度设定的时效指标为及时发放资金；实际完成情况为资金全部及时发放，得分12分。</w:t>
      </w:r>
    </w:p>
    <w:p w14:paraId="4156CF80">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3.质量指标（满分13分，实得13分）</w:t>
      </w:r>
    </w:p>
    <w:p w14:paraId="6AEB3186">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年度设定的质量指标为征迁工作完成情况保质保量；实际完成情况为保质保量完成了征迁工作，得分13分。</w:t>
      </w:r>
    </w:p>
    <w:p w14:paraId="551170AA">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4.成本指标（满分13分，实得13分）</w:t>
      </w:r>
      <w:r>
        <w:rPr>
          <w:rFonts w:hint="eastAsia" w:ascii="仿宋_GB2312" w:hAnsi="仿宋_GB2312" w:eastAsia="仿宋_GB2312" w:cs="仿宋_GB2312"/>
          <w:snapToGrid w:val="0"/>
          <w:color w:val="000000"/>
          <w:sz w:val="32"/>
          <w:szCs w:val="32"/>
          <w:lang w:val="en-US" w:eastAsia="zh-CN"/>
        </w:rPr>
        <w:tab/>
      </w:r>
    </w:p>
    <w:p w14:paraId="3A77A5D5">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年度设定的成本指标为成本使用情况要节约合理；实际完成情况为节约合理地使用了资金，得分13分。</w:t>
      </w:r>
    </w:p>
    <w:p w14:paraId="5AE8A68A">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57D86083">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1.经济效益指标（满分8分，实得8分）</w:t>
      </w:r>
    </w:p>
    <w:p w14:paraId="46B0986B">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2.社会效益指标（满分8分，实得8分）</w:t>
      </w:r>
    </w:p>
    <w:p w14:paraId="14BBFD73">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3.生态效益指标（满分7分，实得7分）</w:t>
      </w:r>
    </w:p>
    <w:p w14:paraId="4E5377AC">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4.可持续影响指标（满分7分，实得7分）</w:t>
      </w:r>
    </w:p>
    <w:p w14:paraId="5DC5F5BB">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44D5625F">
      <w:pPr>
        <w:widowControl/>
        <w:spacing w:line="560" w:lineRule="exact"/>
        <w:ind w:firstLine="640" w:firstLineChars="200"/>
        <w:rPr>
          <w:rFonts w:hint="eastAsia" w:ascii="Times New Roman" w:hAnsi="Times New Roman" w:eastAsia="仿宋_GB2312"/>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满意度指标（满分10分，实得10分）</w:t>
      </w:r>
    </w:p>
    <w:p w14:paraId="598F5740">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14:paraId="3F1BB2DC">
      <w:pPr>
        <w:widowControl/>
        <w:spacing w:line="560" w:lineRule="exact"/>
        <w:ind w:firstLine="640" w:firstLineChars="200"/>
        <w:rPr>
          <w:rFonts w:ascii="Times New Roman" w:hAnsi="Times New Roman" w:eastAsia="仿宋_GB2312"/>
          <w:color w:val="000000"/>
          <w:sz w:val="32"/>
          <w:szCs w:val="32"/>
        </w:rPr>
      </w:pPr>
      <w:r>
        <w:rPr>
          <w:rFonts w:hint="eastAsia" w:ascii="仿宋_GB2312" w:hAnsi="仿宋_GB2312" w:eastAsia="仿宋_GB2312" w:cs="仿宋_GB2312"/>
          <w:snapToGrid w:val="0"/>
          <w:color w:val="000000"/>
          <w:sz w:val="32"/>
          <w:szCs w:val="32"/>
          <w:lang w:val="en-US" w:eastAsia="zh-CN"/>
        </w:rPr>
        <w:t>通过评价发现，项目实施虽取得了一定的成效，但还存在一些问题和不足，主要表现在宣传力度不够。</w:t>
      </w:r>
    </w:p>
    <w:p w14:paraId="5FE28BD3">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24ACC9B4">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为进一步提高专项资金使用效益，针对存在的问题，提出如下建议：加强宣传，进一步提高居民的满意率和支持率。</w:t>
      </w:r>
    </w:p>
    <w:p w14:paraId="08B8DF53">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74525D6A">
      <w:pPr>
        <w:widowControl/>
        <w:spacing w:line="560" w:lineRule="exact"/>
        <w:ind w:firstLine="640" w:firstLineChars="200"/>
        <w:rPr>
          <w:rFonts w:hint="eastAsia" w:ascii="Times New Roman" w:hAnsi="Times New Roman" w:eastAsia="仿宋_GB2312"/>
          <w:color w:val="000000"/>
          <w:sz w:val="32"/>
          <w:szCs w:val="32"/>
          <w:lang w:eastAsia="zh-CN"/>
        </w:rPr>
      </w:pPr>
      <w:r>
        <w:rPr>
          <w:rFonts w:hint="eastAsia" w:ascii="仿宋_GB2312" w:hAnsi="仿宋_GB2312" w:eastAsia="仿宋_GB2312" w:cs="仿宋_GB2312"/>
          <w:snapToGrid w:val="0"/>
          <w:color w:val="000000"/>
          <w:sz w:val="32"/>
          <w:szCs w:val="32"/>
          <w:lang w:val="en-US" w:eastAsia="zh-CN"/>
        </w:rPr>
        <w:t>瑶海区住建局关于《征地补偿安置方案公告》公示等工作的通知。</w:t>
      </w:r>
    </w:p>
    <w:p w14:paraId="3C7FC7AC">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4EE716FB">
      <w:pPr>
        <w:widowControl/>
        <w:spacing w:line="56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1.项目支出绩</w:t>
      </w:r>
      <w:bookmarkStart w:id="0" w:name="_GoBack"/>
      <w:bookmarkEnd w:id="0"/>
      <w:r>
        <w:rPr>
          <w:rFonts w:hint="eastAsia" w:ascii="仿宋_GB2312" w:hAnsi="仿宋_GB2312" w:eastAsia="仿宋_GB2312" w:cs="仿宋_GB2312"/>
          <w:snapToGrid w:val="0"/>
          <w:color w:val="000000"/>
          <w:sz w:val="32"/>
          <w:szCs w:val="32"/>
          <w:lang w:val="en-US" w:eastAsia="zh-CN"/>
        </w:rPr>
        <w:t>效自评表（从一体化系统导出）；</w:t>
      </w:r>
    </w:p>
    <w:p w14:paraId="2C5C0E4C">
      <w:pPr>
        <w:widowControl/>
        <w:spacing w:line="560" w:lineRule="exact"/>
        <w:ind w:firstLine="640" w:firstLineChars="200"/>
        <w:rPr>
          <w:rFonts w:ascii="Times New Roman" w:hAnsi="Times New Roman" w:eastAsia="仿宋_GB2312"/>
          <w:color w:val="000000"/>
          <w:sz w:val="32"/>
          <w:szCs w:val="32"/>
        </w:rPr>
      </w:pPr>
      <w:r>
        <w:rPr>
          <w:rFonts w:hint="eastAsia" w:ascii="仿宋_GB2312" w:hAnsi="仿宋_GB2312" w:eastAsia="仿宋_GB2312" w:cs="仿宋_GB2312"/>
          <w:snapToGrid w:val="0"/>
          <w:color w:val="000000"/>
          <w:sz w:val="32"/>
          <w:szCs w:val="32"/>
          <w:lang w:val="en-US" w:eastAsia="zh-CN"/>
        </w:rPr>
        <w:t>2.与报告相关的其他附件。</w:t>
      </w:r>
    </w:p>
    <w:p w14:paraId="1DE91BDA">
      <w:pPr>
        <w:widowControl/>
        <w:jc w:val="left"/>
        <w:rPr>
          <w:rFonts w:hint="eastAsia" w:eastAsia="宋体"/>
          <w:lang w:eastAsia="zh-CN"/>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FF82D">
    <w:pPr>
      <w:pStyle w:val="8"/>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14:paraId="0DDCA6DD">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24C3C">
    <w:pPr>
      <w:pStyle w:val="8"/>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14:paraId="3994D6F9">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OTliNTJhZjExNDBjN2FlZmNkY2QwY2QxZTM4MGYifQ=="/>
  </w:docVars>
  <w:rsids>
    <w:rsidRoot w:val="00192156"/>
    <w:rsid w:val="0000272A"/>
    <w:rsid w:val="000074DB"/>
    <w:rsid w:val="000101D3"/>
    <w:rsid w:val="000215E7"/>
    <w:rsid w:val="00024B78"/>
    <w:rsid w:val="000333B7"/>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13F4189"/>
    <w:rsid w:val="03165668"/>
    <w:rsid w:val="04387860"/>
    <w:rsid w:val="0BDE0CED"/>
    <w:rsid w:val="0FD15F51"/>
    <w:rsid w:val="130848A2"/>
    <w:rsid w:val="145B7F3B"/>
    <w:rsid w:val="15175270"/>
    <w:rsid w:val="1580063C"/>
    <w:rsid w:val="16C84A74"/>
    <w:rsid w:val="16F716AA"/>
    <w:rsid w:val="17A4103D"/>
    <w:rsid w:val="1BD792BA"/>
    <w:rsid w:val="223B3771"/>
    <w:rsid w:val="27FA6A3D"/>
    <w:rsid w:val="29332221"/>
    <w:rsid w:val="2BA22742"/>
    <w:rsid w:val="2F1B4A9E"/>
    <w:rsid w:val="2FB567F4"/>
    <w:rsid w:val="2FC40521"/>
    <w:rsid w:val="2FFC4CEE"/>
    <w:rsid w:val="32AB7F6C"/>
    <w:rsid w:val="35FE3BB6"/>
    <w:rsid w:val="362A675A"/>
    <w:rsid w:val="39EC3A8B"/>
    <w:rsid w:val="3ACD36C9"/>
    <w:rsid w:val="3CFE57A8"/>
    <w:rsid w:val="3D17003D"/>
    <w:rsid w:val="3EB75BFF"/>
    <w:rsid w:val="41FF10FA"/>
    <w:rsid w:val="43751F7C"/>
    <w:rsid w:val="445F7F16"/>
    <w:rsid w:val="44C06BEE"/>
    <w:rsid w:val="53316F22"/>
    <w:rsid w:val="54AB3C68"/>
    <w:rsid w:val="587A4EC7"/>
    <w:rsid w:val="5B2737C9"/>
    <w:rsid w:val="5C736320"/>
    <w:rsid w:val="5E8F794D"/>
    <w:rsid w:val="5F9C8719"/>
    <w:rsid w:val="5FCA6734"/>
    <w:rsid w:val="5FF43F05"/>
    <w:rsid w:val="61A134C4"/>
    <w:rsid w:val="63B219B9"/>
    <w:rsid w:val="64266808"/>
    <w:rsid w:val="69382960"/>
    <w:rsid w:val="6A5617A4"/>
    <w:rsid w:val="6A7C4ACE"/>
    <w:rsid w:val="6CDC1854"/>
    <w:rsid w:val="6CE54BAD"/>
    <w:rsid w:val="6D0D5EB2"/>
    <w:rsid w:val="6DF8D820"/>
    <w:rsid w:val="6FED328C"/>
    <w:rsid w:val="71373859"/>
    <w:rsid w:val="72823F06"/>
    <w:rsid w:val="732453BC"/>
    <w:rsid w:val="736A5E0C"/>
    <w:rsid w:val="779BD1C3"/>
    <w:rsid w:val="79B853F7"/>
    <w:rsid w:val="7AA31C03"/>
    <w:rsid w:val="7B675923"/>
    <w:rsid w:val="7BBCDE22"/>
    <w:rsid w:val="7C39281F"/>
    <w:rsid w:val="7F7B4EFD"/>
    <w:rsid w:val="7F7D9BD7"/>
    <w:rsid w:val="7FE676B3"/>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autoRedefine/>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3">
    <w:name w:val="heading 2"/>
    <w:basedOn w:val="1"/>
    <w:next w:val="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link w:val="21"/>
    <w:autoRedefine/>
    <w:qFormat/>
    <w:uiPriority w:val="0"/>
    <w:pPr>
      <w:spacing w:line="560" w:lineRule="atLeast"/>
      <w:ind w:firstLine="567"/>
    </w:pPr>
    <w:rPr>
      <w:rFonts w:asciiTheme="minorHAnsi" w:hAnsiTheme="minorHAnsi" w:eastAsiaTheme="minorEastAsia" w:cstheme="minorBidi"/>
      <w:sz w:val="28"/>
    </w:rPr>
  </w:style>
  <w:style w:type="paragraph" w:styleId="5">
    <w:name w:val="Plain Text"/>
    <w:basedOn w:val="1"/>
    <w:qFormat/>
    <w:uiPriority w:val="99"/>
    <w:pPr>
      <w:jc w:val="left"/>
    </w:pPr>
    <w:rPr>
      <w:rFonts w:ascii="宋体" w:hAnsi="Courier New"/>
      <w:lang w:val="zh-CN"/>
    </w:rPr>
  </w:style>
  <w:style w:type="paragraph" w:styleId="6">
    <w:name w:val="Date"/>
    <w:basedOn w:val="1"/>
    <w:next w:val="1"/>
    <w:link w:val="26"/>
    <w:autoRedefine/>
    <w:qFormat/>
    <w:uiPriority w:val="0"/>
    <w:pPr>
      <w:ind w:left="100" w:leftChars="2500"/>
    </w:pPr>
    <w:rPr>
      <w:rFonts w:ascii="Times New Roman" w:hAnsi="Times New Roman"/>
      <w:szCs w:val="24"/>
    </w:rPr>
  </w:style>
  <w:style w:type="paragraph" w:styleId="7">
    <w:name w:val="Balloon Text"/>
    <w:basedOn w:val="1"/>
    <w:link w:val="25"/>
    <w:autoRedefine/>
    <w:unhideWhenUsed/>
    <w:qFormat/>
    <w:uiPriority w:val="99"/>
    <w:rPr>
      <w:rFonts w:ascii="Times New Roman" w:hAnsi="Times New Roman"/>
      <w:sz w:val="18"/>
      <w:szCs w:val="18"/>
      <w:lang w:val="zh-CN" w:eastAsia="zh-CN"/>
    </w:rPr>
  </w:style>
  <w:style w:type="paragraph" w:styleId="8">
    <w:name w:val="footer"/>
    <w:basedOn w:val="1"/>
    <w:link w:val="18"/>
    <w:autoRedefine/>
    <w:qFormat/>
    <w:uiPriority w:val="99"/>
    <w:pPr>
      <w:tabs>
        <w:tab w:val="center" w:pos="4153"/>
        <w:tab w:val="right" w:pos="8306"/>
      </w:tabs>
      <w:snapToGrid w:val="0"/>
      <w:jc w:val="left"/>
    </w:pPr>
    <w:rPr>
      <w:rFonts w:ascii="Times New Roman" w:hAnsi="Times New Roman"/>
      <w:sz w:val="18"/>
      <w:szCs w:val="18"/>
    </w:rPr>
  </w:style>
  <w:style w:type="paragraph" w:styleId="9">
    <w:name w:val="header"/>
    <w:basedOn w:val="1"/>
    <w:link w:val="19"/>
    <w:autoRedefine/>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0">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1">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table" w:styleId="13">
    <w:name w:val="Table Grid"/>
    <w:basedOn w:val="12"/>
    <w:autoRedefine/>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0"/>
  </w:style>
  <w:style w:type="character" w:styleId="16">
    <w:name w:val="Hyperlink"/>
    <w:autoRedefine/>
    <w:qFormat/>
    <w:uiPriority w:val="0"/>
    <w:rPr>
      <w:color w:val="0000FF"/>
      <w:u w:val="single"/>
    </w:rPr>
  </w:style>
  <w:style w:type="character" w:customStyle="1" w:styleId="17">
    <w:name w:val="标题 1 Char"/>
    <w:basedOn w:val="14"/>
    <w:link w:val="2"/>
    <w:autoRedefine/>
    <w:qFormat/>
    <w:uiPriority w:val="0"/>
    <w:rPr>
      <w:rFonts w:ascii="Times New Roman" w:hAnsi="Times New Roman" w:eastAsia="MS Gothic" w:cs="Times New Roman"/>
      <w:b/>
      <w:bCs/>
      <w:kern w:val="44"/>
      <w:sz w:val="44"/>
      <w:szCs w:val="44"/>
      <w:lang w:val="zh-CN" w:eastAsia="zh-CN"/>
    </w:rPr>
  </w:style>
  <w:style w:type="character" w:customStyle="1" w:styleId="18">
    <w:name w:val="页脚 Char"/>
    <w:basedOn w:val="14"/>
    <w:link w:val="8"/>
    <w:autoRedefine/>
    <w:qFormat/>
    <w:uiPriority w:val="99"/>
    <w:rPr>
      <w:rFonts w:ascii="Times New Roman" w:hAnsi="Times New Roman" w:eastAsia="宋体" w:cs="Times New Roman"/>
      <w:sz w:val="18"/>
      <w:szCs w:val="18"/>
    </w:rPr>
  </w:style>
  <w:style w:type="character" w:customStyle="1" w:styleId="19">
    <w:name w:val="页眉 Char"/>
    <w:basedOn w:val="14"/>
    <w:link w:val="9"/>
    <w:autoRedefine/>
    <w:qFormat/>
    <w:uiPriority w:val="0"/>
    <w:rPr>
      <w:rFonts w:ascii="Times New Roman" w:hAnsi="Times New Roman" w:eastAsia="宋体" w:cs="Times New Roman"/>
      <w:sz w:val="18"/>
      <w:szCs w:val="18"/>
    </w:rPr>
  </w:style>
  <w:style w:type="character" w:customStyle="1" w:styleId="20">
    <w:name w:val="页脚 Char Char"/>
    <w:autoRedefine/>
    <w:qFormat/>
    <w:uiPriority w:val="0"/>
    <w:rPr>
      <w:rFonts w:ascii="Times New Roman" w:hAnsi="Times New Roman" w:eastAsia="宋体" w:cs="Times New Roman"/>
      <w:sz w:val="18"/>
      <w:szCs w:val="18"/>
    </w:rPr>
  </w:style>
  <w:style w:type="character" w:customStyle="1" w:styleId="21">
    <w:name w:val="正文缩进 Char"/>
    <w:link w:val="4"/>
    <w:autoRedefine/>
    <w:qFormat/>
    <w:uiPriority w:val="0"/>
    <w:rPr>
      <w:sz w:val="28"/>
    </w:rPr>
  </w:style>
  <w:style w:type="character" w:customStyle="1" w:styleId="22">
    <w:name w:val="正文啊 Char Char"/>
    <w:link w:val="23"/>
    <w:autoRedefine/>
    <w:qFormat/>
    <w:uiPriority w:val="0"/>
    <w:rPr>
      <w:rFonts w:ascii="仿宋_GB2312" w:hAnsi="宋体" w:eastAsia="仿宋_GB2312"/>
      <w:bCs/>
      <w:sz w:val="30"/>
      <w:szCs w:val="30"/>
    </w:rPr>
  </w:style>
  <w:style w:type="paragraph" w:customStyle="1" w:styleId="23">
    <w:name w:val="正文啊"/>
    <w:basedOn w:val="1"/>
    <w:link w:val="22"/>
    <w:autoRedefine/>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4">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5">
    <w:name w:val="批注框文本 Char"/>
    <w:basedOn w:val="14"/>
    <w:link w:val="7"/>
    <w:autoRedefine/>
    <w:qFormat/>
    <w:uiPriority w:val="99"/>
    <w:rPr>
      <w:rFonts w:ascii="Times New Roman" w:hAnsi="Times New Roman" w:eastAsia="宋体" w:cs="Times New Roman"/>
      <w:sz w:val="18"/>
      <w:szCs w:val="18"/>
      <w:lang w:val="zh-CN" w:eastAsia="zh-CN"/>
    </w:rPr>
  </w:style>
  <w:style w:type="character" w:customStyle="1" w:styleId="26">
    <w:name w:val="日期 Char"/>
    <w:basedOn w:val="14"/>
    <w:link w:val="6"/>
    <w:autoRedefine/>
    <w:qFormat/>
    <w:uiPriority w:val="0"/>
    <w:rPr>
      <w:rFonts w:ascii="Times New Roman" w:hAnsi="Times New Roman" w:eastAsia="宋体" w:cs="Times New Roman"/>
      <w:szCs w:val="24"/>
    </w:rPr>
  </w:style>
  <w:style w:type="paragraph" w:customStyle="1" w:styleId="27">
    <w:name w:val="Default Paragraph Char Char Char Char"/>
    <w:basedOn w:val="1"/>
    <w:next w:val="1"/>
    <w:autoRedefine/>
    <w:qFormat/>
    <w:uiPriority w:val="0"/>
    <w:pPr>
      <w:widowControl/>
      <w:spacing w:line="360" w:lineRule="auto"/>
      <w:jc w:val="center"/>
    </w:pPr>
    <w:rPr>
      <w:rFonts w:ascii="Times New Roman" w:hAnsi="Times New Roman" w:eastAsia="方正小标宋简体"/>
      <w:kern w:val="0"/>
      <w:sz w:val="4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1195</Words>
  <Characters>1303</Characters>
  <Lines>102</Lines>
  <Paragraphs>28</Paragraphs>
  <TotalTime>4</TotalTime>
  <ScaleCrop>false</ScaleCrop>
  <LinksUpToDate>false</LinksUpToDate>
  <CharactersWithSpaces>1417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2020-12-26T02:41:00Z</dcterms:created>
  <dc:creator>王焱</dc:creator>
  <cp:lastModifiedBy>山有扶苏隰有荷华</cp:lastModifiedBy>
  <cp:lastPrinted>2022-12-06T16:18:00Z</cp:lastPrinted>
  <dcterms:modified xsi:type="dcterms:W3CDTF">2025-09-02T09:34:51Z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AD59B954B3824694BD0E2CE1E8F17436_13</vt:lpwstr>
  </property>
  <property fmtid="{D5CDD505-2E9C-101B-9397-08002B2CF9AE}" pid="4" name="KSOTemplateDocerSaveRecord">
    <vt:lpwstr>eyJoZGlkIjoiZTYyNTc1MDZiYzE5ZTc3Nzk2MjlmNjMzMDZiNTdjM2EiLCJ1c2VySWQiOiIyMDE0OTU4NDMifQ==</vt:lpwstr>
  </property>
</Properties>
</file>