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A50F1A">
      <w:pPr>
        <w:spacing w:line="600" w:lineRule="exact"/>
        <w:rPr>
          <w:rFonts w:hint="eastAsia" w:ascii="Times New Roman" w:hAnsi="Times New Roman" w:eastAsia="黑体"/>
          <w:bCs/>
          <w:sz w:val="32"/>
          <w:szCs w:val="32"/>
          <w:lang w:eastAsia="zh-CN"/>
        </w:rPr>
      </w:pPr>
      <w:r>
        <w:rPr>
          <w:rFonts w:ascii="Times New Roman" w:hAnsi="Times New Roman" w:eastAsia="黑体"/>
          <w:bCs/>
          <w:sz w:val="32"/>
          <w:szCs w:val="32"/>
        </w:rPr>
        <w:t>附件</w:t>
      </w:r>
      <w:r>
        <w:rPr>
          <w:rFonts w:hint="eastAsia" w:ascii="Times New Roman" w:hAnsi="Times New Roman" w:eastAsia="黑体"/>
          <w:bCs/>
          <w:sz w:val="32"/>
          <w:szCs w:val="32"/>
          <w:lang w:val="en-US" w:eastAsia="zh-CN"/>
        </w:rPr>
        <w:t>2</w:t>
      </w:r>
    </w:p>
    <w:p w14:paraId="556A573A">
      <w:pPr>
        <w:spacing w:before="156" w:line="600" w:lineRule="exact"/>
        <w:ind w:right="119"/>
        <w:jc w:val="right"/>
        <w:rPr>
          <w:rFonts w:ascii="Times New Roman" w:hAnsi="Times New Roman" w:eastAsia="华文楷体"/>
          <w:bCs/>
          <w:sz w:val="18"/>
          <w:szCs w:val="18"/>
        </w:rPr>
      </w:pPr>
      <w:r>
        <w:rPr>
          <w:rFonts w:ascii="Times New Roman" w:hAnsi="Times New Roman"/>
          <w:bCs/>
          <w:sz w:val="18"/>
          <w:szCs w:val="18"/>
        </w:rPr>
        <w:t>项目序号</w:t>
      </w:r>
      <w:r>
        <w:rPr>
          <w:rFonts w:ascii="Times New Roman" w:hAnsi="Times New Roman" w:eastAsia="华文楷体"/>
          <w:bCs/>
          <w:sz w:val="18"/>
          <w:szCs w:val="18"/>
        </w:rPr>
        <w:t>（</w:t>
      </w:r>
      <w:r>
        <w:rPr>
          <w:rFonts w:hint="eastAsia" w:ascii="Times New Roman" w:hAnsi="Times New Roman" w:eastAsia="华文楷体"/>
          <w:bCs/>
          <w:sz w:val="18"/>
          <w:szCs w:val="18"/>
        </w:rPr>
        <w:t>3401022</w:t>
      </w:r>
      <w:r>
        <w:rPr>
          <w:rFonts w:hint="eastAsia" w:ascii="Times New Roman" w:hAnsi="Times New Roman" w:eastAsia="华文楷体"/>
          <w:bCs/>
          <w:sz w:val="18"/>
          <w:szCs w:val="18"/>
          <w:lang w:val="en-US" w:eastAsia="zh-CN"/>
        </w:rPr>
        <w:t>4</w:t>
      </w:r>
      <w:r>
        <w:rPr>
          <w:rFonts w:hint="eastAsia" w:ascii="Times New Roman" w:hAnsi="Times New Roman" w:eastAsia="华文楷体"/>
          <w:bCs/>
          <w:sz w:val="18"/>
          <w:szCs w:val="18"/>
        </w:rPr>
        <w:t>24020008000</w:t>
      </w:r>
      <w:r>
        <w:rPr>
          <w:rFonts w:hint="eastAsia" w:ascii="Times New Roman" w:hAnsi="Times New Roman" w:eastAsia="华文楷体"/>
          <w:bCs/>
          <w:sz w:val="18"/>
          <w:szCs w:val="18"/>
          <w:lang w:val="en-US" w:eastAsia="zh-CN"/>
        </w:rPr>
        <w:t>01</w:t>
      </w:r>
      <w:r>
        <w:rPr>
          <w:rFonts w:ascii="Times New Roman" w:hAnsi="Times New Roman" w:eastAsia="华文楷体"/>
          <w:bCs/>
          <w:sz w:val="18"/>
          <w:szCs w:val="18"/>
        </w:rPr>
        <w:t>）：</w:t>
      </w:r>
    </w:p>
    <w:p w14:paraId="0A110339">
      <w:pPr>
        <w:ind w:right="120"/>
        <w:jc w:val="right"/>
        <w:rPr>
          <w:rFonts w:ascii="Times New Roman" w:hAnsi="Times New Roman" w:eastAsia="华文楷体"/>
          <w:bCs/>
          <w:sz w:val="16"/>
          <w:szCs w:val="21"/>
        </w:rPr>
      </w:pPr>
    </w:p>
    <w:p w14:paraId="219A3B02">
      <w:pPr>
        <w:ind w:right="120"/>
        <w:jc w:val="right"/>
        <w:rPr>
          <w:rFonts w:ascii="Times New Roman" w:hAnsi="Times New Roman" w:eastAsia="华文楷体"/>
          <w:bCs/>
          <w:sz w:val="16"/>
          <w:szCs w:val="21"/>
        </w:rPr>
      </w:pPr>
    </w:p>
    <w:p w14:paraId="42A2E652">
      <w:pPr>
        <w:jc w:val="center"/>
        <w:rPr>
          <w:rFonts w:ascii="Times New Roman" w:hAnsi="Times New Roman" w:eastAsia="黑体"/>
          <w:bCs/>
          <w:sz w:val="44"/>
        </w:rPr>
      </w:pPr>
    </w:p>
    <w:p w14:paraId="7A618915">
      <w:pPr>
        <w:jc w:val="center"/>
        <w:rPr>
          <w:rFonts w:ascii="Times New Roman" w:hAnsi="Times New Roman" w:eastAsia="黑体"/>
          <w:bCs/>
          <w:sz w:val="44"/>
        </w:rPr>
      </w:pPr>
    </w:p>
    <w:p w14:paraId="0B9496C4">
      <w:pPr>
        <w:spacing w:line="600" w:lineRule="exact"/>
        <w:jc w:val="center"/>
        <w:rPr>
          <w:rFonts w:ascii="Times New Roman" w:hAnsi="Times New Roman" w:eastAsia="方正小标宋简体"/>
          <w:bCs/>
          <w:sz w:val="44"/>
        </w:rPr>
      </w:pPr>
      <w:r>
        <w:rPr>
          <w:rFonts w:ascii="Times New Roman" w:hAnsi="Times New Roman" w:eastAsia="方正小标宋简体"/>
          <w:bCs/>
          <w:sz w:val="44"/>
        </w:rPr>
        <w:t>合肥市财政支出项目</w:t>
      </w:r>
      <w:r>
        <w:rPr>
          <w:rFonts w:hint="eastAsia" w:ascii="Times New Roman" w:hAnsi="Times New Roman" w:eastAsia="方正小标宋简体"/>
          <w:bCs/>
          <w:sz w:val="44"/>
        </w:rPr>
        <w:t>部门评价</w:t>
      </w:r>
      <w:r>
        <w:rPr>
          <w:rFonts w:ascii="Times New Roman" w:hAnsi="Times New Roman" w:eastAsia="方正小标宋简体"/>
          <w:bCs/>
          <w:sz w:val="44"/>
        </w:rPr>
        <w:t>报告</w:t>
      </w:r>
    </w:p>
    <w:p w14:paraId="4F20188B">
      <w:pPr>
        <w:jc w:val="center"/>
        <w:rPr>
          <w:rFonts w:ascii="Times New Roman" w:hAnsi="Times New Roman" w:eastAsia="楷体_GB2312"/>
          <w:b/>
          <w:bCs/>
          <w:sz w:val="32"/>
        </w:rPr>
      </w:pPr>
    </w:p>
    <w:p w14:paraId="60F8C747">
      <w:pPr>
        <w:spacing w:before="156" w:beforeLines="50" w:after="156" w:afterLines="50"/>
        <w:ind w:firstLine="614" w:firstLineChars="192"/>
        <w:rPr>
          <w:rFonts w:ascii="Times New Roman" w:hAnsi="Times New Roman" w:eastAsia="楷体_GB2312"/>
          <w:sz w:val="32"/>
        </w:rPr>
      </w:pPr>
    </w:p>
    <w:p w14:paraId="4331E6D1">
      <w:pPr>
        <w:spacing w:before="156" w:beforeLines="50" w:after="156" w:afterLines="50"/>
        <w:ind w:left="2207" w:leftChars="289" w:hanging="1600" w:hangingChars="500"/>
        <w:rPr>
          <w:rFonts w:ascii="Times New Roman" w:hAnsi="Times New Roman" w:eastAsia="楷体_GB2312"/>
          <w:sz w:val="32"/>
          <w:u w:val="single"/>
        </w:rPr>
      </w:pPr>
      <w:r>
        <w:rPr>
          <w:rFonts w:ascii="Times New Roman" w:hAnsi="Times New Roman" w:eastAsia="楷体_GB2312"/>
          <w:sz w:val="32"/>
        </w:rPr>
        <w:t>项   目   名   称 ：</w:t>
      </w:r>
      <w:r>
        <w:rPr>
          <w:rFonts w:hint="eastAsia" w:ascii="Times New Roman" w:hAnsi="Times New Roman" w:eastAsia="楷体_GB2312"/>
          <w:sz w:val="32"/>
          <w:lang w:val="en-US" w:eastAsia="zh-CN"/>
        </w:rPr>
        <w:t>2024-</w:t>
      </w:r>
      <w:r>
        <w:rPr>
          <w:rFonts w:hint="eastAsia" w:ascii="Times New Roman" w:hAnsi="Times New Roman" w:eastAsia="楷体_GB2312"/>
          <w:sz w:val="32"/>
          <w:u w:val="single"/>
          <w:lang w:val="en-US" w:eastAsia="zh-CN"/>
        </w:rPr>
        <w:t>城乡义务教育补助经费-</w:t>
      </w:r>
      <w:r>
        <w:rPr>
          <w:rFonts w:ascii="Times New Roman" w:hAnsi="Times New Roman" w:eastAsia="楷体_GB2312"/>
          <w:sz w:val="32"/>
          <w:u w:val="single"/>
        </w:rPr>
        <w:t xml:space="preserve">   </w:t>
      </w:r>
      <w:r>
        <w:rPr>
          <w:rFonts w:hint="eastAsia" w:ascii="Times New Roman" w:hAnsi="Times New Roman" w:eastAsia="楷体_GB2312"/>
          <w:sz w:val="32"/>
          <w:u w:val="single"/>
          <w:lang w:val="en-US" w:eastAsia="zh-CN"/>
        </w:rPr>
        <w:t>初中</w:t>
      </w:r>
      <w:r>
        <w:rPr>
          <w:rFonts w:ascii="Times New Roman" w:hAnsi="Times New Roman" w:eastAsia="楷体_GB2312"/>
          <w:sz w:val="32"/>
          <w:u w:val="single"/>
        </w:rPr>
        <w:t xml:space="preserve">               </w:t>
      </w:r>
    </w:p>
    <w:p w14:paraId="15CF2A6B">
      <w:pPr>
        <w:spacing w:before="156" w:beforeLines="50" w:after="156" w:afterLines="50"/>
        <w:ind w:left="1887" w:leftChars="289" w:hanging="1280" w:hangingChars="400"/>
        <w:rPr>
          <w:rFonts w:ascii="Times New Roman" w:hAnsi="Times New Roman" w:eastAsia="楷体_GB2312"/>
          <w:sz w:val="32"/>
          <w:u w:val="single"/>
        </w:rPr>
      </w:pPr>
      <w:r>
        <w:rPr>
          <w:rFonts w:ascii="Times New Roman" w:hAnsi="Times New Roman" w:eastAsia="楷体_GB2312"/>
          <w:sz w:val="32"/>
        </w:rPr>
        <w:t>项   目   单   位 ：</w:t>
      </w:r>
      <w:r>
        <w:rPr>
          <w:rFonts w:ascii="Times New Roman" w:hAnsi="Times New Roman" w:eastAsia="楷体_GB2312"/>
          <w:sz w:val="32"/>
          <w:u w:val="single"/>
        </w:rPr>
        <w:t xml:space="preserve"> 合肥市</w:t>
      </w:r>
      <w:r>
        <w:rPr>
          <w:rFonts w:hint="eastAsia" w:ascii="Times New Roman" w:hAnsi="Times New Roman" w:eastAsia="楷体_GB2312"/>
          <w:sz w:val="32"/>
          <w:u w:val="single"/>
          <w:lang w:val="en-US" w:eastAsia="zh-CN"/>
        </w:rPr>
        <w:t>第五十五中</w:t>
      </w:r>
      <w:r>
        <w:rPr>
          <w:rFonts w:ascii="Times New Roman" w:hAnsi="Times New Roman" w:eastAsia="楷体_GB2312"/>
          <w:sz w:val="32"/>
          <w:u w:val="single"/>
        </w:rPr>
        <w:t xml:space="preserve">学                          </w:t>
      </w:r>
    </w:p>
    <w:p w14:paraId="4BB53802">
      <w:pPr>
        <w:spacing w:before="156" w:beforeLines="50" w:after="156" w:afterLines="50"/>
        <w:ind w:left="1887" w:leftChars="289" w:hanging="1280" w:hangingChars="400"/>
        <w:rPr>
          <w:rFonts w:ascii="Times New Roman" w:hAnsi="Times New Roman" w:eastAsia="楷体_GB2312"/>
          <w:sz w:val="32"/>
          <w:u w:val="single"/>
        </w:rPr>
      </w:pPr>
      <w:r>
        <w:rPr>
          <w:rFonts w:ascii="Times New Roman" w:hAnsi="Times New Roman" w:eastAsia="楷体_GB2312"/>
          <w:sz w:val="32"/>
        </w:rPr>
        <w:t>项目责任人 （签字）：</w:t>
      </w:r>
      <w:r>
        <w:rPr>
          <w:rFonts w:ascii="Times New Roman" w:hAnsi="Times New Roman" w:eastAsia="楷体_GB2312"/>
          <w:sz w:val="32"/>
          <w:u w:val="single"/>
        </w:rPr>
        <w:t xml:space="preserve">    </w:t>
      </w:r>
      <w:r>
        <w:rPr>
          <w:rFonts w:hint="eastAsia" w:ascii="Times New Roman" w:hAnsi="Times New Roman" w:eastAsia="楷体_GB2312"/>
          <w:sz w:val="32"/>
          <w:u w:val="single"/>
          <w:lang w:val="en-US" w:eastAsia="zh-CN"/>
        </w:rPr>
        <w:t>马俊</w:t>
      </w:r>
      <w:r>
        <w:rPr>
          <w:rFonts w:ascii="Times New Roman" w:hAnsi="Times New Roman" w:eastAsia="楷体_GB2312"/>
          <w:sz w:val="32"/>
          <w:u w:val="single"/>
        </w:rPr>
        <w:t xml:space="preserve">                       </w:t>
      </w:r>
    </w:p>
    <w:p w14:paraId="1A848D82">
      <w:pPr>
        <w:spacing w:before="156" w:beforeLines="50" w:after="156" w:afterLines="50"/>
        <w:ind w:firstLine="614" w:firstLineChars="192"/>
        <w:rPr>
          <w:rFonts w:ascii="Times New Roman" w:hAnsi="Times New Roman" w:eastAsia="楷体_GB2312"/>
          <w:sz w:val="32"/>
          <w:u w:val="single"/>
        </w:rPr>
      </w:pPr>
      <w:r>
        <w:rPr>
          <w:rFonts w:ascii="Times New Roman" w:hAnsi="Times New Roman" w:eastAsia="楷体_GB2312"/>
          <w:sz w:val="32"/>
        </w:rPr>
        <w:t>主 管 部 门（盖章）：</w:t>
      </w:r>
      <w:r>
        <w:rPr>
          <w:rFonts w:ascii="Times New Roman" w:hAnsi="Times New Roman" w:eastAsia="楷体_GB2312"/>
          <w:sz w:val="32"/>
          <w:u w:val="single"/>
        </w:rPr>
        <w:t xml:space="preserve"> </w:t>
      </w:r>
      <w:r>
        <w:rPr>
          <w:rFonts w:hint="eastAsia" w:ascii="Times New Roman" w:hAnsi="Times New Roman" w:eastAsia="楷体_GB2312"/>
          <w:sz w:val="32"/>
          <w:u w:val="single"/>
        </w:rPr>
        <w:t>合</w:t>
      </w:r>
      <w:r>
        <w:rPr>
          <w:rFonts w:ascii="Times New Roman" w:hAnsi="Times New Roman" w:eastAsia="楷体_GB2312"/>
          <w:sz w:val="32"/>
          <w:u w:val="single"/>
        </w:rPr>
        <w:t xml:space="preserve">肥市瑶海区教育体育局                          </w:t>
      </w:r>
    </w:p>
    <w:p w14:paraId="04D42C16">
      <w:pPr>
        <w:spacing w:before="156" w:beforeLines="50" w:after="156" w:afterLines="50"/>
        <w:ind w:firstLine="614" w:firstLineChars="192"/>
        <w:rPr>
          <w:rFonts w:ascii="Times New Roman" w:hAnsi="Times New Roman" w:eastAsia="楷体_GB2312"/>
          <w:sz w:val="32"/>
        </w:rPr>
      </w:pPr>
    </w:p>
    <w:p w14:paraId="60E7671C">
      <w:pPr>
        <w:ind w:firstLine="614" w:firstLineChars="192"/>
        <w:jc w:val="center"/>
        <w:rPr>
          <w:rFonts w:ascii="Times New Roman" w:hAnsi="Times New Roman" w:eastAsia="楷体_GB2312"/>
          <w:sz w:val="32"/>
        </w:rPr>
      </w:pPr>
    </w:p>
    <w:p w14:paraId="22DED1E4">
      <w:pPr>
        <w:spacing w:line="600" w:lineRule="exact"/>
        <w:jc w:val="center"/>
        <w:rPr>
          <w:rFonts w:ascii="Times New Roman" w:hAnsi="Times New Roman" w:eastAsia="方正小标宋简体"/>
          <w:bCs/>
          <w:sz w:val="32"/>
          <w:szCs w:val="32"/>
        </w:rPr>
      </w:pPr>
      <w:r>
        <w:rPr>
          <w:rFonts w:ascii="Times New Roman" w:hAnsi="Times New Roman" w:eastAsia="楷体"/>
          <w:sz w:val="32"/>
        </w:rPr>
        <w:t xml:space="preserve">      202</w:t>
      </w:r>
      <w:r>
        <w:rPr>
          <w:rFonts w:hint="eastAsia" w:ascii="Times New Roman" w:hAnsi="Times New Roman" w:eastAsia="楷体"/>
          <w:sz w:val="32"/>
          <w:lang w:val="en-US" w:eastAsia="zh-CN"/>
        </w:rPr>
        <w:t>5</w:t>
      </w:r>
      <w:r>
        <w:rPr>
          <w:rFonts w:ascii="Times New Roman" w:hAnsi="Times New Roman" w:eastAsia="楷体_GB2312"/>
          <w:sz w:val="32"/>
        </w:rPr>
        <w:t>年</w:t>
      </w:r>
      <w:r>
        <w:rPr>
          <w:rFonts w:hint="eastAsia" w:ascii="Times New Roman" w:hAnsi="Times New Roman" w:eastAsia="楷体"/>
          <w:sz w:val="32"/>
          <w:lang w:val="en-US" w:eastAsia="zh-CN"/>
        </w:rPr>
        <w:t>3</w:t>
      </w:r>
      <w:r>
        <w:rPr>
          <w:rFonts w:ascii="Times New Roman" w:hAnsi="Times New Roman" w:eastAsia="楷体_GB2312"/>
          <w:sz w:val="32"/>
        </w:rPr>
        <w:t>月</w:t>
      </w:r>
      <w:r>
        <w:rPr>
          <w:rFonts w:ascii="Times New Roman" w:hAnsi="Times New Roman" w:eastAsia="楷体_GB2312"/>
          <w:sz w:val="32"/>
        </w:rPr>
        <w:br w:type="page"/>
      </w:r>
      <w:r>
        <w:rPr>
          <w:rFonts w:ascii="Times New Roman" w:hAnsi="Times New Roman" w:eastAsia="方正小标宋简体"/>
          <w:bCs/>
          <w:sz w:val="32"/>
          <w:szCs w:val="32"/>
        </w:rPr>
        <w:t>202</w:t>
      </w:r>
      <w:r>
        <w:rPr>
          <w:rFonts w:hint="eastAsia" w:ascii="Times New Roman" w:hAnsi="Times New Roman" w:eastAsia="方正小标宋简体"/>
          <w:bCs/>
          <w:sz w:val="32"/>
          <w:szCs w:val="32"/>
          <w:lang w:val="en-US" w:eastAsia="zh-CN"/>
        </w:rPr>
        <w:t>4</w:t>
      </w:r>
      <w:r>
        <w:rPr>
          <w:rFonts w:ascii="Times New Roman" w:hAnsi="Times New Roman" w:eastAsia="方正小标宋简体"/>
          <w:bCs/>
          <w:sz w:val="32"/>
          <w:szCs w:val="32"/>
        </w:rPr>
        <w:t>年</w:t>
      </w:r>
      <w:r>
        <w:rPr>
          <w:rFonts w:hint="eastAsia" w:ascii="Times New Roman" w:hAnsi="Times New Roman" w:eastAsia="方正小标宋简体"/>
          <w:bCs/>
          <w:sz w:val="32"/>
          <w:szCs w:val="32"/>
          <w:lang w:val="en-US" w:eastAsia="zh-CN"/>
        </w:rPr>
        <w:t>城乡义务教育补助</w:t>
      </w:r>
      <w:r>
        <w:rPr>
          <w:rFonts w:ascii="Times New Roman" w:hAnsi="Times New Roman" w:eastAsia="方正小标宋简体"/>
          <w:bCs/>
          <w:sz w:val="32"/>
          <w:szCs w:val="32"/>
        </w:rPr>
        <w:t>经费项目</w:t>
      </w:r>
      <w:r>
        <w:rPr>
          <w:rFonts w:hint="eastAsia" w:ascii="Times New Roman" w:hAnsi="Times New Roman" w:eastAsia="方正小标宋简体"/>
          <w:bCs/>
          <w:sz w:val="32"/>
          <w:szCs w:val="32"/>
        </w:rPr>
        <w:t>部门评价</w:t>
      </w:r>
      <w:r>
        <w:rPr>
          <w:rFonts w:ascii="Times New Roman" w:hAnsi="Times New Roman" w:eastAsia="方正小标宋简体"/>
          <w:bCs/>
          <w:sz w:val="32"/>
          <w:szCs w:val="32"/>
        </w:rPr>
        <w:t>报告</w:t>
      </w:r>
    </w:p>
    <w:p w14:paraId="7D5D29D3">
      <w:pPr>
        <w:spacing w:line="580" w:lineRule="exact"/>
        <w:jc w:val="center"/>
        <w:rPr>
          <w:rFonts w:ascii="Times New Roman" w:hAnsi="Times New Roman" w:eastAsia="仿宋_GB2312"/>
          <w:bCs/>
          <w:sz w:val="32"/>
          <w:szCs w:val="32"/>
        </w:rPr>
      </w:pPr>
    </w:p>
    <w:p w14:paraId="0B5D8DD9">
      <w:pPr>
        <w:widowControl/>
        <w:spacing w:line="560" w:lineRule="exact"/>
        <w:ind w:firstLine="640" w:firstLineChars="200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一、项目基本情况</w:t>
      </w:r>
    </w:p>
    <w:p w14:paraId="459A1312">
      <w:pPr>
        <w:widowControl/>
        <w:spacing w:line="560" w:lineRule="exact"/>
        <w:ind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（一）项目概况</w:t>
      </w:r>
    </w:p>
    <w:p w14:paraId="2C997083">
      <w:pPr>
        <w:widowControl/>
        <w:spacing w:line="560" w:lineRule="exact"/>
        <w:ind w:firstLine="640" w:firstLineChars="200"/>
        <w:rPr>
          <w:rFonts w:ascii="Times New Roman" w:hAnsi="Times New Roman" w:eastAsia="仿宋_GB2312"/>
          <w:snapToGrid w:val="0"/>
          <w:color w:val="000000"/>
          <w:sz w:val="32"/>
          <w:szCs w:val="32"/>
        </w:rPr>
      </w:pP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1.项目立项情况</w:t>
      </w:r>
    </w:p>
    <w:p w14:paraId="1D718D1B">
      <w:pPr>
        <w:widowControl/>
        <w:spacing w:line="560" w:lineRule="exact"/>
        <w:ind w:firstLine="640" w:firstLineChars="200"/>
        <w:rPr>
          <w:rFonts w:ascii="Times New Roman" w:hAnsi="Times New Roman" w:eastAsia="仿宋_GB2312"/>
          <w:snapToGrid w:val="0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（1）、立项背景：保障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  <w:lang w:val="en-US" w:eastAsia="zh-CN"/>
        </w:rPr>
        <w:t>学校工作正常运转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。</w:t>
      </w:r>
    </w:p>
    <w:p w14:paraId="39B2B06D">
      <w:pPr>
        <w:widowControl/>
        <w:spacing w:line="560" w:lineRule="exact"/>
        <w:ind w:firstLine="640" w:firstLineChars="200"/>
        <w:rPr>
          <w:rFonts w:ascii="Times New Roman" w:hAnsi="Times New Roman" w:eastAsia="仿宋_GB2312"/>
          <w:snapToGrid w:val="0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（2）、立项依据：财政部关于印发《项目支出绩效评价管理办法》的通知和《合肥市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  <w:lang w:val="en-US" w:eastAsia="zh-CN"/>
        </w:rPr>
        <w:t>第五十五中学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部门绩效自评办法》</w:t>
      </w:r>
    </w:p>
    <w:p w14:paraId="73556406">
      <w:pPr>
        <w:widowControl/>
        <w:spacing w:line="560" w:lineRule="exact"/>
        <w:ind w:firstLine="640" w:firstLineChars="200"/>
        <w:rPr>
          <w:rFonts w:ascii="Times New Roman" w:hAnsi="Times New Roman" w:eastAsia="仿宋_GB2312"/>
          <w:snapToGrid w:val="0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（3）、主要内容：保障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  <w:lang w:val="en-US" w:eastAsia="zh-CN"/>
        </w:rPr>
        <w:t>学校工作正常运转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。</w:t>
      </w:r>
    </w:p>
    <w:p w14:paraId="1D97D7FA">
      <w:pPr>
        <w:widowControl/>
        <w:spacing w:line="560" w:lineRule="exact"/>
        <w:ind w:firstLine="640" w:firstLineChars="200"/>
        <w:rPr>
          <w:rFonts w:ascii="Times New Roman" w:hAnsi="Times New Roman" w:eastAsia="仿宋_GB2312"/>
          <w:snapToGrid w:val="0"/>
          <w:color w:val="000000"/>
          <w:sz w:val="32"/>
          <w:szCs w:val="32"/>
        </w:rPr>
      </w:pP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（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4</w:t>
      </w: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）、覆盖面：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  <w:lang w:val="en-US" w:eastAsia="zh-CN"/>
        </w:rPr>
        <w:t>全校</w:t>
      </w: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。</w:t>
      </w:r>
    </w:p>
    <w:p w14:paraId="2373C565">
      <w:pPr>
        <w:widowControl/>
        <w:spacing w:line="560" w:lineRule="exact"/>
        <w:ind w:firstLine="640" w:firstLineChars="200"/>
        <w:rPr>
          <w:rFonts w:ascii="Times New Roman" w:hAnsi="Times New Roman" w:eastAsia="仿宋_GB2312"/>
          <w:snapToGrid w:val="0"/>
          <w:color w:val="000000"/>
          <w:sz w:val="32"/>
          <w:szCs w:val="32"/>
        </w:rPr>
      </w:pP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（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5</w:t>
      </w: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）、资产总量：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  <w:lang w:val="en-US" w:eastAsia="zh-CN"/>
        </w:rPr>
        <w:t>100.65</w:t>
      </w: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万元。</w:t>
      </w:r>
    </w:p>
    <w:p w14:paraId="4E672FC9">
      <w:pPr>
        <w:widowControl/>
        <w:spacing w:line="560" w:lineRule="exact"/>
        <w:ind w:firstLine="640" w:firstLineChars="200"/>
        <w:rPr>
          <w:rFonts w:ascii="Times New Roman" w:hAnsi="Times New Roman" w:eastAsia="仿宋_GB2312"/>
          <w:snapToGrid w:val="0"/>
          <w:color w:val="000000"/>
          <w:sz w:val="32"/>
          <w:szCs w:val="32"/>
        </w:rPr>
      </w:pP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（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6</w:t>
      </w: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）、资金类型：财政资金。</w:t>
      </w:r>
    </w:p>
    <w:p w14:paraId="3C0012DB">
      <w:pPr>
        <w:widowControl/>
        <w:spacing w:line="560" w:lineRule="exact"/>
        <w:ind w:firstLine="640" w:firstLineChars="200"/>
        <w:rPr>
          <w:rFonts w:ascii="Times New Roman" w:hAnsi="Times New Roman" w:eastAsia="仿宋_GB2312"/>
          <w:snapToGrid w:val="0"/>
          <w:color w:val="000000"/>
          <w:sz w:val="32"/>
          <w:szCs w:val="32"/>
        </w:rPr>
      </w:pP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（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7</w:t>
      </w: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）、项目类型：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经常性业务经费。</w:t>
      </w:r>
    </w:p>
    <w:p w14:paraId="0BC04E4E">
      <w:pPr>
        <w:widowControl/>
        <w:spacing w:line="560" w:lineRule="exact"/>
        <w:ind w:firstLine="640" w:firstLineChars="200"/>
        <w:rPr>
          <w:rFonts w:ascii="Times New Roman" w:hAnsi="Times New Roman" w:eastAsia="仿宋_GB2312"/>
          <w:snapToGrid w:val="0"/>
          <w:color w:val="000000"/>
          <w:sz w:val="32"/>
          <w:szCs w:val="32"/>
        </w:rPr>
      </w:pP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（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8</w:t>
      </w: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）、实施周期：一年。</w:t>
      </w:r>
    </w:p>
    <w:p w14:paraId="56A9DB31">
      <w:pPr>
        <w:widowControl/>
        <w:spacing w:line="560" w:lineRule="exact"/>
        <w:ind w:firstLine="640" w:firstLineChars="200"/>
        <w:rPr>
          <w:rFonts w:ascii="Times New Roman" w:hAnsi="Times New Roman" w:eastAsia="仿宋_GB2312"/>
          <w:snapToGrid w:val="0"/>
          <w:color w:val="000000"/>
          <w:sz w:val="32"/>
          <w:szCs w:val="32"/>
        </w:rPr>
      </w:pP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（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9</w:t>
      </w: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）、项目实施主管部门：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合</w:t>
      </w: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肥市瑶海区教育体育局。</w:t>
      </w:r>
    </w:p>
    <w:p w14:paraId="1603C1B8">
      <w:pPr>
        <w:widowControl/>
        <w:spacing w:line="560" w:lineRule="exact"/>
        <w:ind w:firstLine="640" w:firstLineChars="200"/>
        <w:rPr>
          <w:rFonts w:ascii="Times New Roman" w:hAnsi="Times New Roman" w:eastAsia="仿宋_GB2312"/>
          <w:snapToGrid w:val="0"/>
          <w:color w:val="000000"/>
          <w:sz w:val="32"/>
          <w:szCs w:val="32"/>
        </w:rPr>
      </w:pP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2.项目执行情况</w:t>
      </w:r>
    </w:p>
    <w:p w14:paraId="641AC7E9">
      <w:pPr>
        <w:widowControl/>
        <w:spacing w:line="560" w:lineRule="exact"/>
        <w:ind w:firstLine="640" w:firstLineChars="200"/>
        <w:rPr>
          <w:rFonts w:ascii="Times New Roman" w:hAnsi="Times New Roman" w:eastAsia="仿宋_GB2312"/>
          <w:snapToGrid w:val="0"/>
          <w:color w:val="000000"/>
          <w:sz w:val="32"/>
          <w:szCs w:val="32"/>
        </w:rPr>
      </w:pP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（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1</w:t>
      </w: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）、项目实施过程：全年按计划实行。</w:t>
      </w:r>
    </w:p>
    <w:p w14:paraId="165F9F6F">
      <w:pPr>
        <w:widowControl/>
        <w:spacing w:line="560" w:lineRule="exact"/>
        <w:ind w:firstLine="640" w:firstLineChars="200"/>
        <w:rPr>
          <w:rFonts w:ascii="Times New Roman" w:hAnsi="Times New Roman" w:eastAsia="仿宋_GB2312"/>
          <w:snapToGrid w:val="0"/>
          <w:color w:val="000000"/>
          <w:sz w:val="32"/>
          <w:szCs w:val="32"/>
        </w:rPr>
      </w:pP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（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2</w:t>
      </w: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）、项目进展及任务完成情况：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  <w:lang w:val="en-US" w:eastAsia="zh-CN"/>
        </w:rPr>
        <w:t>全</w:t>
      </w: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年按计划完成任务。</w:t>
      </w:r>
    </w:p>
    <w:p w14:paraId="4413AE76">
      <w:pPr>
        <w:widowControl/>
        <w:spacing w:line="560" w:lineRule="exact"/>
        <w:ind w:firstLine="640" w:firstLineChars="200"/>
        <w:rPr>
          <w:rFonts w:ascii="Times New Roman" w:hAnsi="Times New Roman" w:eastAsia="仿宋_GB2312"/>
          <w:snapToGrid w:val="0"/>
          <w:color w:val="000000"/>
          <w:sz w:val="32"/>
          <w:szCs w:val="32"/>
        </w:rPr>
      </w:pP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（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3</w:t>
      </w: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）、预算执行情况：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  <w:lang w:val="en-US" w:eastAsia="zh-CN"/>
        </w:rPr>
        <w:t>全</w:t>
      </w: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年预算执行较好。</w:t>
      </w:r>
    </w:p>
    <w:p w14:paraId="2D09C9E0">
      <w:pPr>
        <w:widowControl/>
        <w:spacing w:line="560" w:lineRule="exact"/>
        <w:ind w:firstLine="640" w:firstLineChars="200"/>
        <w:rPr>
          <w:rFonts w:ascii="Times New Roman" w:hAnsi="Times New Roman" w:eastAsia="仿宋_GB2312"/>
          <w:snapToGrid w:val="0"/>
          <w:color w:val="000000"/>
          <w:sz w:val="32"/>
          <w:szCs w:val="32"/>
        </w:rPr>
      </w:pP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（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4</w:t>
      </w: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）、项目资金投入和使用情况：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  <w:lang w:val="en-US" w:eastAsia="zh-CN"/>
        </w:rPr>
        <w:t>全</w:t>
      </w: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年按计划投入与正常使用。</w:t>
      </w:r>
    </w:p>
    <w:p w14:paraId="40843262">
      <w:pPr>
        <w:widowControl/>
        <w:spacing w:line="560" w:lineRule="exact"/>
        <w:ind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（二）项目绩效目标</w:t>
      </w:r>
    </w:p>
    <w:p w14:paraId="756C542F">
      <w:pPr>
        <w:spacing w:line="56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1.项目年度总体目标</w:t>
      </w:r>
    </w:p>
    <w:p w14:paraId="19E9C36C">
      <w:pPr>
        <w:spacing w:line="560" w:lineRule="exact"/>
        <w:ind w:firstLine="640" w:firstLineChars="200"/>
        <w:rPr>
          <w:rFonts w:hint="default" w:ascii="Times New Roman" w:hAnsi="Times New Roman" w:eastAsia="仿宋_GB2312"/>
          <w:color w:val="000000"/>
          <w:sz w:val="32"/>
          <w:szCs w:val="32"/>
          <w:lang w:val="en-US" w:eastAsia="zh-CN"/>
        </w:rPr>
      </w:pPr>
      <w:r>
        <w:rPr>
          <w:rFonts w:ascii="Times New Roman" w:hAnsi="Times New Roman" w:eastAsia="仿宋_GB2312"/>
          <w:sz w:val="32"/>
          <w:szCs w:val="32"/>
        </w:rPr>
        <w:t>202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4</w:t>
      </w:r>
      <w:r>
        <w:rPr>
          <w:rFonts w:ascii="Times New Roman" w:hAnsi="Times New Roman" w:eastAsia="仿宋_GB2312"/>
          <w:sz w:val="32"/>
          <w:szCs w:val="32"/>
        </w:rPr>
        <w:t>年度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城乡义务教育补助经费</w:t>
      </w:r>
      <w:r>
        <w:rPr>
          <w:rFonts w:ascii="Times New Roman" w:hAnsi="Times New Roman" w:eastAsia="仿宋_GB2312"/>
          <w:color w:val="000000"/>
          <w:sz w:val="32"/>
          <w:szCs w:val="32"/>
        </w:rPr>
        <w:t>项目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申请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100.65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万元财政资金，主要用于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学校教育教学工作经费。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通过此项目的实施，学校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积极开展各项教育教学活动，教育教学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工作质量显著提高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促进学校又快又好发展。</w:t>
      </w:r>
    </w:p>
    <w:p w14:paraId="3A9454B9">
      <w:pPr>
        <w:spacing w:line="56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2.总体目标完成情况</w:t>
      </w:r>
    </w:p>
    <w:p w14:paraId="604AF3B5">
      <w:pPr>
        <w:spacing w:line="56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</w:rPr>
        <w:t>学校构建多元特色发展，兴办科技教育，加强对学生科学素养、信息素养和创新能力的培养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开展教育教学活动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 xml:space="preserve">     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余次，教育教学质量大幅提升，教师队伍建设成果显著。立体化的质量管理体系下，学校近年取得了良好的教育教学效果和社会满意度。</w:t>
      </w:r>
    </w:p>
    <w:p w14:paraId="59D1D07B">
      <w:pPr>
        <w:spacing w:line="56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二、绩效</w:t>
      </w:r>
      <w:r>
        <w:rPr>
          <w:rFonts w:hint="eastAsia" w:ascii="Times New Roman" w:hAnsi="Times New Roman" w:eastAsia="黑体"/>
          <w:color w:val="000000"/>
          <w:sz w:val="32"/>
          <w:szCs w:val="32"/>
        </w:rPr>
        <w:t>评价</w:t>
      </w:r>
      <w:r>
        <w:rPr>
          <w:rFonts w:ascii="Times New Roman" w:hAnsi="Times New Roman" w:eastAsia="黑体"/>
          <w:color w:val="000000"/>
          <w:sz w:val="32"/>
          <w:szCs w:val="32"/>
        </w:rPr>
        <w:t>结论</w:t>
      </w:r>
    </w:p>
    <w:p w14:paraId="076664B7">
      <w:pPr>
        <w:widowControl/>
        <w:spacing w:line="560" w:lineRule="exact"/>
        <w:ind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（一）总体结论</w:t>
      </w:r>
    </w:p>
    <w:p w14:paraId="773645F7">
      <w:pPr>
        <w:ind w:firstLine="640" w:firstLineChars="200"/>
        <w:rPr>
          <w:rFonts w:hint="default" w:ascii="Times New Roman" w:hAnsi="Times New Roman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2024年度，城乡义务教育补助经费项目申请100.65万元财政资金，开展多次教育教学活动，已完成年度设定的绩效目标，达到项目预期效果。具体包括：深入落实“学在瑶海 活力教育”十大行动3.0版，坚持人才兴教战略行动、五育融合固本行动、优质均衡发展行动、教育质量提升行动、数字教育赋能行动、体教融合促进行动、阳光心育成长行动、平安校园守护行动。结合学校实际，持续推进教师教育教学教研能力提升培训，扎实推进教学改革，推进教师、行政团队读书共同体建设，打造“活力 书香坊”特色读书品牌，加强校园文化建设和改造，深入建设“五育润心 乐泽少年”系列品质活动建设，全面推动智慧课堂建设和使用，开展科学家进校园、法治副校长进校园等活动，开展系列特色家校共育活动，利用好“三宽”平台，加强动态、连续、科学的家校共育机制建设。学校的整体教育教学水平得到显著提高，学生各类活动开展安全有序，学生德智体美劳等得到了全面发展，学校的各项活动培养了学生的核心素养，增强了学生的各种能力，提升了学生自身素质，得到上级主管部门、社会和家长的普遍认可和肯定。</w:t>
      </w:r>
    </w:p>
    <w:p w14:paraId="02BE344A">
      <w:pPr>
        <w:widowControl/>
        <w:spacing w:line="600" w:lineRule="exact"/>
        <w:ind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（二）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</w:rPr>
        <w:t>评价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结果</w:t>
      </w:r>
    </w:p>
    <w:p w14:paraId="051D0A00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经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评价</w:t>
      </w:r>
      <w:r>
        <w:rPr>
          <w:rFonts w:ascii="Times New Roman" w:hAnsi="Times New Roman" w:eastAsia="仿宋_GB2312"/>
          <w:color w:val="000000"/>
          <w:sz w:val="32"/>
          <w:szCs w:val="32"/>
        </w:rPr>
        <w:t>，</w:t>
      </w:r>
      <w:r>
        <w:rPr>
          <w:rFonts w:ascii="Times New Roman" w:hAnsi="Times New Roman" w:eastAsia="仿宋_GB2312"/>
          <w:sz w:val="32"/>
          <w:szCs w:val="32"/>
        </w:rPr>
        <w:t>202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4</w:t>
      </w:r>
      <w:r>
        <w:rPr>
          <w:rFonts w:ascii="Times New Roman" w:hAnsi="Times New Roman" w:eastAsia="仿宋_GB2312"/>
          <w:color w:val="000000"/>
          <w:sz w:val="32"/>
          <w:szCs w:val="32"/>
        </w:rPr>
        <w:t>年度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城乡义务教育补助经费</w:t>
      </w:r>
      <w:r>
        <w:rPr>
          <w:rFonts w:ascii="Times New Roman" w:hAnsi="Times New Roman" w:eastAsia="仿宋_GB2312"/>
          <w:sz w:val="32"/>
          <w:szCs w:val="32"/>
        </w:rPr>
        <w:t>项目</w:t>
      </w:r>
      <w:r>
        <w:rPr>
          <w:rFonts w:ascii="Times New Roman" w:hAnsi="Times New Roman" w:eastAsia="仿宋_GB2312"/>
          <w:color w:val="000000"/>
          <w:sz w:val="32"/>
          <w:szCs w:val="32"/>
        </w:rPr>
        <w:t>综合得分为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评价</w:t>
      </w:r>
      <w:r>
        <w:rPr>
          <w:rFonts w:ascii="Times New Roman" w:hAnsi="Times New Roman" w:eastAsia="仿宋_GB2312"/>
          <w:color w:val="000000"/>
          <w:sz w:val="32"/>
          <w:szCs w:val="32"/>
        </w:rPr>
        <w:t>结果为“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优</w:t>
      </w:r>
      <w:r>
        <w:rPr>
          <w:rFonts w:ascii="Times New Roman" w:hAnsi="Times New Roman" w:eastAsia="仿宋_GB2312"/>
          <w:color w:val="000000"/>
          <w:sz w:val="32"/>
          <w:szCs w:val="32"/>
        </w:rPr>
        <w:t>”。</w:t>
      </w:r>
    </w:p>
    <w:p w14:paraId="3386C589">
      <w:pPr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三、指标分析</w:t>
      </w:r>
    </w:p>
    <w:p w14:paraId="4F86264B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202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4</w:t>
      </w:r>
      <w:r>
        <w:rPr>
          <w:rFonts w:ascii="Times New Roman" w:hAnsi="Times New Roman" w:eastAsia="仿宋_GB2312"/>
          <w:color w:val="000000"/>
          <w:sz w:val="32"/>
          <w:szCs w:val="32"/>
        </w:rPr>
        <w:t>年度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城乡义务教育补助经费</w:t>
      </w:r>
      <w:r>
        <w:rPr>
          <w:rFonts w:ascii="Times New Roman" w:hAnsi="Times New Roman" w:eastAsia="仿宋_GB2312"/>
          <w:color w:val="000000"/>
          <w:sz w:val="32"/>
          <w:szCs w:val="32"/>
        </w:rPr>
        <w:t>项目绩效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评价</w:t>
      </w:r>
      <w:r>
        <w:rPr>
          <w:rFonts w:ascii="Times New Roman" w:hAnsi="Times New Roman" w:eastAsia="仿宋_GB2312"/>
          <w:color w:val="000000"/>
          <w:sz w:val="32"/>
          <w:szCs w:val="32"/>
        </w:rPr>
        <w:t>指标体系设置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预算执行率和</w:t>
      </w:r>
      <w:r>
        <w:rPr>
          <w:rFonts w:hint="eastAsia" w:ascii="Times New Roman" w:hAnsi="Times New Roman" w:eastAsia="仿宋_GB2312"/>
          <w:sz w:val="32"/>
          <w:szCs w:val="32"/>
        </w:rPr>
        <w:t>3</w:t>
      </w:r>
      <w:r>
        <w:rPr>
          <w:rFonts w:ascii="Times New Roman" w:hAnsi="Times New Roman" w:eastAsia="仿宋_GB2312"/>
          <w:color w:val="000000"/>
          <w:sz w:val="32"/>
          <w:szCs w:val="32"/>
        </w:rPr>
        <w:t>个一级指标，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7</w:t>
      </w:r>
      <w:r>
        <w:rPr>
          <w:rFonts w:ascii="Times New Roman" w:hAnsi="Times New Roman" w:eastAsia="仿宋_GB2312"/>
          <w:color w:val="000000"/>
          <w:sz w:val="32"/>
          <w:szCs w:val="32"/>
        </w:rPr>
        <w:t>个二级指标，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7</w:t>
      </w:r>
      <w:r>
        <w:rPr>
          <w:rFonts w:ascii="Times New Roman" w:hAnsi="Times New Roman" w:eastAsia="仿宋_GB2312"/>
          <w:color w:val="000000"/>
          <w:sz w:val="32"/>
          <w:szCs w:val="32"/>
        </w:rPr>
        <w:t>个三级指标，各项指标评分情况分析如下：</w:t>
      </w:r>
    </w:p>
    <w:p w14:paraId="4E8BE19D">
      <w:pPr>
        <w:spacing w:line="592" w:lineRule="exact"/>
        <w:ind w:firstLine="643" w:firstLineChars="200"/>
        <w:rPr>
          <w:rFonts w:ascii="Times New Roman" w:hAnsi="Times New Roman" w:eastAsia="楷体_GB2312"/>
          <w:b/>
          <w:bCs/>
          <w:sz w:val="32"/>
        </w:rPr>
      </w:pPr>
      <w:r>
        <w:rPr>
          <w:rFonts w:ascii="Times New Roman" w:hAnsi="Times New Roman" w:eastAsia="楷体_GB2312"/>
          <w:b/>
          <w:bCs/>
          <w:sz w:val="32"/>
        </w:rPr>
        <w:t>（一）预算执行率（满分10分，实得</w:t>
      </w:r>
      <w:r>
        <w:rPr>
          <w:rFonts w:hint="eastAsia" w:ascii="Times New Roman" w:hAnsi="Times New Roman" w:eastAsia="楷体_GB2312"/>
          <w:b/>
          <w:bCs/>
          <w:sz w:val="32"/>
          <w:lang w:val="en-US" w:eastAsia="zh-CN"/>
        </w:rPr>
        <w:t>10</w:t>
      </w:r>
      <w:r>
        <w:rPr>
          <w:rFonts w:ascii="Times New Roman" w:hAnsi="Times New Roman" w:eastAsia="楷体_GB2312"/>
          <w:b/>
          <w:bCs/>
          <w:sz w:val="32"/>
        </w:rPr>
        <w:t>分）</w:t>
      </w:r>
    </w:p>
    <w:p w14:paraId="46DF1134">
      <w:pPr>
        <w:spacing w:line="592" w:lineRule="exact"/>
        <w:ind w:right="-283"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202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4</w:t>
      </w:r>
      <w:r>
        <w:rPr>
          <w:rFonts w:ascii="Times New Roman" w:hAnsi="Times New Roman" w:eastAsia="仿宋_GB2312"/>
          <w:color w:val="000000"/>
          <w:sz w:val="32"/>
          <w:szCs w:val="32"/>
        </w:rPr>
        <w:t>年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，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城乡义务教育补助经费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项目</w:t>
      </w:r>
      <w:r>
        <w:rPr>
          <w:rFonts w:ascii="Times New Roman" w:hAnsi="Times New Roman" w:eastAsia="仿宋_GB2312"/>
          <w:color w:val="000000"/>
          <w:sz w:val="32"/>
          <w:szCs w:val="32"/>
        </w:rPr>
        <w:t>全年预算安排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100.65</w:t>
      </w:r>
      <w:r>
        <w:rPr>
          <w:rFonts w:ascii="Times New Roman" w:hAnsi="Times New Roman" w:eastAsia="仿宋_GB2312"/>
          <w:color w:val="000000"/>
          <w:sz w:val="32"/>
          <w:szCs w:val="32"/>
        </w:rPr>
        <w:t>万元，全年执行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100.65</w:t>
      </w:r>
      <w:r>
        <w:rPr>
          <w:rFonts w:ascii="Times New Roman" w:hAnsi="Times New Roman" w:eastAsia="仿宋_GB2312"/>
          <w:color w:val="000000"/>
          <w:sz w:val="32"/>
          <w:szCs w:val="32"/>
        </w:rPr>
        <w:t>万元，预算执行率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100</w:t>
      </w:r>
      <w:r>
        <w:rPr>
          <w:rFonts w:ascii="Times New Roman" w:hAnsi="Times New Roman" w:eastAsia="仿宋_GB2312"/>
          <w:color w:val="000000"/>
          <w:sz w:val="32"/>
          <w:szCs w:val="32"/>
        </w:rPr>
        <w:t>%，得分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分。</w:t>
      </w:r>
    </w:p>
    <w:p w14:paraId="702619FD">
      <w:pPr>
        <w:widowControl/>
        <w:spacing w:line="600" w:lineRule="exact"/>
        <w:ind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</w:rPr>
        <w:t>二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）产出指标（满分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</w:rPr>
        <w:t>50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val="en-US" w:eastAsia="zh-CN"/>
        </w:rPr>
        <w:t>50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分）</w:t>
      </w:r>
    </w:p>
    <w:p w14:paraId="77012CE9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1.数量指标（满分</w:t>
      </w:r>
      <w:r>
        <w:rPr>
          <w:rFonts w:hint="eastAsia" w:ascii="Times New Roman" w:hAnsi="Times New Roman" w:eastAsia="仿宋_GB2312"/>
          <w:sz w:val="32"/>
          <w:szCs w:val="32"/>
        </w:rPr>
        <w:t>1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2</w:t>
      </w:r>
      <w:r>
        <w:rPr>
          <w:rFonts w:ascii="Times New Roman" w:hAnsi="Times New Roman" w:eastAsia="仿宋_GB2312"/>
          <w:sz w:val="32"/>
          <w:szCs w:val="32"/>
        </w:rPr>
        <w:t>分，</w:t>
      </w:r>
      <w:r>
        <w:rPr>
          <w:rFonts w:ascii="Times New Roman" w:hAnsi="Times New Roman" w:eastAsia="仿宋_GB2312"/>
          <w:color w:val="000000"/>
          <w:sz w:val="32"/>
          <w:szCs w:val="32"/>
        </w:rPr>
        <w:t>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12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 w14:paraId="0B7D7BD8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年度设定的数量指标为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全校学生人数等于1043人</w:t>
      </w:r>
      <w:r>
        <w:rPr>
          <w:rFonts w:ascii="Times New Roman" w:hAnsi="Times New Roman" w:eastAsia="仿宋_GB2312"/>
          <w:color w:val="000000"/>
          <w:sz w:val="32"/>
          <w:szCs w:val="32"/>
        </w:rPr>
        <w:t>；截至202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4</w:t>
      </w:r>
      <w:r>
        <w:rPr>
          <w:rFonts w:ascii="Times New Roman" w:hAnsi="Times New Roman" w:eastAsia="仿宋_GB2312"/>
          <w:color w:val="000000"/>
          <w:sz w:val="32"/>
          <w:szCs w:val="32"/>
        </w:rPr>
        <w:t>年底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服务的全校学生数量为1043人</w:t>
      </w:r>
      <w:r>
        <w:rPr>
          <w:rFonts w:ascii="Times New Roman" w:hAnsi="Times New Roman" w:eastAsia="仿宋_GB2312"/>
          <w:color w:val="000000"/>
          <w:sz w:val="32"/>
          <w:szCs w:val="32"/>
        </w:rPr>
        <w:t>，实际完成率为</w:t>
      </w:r>
      <w:bookmarkStart w:id="0" w:name="_GoBack"/>
      <w:bookmarkEnd w:id="0"/>
      <w:r>
        <w:rPr>
          <w:rFonts w:ascii="Times New Roman" w:hAnsi="Times New Roman" w:eastAsia="仿宋_GB2312"/>
          <w:color w:val="000000"/>
          <w:sz w:val="32"/>
          <w:szCs w:val="32"/>
        </w:rPr>
        <w:t>100%，得分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12</w:t>
      </w:r>
      <w:r>
        <w:rPr>
          <w:rFonts w:ascii="Times New Roman" w:hAnsi="Times New Roman" w:eastAsia="仿宋_GB2312"/>
          <w:color w:val="000000"/>
          <w:sz w:val="32"/>
          <w:szCs w:val="32"/>
        </w:rPr>
        <w:t>分。</w:t>
      </w:r>
    </w:p>
    <w:p w14:paraId="61E66B18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2.质量指标（满分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1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2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分，实得1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2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 w14:paraId="747E57CC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年度设定的质量指标为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教育教学活动符合相关要求</w:t>
      </w:r>
      <w:r>
        <w:rPr>
          <w:rFonts w:ascii="Times New Roman" w:hAnsi="Times New Roman" w:eastAsia="仿宋_GB2312"/>
          <w:color w:val="000000"/>
          <w:sz w:val="32"/>
          <w:szCs w:val="32"/>
        </w:rPr>
        <w:t>；实际完成情况为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符合，达成预期指标</w:t>
      </w:r>
      <w:r>
        <w:rPr>
          <w:rFonts w:ascii="Times New Roman" w:hAnsi="Times New Roman" w:eastAsia="仿宋_GB2312"/>
          <w:color w:val="000000"/>
          <w:sz w:val="32"/>
          <w:szCs w:val="32"/>
        </w:rPr>
        <w:t>，得分1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2</w:t>
      </w:r>
      <w:r>
        <w:rPr>
          <w:rFonts w:ascii="Times New Roman" w:hAnsi="Times New Roman" w:eastAsia="仿宋_GB2312"/>
          <w:color w:val="000000"/>
          <w:sz w:val="32"/>
          <w:szCs w:val="32"/>
        </w:rPr>
        <w:t>分。</w:t>
      </w:r>
    </w:p>
    <w:p w14:paraId="14640699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3.时效指标（满分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1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3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分，实得1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3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 w14:paraId="4BCB704E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年度设定的时效指标为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项目完成时间</w:t>
      </w:r>
      <w:r>
        <w:rPr>
          <w:rFonts w:ascii="Times New Roman" w:hAnsi="Times New Roman" w:eastAsia="仿宋_GB2312"/>
          <w:color w:val="000000"/>
          <w:sz w:val="32"/>
          <w:szCs w:val="32"/>
        </w:rPr>
        <w:t>；实际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2024年年底前</w:t>
      </w:r>
      <w:r>
        <w:rPr>
          <w:rFonts w:ascii="Times New Roman" w:hAnsi="Times New Roman" w:eastAsia="仿宋_GB2312"/>
          <w:color w:val="000000"/>
          <w:sz w:val="32"/>
          <w:szCs w:val="32"/>
        </w:rPr>
        <w:t>完成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达成预期指标</w:t>
      </w:r>
      <w:r>
        <w:rPr>
          <w:rFonts w:ascii="Times New Roman" w:hAnsi="Times New Roman" w:eastAsia="仿宋_GB2312"/>
          <w:b/>
          <w:color w:val="000000"/>
          <w:sz w:val="32"/>
          <w:szCs w:val="32"/>
        </w:rPr>
        <w:t>，</w:t>
      </w:r>
      <w:r>
        <w:rPr>
          <w:rFonts w:ascii="Times New Roman" w:hAnsi="Times New Roman" w:eastAsia="仿宋_GB2312"/>
          <w:color w:val="000000"/>
          <w:sz w:val="32"/>
          <w:szCs w:val="32"/>
        </w:rPr>
        <w:t>得分1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3</w:t>
      </w:r>
      <w:r>
        <w:rPr>
          <w:rFonts w:ascii="Times New Roman" w:hAnsi="Times New Roman" w:eastAsia="仿宋_GB2312"/>
          <w:color w:val="000000"/>
          <w:sz w:val="32"/>
          <w:szCs w:val="32"/>
        </w:rPr>
        <w:t>分。</w:t>
      </w:r>
    </w:p>
    <w:p w14:paraId="5BC426E3">
      <w:pPr>
        <w:spacing w:line="60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4.成本指标（满分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1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3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分，实得1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3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  <w:r>
        <w:rPr>
          <w:rFonts w:ascii="Times New Roman" w:hAnsi="Times New Roman" w:eastAsia="仿宋_GB2312"/>
          <w:sz w:val="32"/>
          <w:szCs w:val="32"/>
        </w:rPr>
        <w:tab/>
      </w:r>
    </w:p>
    <w:p w14:paraId="5E43E400">
      <w:pPr>
        <w:spacing w:line="600" w:lineRule="exact"/>
        <w:ind w:firstLine="640" w:firstLineChars="200"/>
        <w:rPr>
          <w:rFonts w:ascii="Times New Roman" w:hAnsi="Times New Roman" w:eastAsia="仿宋_GB2312"/>
          <w:color w:val="FF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年度设定的成本指标为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本年成本</w:t>
      </w:r>
      <w:r>
        <w:rPr>
          <w:rFonts w:ascii="Times New Roman" w:hAnsi="Times New Roman" w:eastAsia="仿宋_GB2312"/>
          <w:color w:val="000000"/>
          <w:sz w:val="32"/>
          <w:szCs w:val="32"/>
        </w:rPr>
        <w:t>；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年度指标值为等于100.65万元，实际完成指标值为100.65万元，成本指标实际完成值等于年度指标值，</w:t>
      </w:r>
      <w:r>
        <w:rPr>
          <w:rFonts w:ascii="Times New Roman" w:hAnsi="Times New Roman" w:eastAsia="仿宋_GB2312"/>
          <w:color w:val="000000"/>
          <w:sz w:val="32"/>
          <w:szCs w:val="32"/>
        </w:rPr>
        <w:t>得分1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3</w:t>
      </w:r>
      <w:r>
        <w:rPr>
          <w:rFonts w:ascii="Times New Roman" w:hAnsi="Times New Roman" w:eastAsia="仿宋_GB2312"/>
          <w:color w:val="000000"/>
          <w:sz w:val="32"/>
          <w:szCs w:val="32"/>
        </w:rPr>
        <w:t>分。</w:t>
      </w:r>
    </w:p>
    <w:p w14:paraId="28740D5E">
      <w:pPr>
        <w:widowControl/>
        <w:spacing w:line="600" w:lineRule="exact"/>
        <w:ind w:right="-283" w:firstLine="643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</w:rPr>
        <w:t>三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）效益指标（满分30分，实得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val="en-US" w:eastAsia="zh-CN"/>
        </w:rPr>
        <w:t>30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分）</w:t>
      </w:r>
    </w:p>
    <w:p w14:paraId="52B021C5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1.社会效益指标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对教育质量的提升效果明显，达成预期指标。</w:t>
      </w:r>
      <w:r>
        <w:rPr>
          <w:rFonts w:ascii="Times New Roman" w:hAnsi="Times New Roman" w:eastAsia="仿宋_GB2312"/>
          <w:color w:val="000000"/>
          <w:sz w:val="32"/>
          <w:szCs w:val="32"/>
        </w:rPr>
        <w:t>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15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15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 w14:paraId="08586284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2</w:t>
      </w:r>
      <w:r>
        <w:rPr>
          <w:rFonts w:ascii="Times New Roman" w:hAnsi="Times New Roman" w:eastAsia="仿宋_GB2312"/>
          <w:color w:val="000000"/>
          <w:sz w:val="32"/>
          <w:szCs w:val="32"/>
        </w:rPr>
        <w:t>.可持续影响指标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对教育提升的持续影响程度较高，达成预期指标。</w:t>
      </w:r>
      <w:r>
        <w:rPr>
          <w:rFonts w:ascii="Times New Roman" w:hAnsi="Times New Roman" w:eastAsia="仿宋_GB2312"/>
          <w:color w:val="000000"/>
          <w:sz w:val="32"/>
          <w:szCs w:val="32"/>
        </w:rPr>
        <w:t>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15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15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 w14:paraId="52E69259">
      <w:pPr>
        <w:spacing w:line="600" w:lineRule="exact"/>
        <w:ind w:right="-283" w:firstLine="643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</w:rPr>
        <w:t>四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）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</w:rPr>
        <w:t>满意度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指标（满分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</w:rPr>
        <w:t>10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分）</w:t>
      </w:r>
    </w:p>
    <w:p w14:paraId="2773FD30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</w:rPr>
        <w:t>满意度</w:t>
      </w:r>
      <w:r>
        <w:rPr>
          <w:rFonts w:ascii="Times New Roman" w:hAnsi="Times New Roman" w:eastAsia="仿宋_GB2312"/>
          <w:color w:val="000000"/>
          <w:sz w:val="32"/>
          <w:szCs w:val="32"/>
        </w:rPr>
        <w:t>指标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师生满意度达到100%。</w:t>
      </w:r>
      <w:r>
        <w:rPr>
          <w:rFonts w:ascii="Times New Roman" w:hAnsi="Times New Roman" w:eastAsia="仿宋_GB2312"/>
          <w:color w:val="000000"/>
          <w:sz w:val="32"/>
          <w:szCs w:val="32"/>
        </w:rPr>
        <w:t>（满分10分，实得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 w14:paraId="6DCBC28F">
      <w:pPr>
        <w:numPr>
          <w:ilvl w:val="0"/>
          <w:numId w:val="1"/>
        </w:numPr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存在问题</w:t>
      </w:r>
    </w:p>
    <w:p w14:paraId="2E9A8804">
      <w:pPr>
        <w:numPr>
          <w:ilvl w:val="0"/>
          <w:numId w:val="0"/>
        </w:numPr>
        <w:spacing w:line="600" w:lineRule="exact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通过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评价</w:t>
      </w:r>
      <w:r>
        <w:rPr>
          <w:rFonts w:ascii="Times New Roman" w:hAnsi="Times New Roman" w:eastAsia="仿宋_GB2312"/>
          <w:color w:val="000000"/>
          <w:sz w:val="32"/>
          <w:szCs w:val="32"/>
        </w:rPr>
        <w:t>发现，202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4</w:t>
      </w:r>
      <w:r>
        <w:rPr>
          <w:rFonts w:ascii="Times New Roman" w:hAnsi="Times New Roman" w:eastAsia="仿宋_GB2312"/>
          <w:color w:val="000000"/>
          <w:sz w:val="32"/>
          <w:szCs w:val="32"/>
        </w:rPr>
        <w:t>年度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城乡义务教育补助</w:t>
      </w:r>
      <w:r>
        <w:rPr>
          <w:rFonts w:ascii="Times New Roman" w:hAnsi="Times New Roman" w:eastAsia="仿宋_GB2312"/>
          <w:color w:val="000000"/>
          <w:sz w:val="32"/>
          <w:szCs w:val="32"/>
        </w:rPr>
        <w:t>项目实施虽取得了一定的成效，但还存在一些问题和不足，主要表现在：</w:t>
      </w:r>
    </w:p>
    <w:p w14:paraId="019EB616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一是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管理制度仍需修订</w:t>
      </w:r>
      <w:r>
        <w:rPr>
          <w:rFonts w:ascii="Times New Roman" w:hAnsi="Times New Roman" w:eastAsia="仿宋_GB2312"/>
          <w:color w:val="000000"/>
          <w:sz w:val="32"/>
          <w:szCs w:val="32"/>
        </w:rPr>
        <w:t>；</w:t>
      </w:r>
    </w:p>
    <w:p w14:paraId="29F24B23">
      <w:pPr>
        <w:spacing w:line="600" w:lineRule="exact"/>
        <w:ind w:firstLine="640" w:firstLineChars="200"/>
        <w:rPr>
          <w:rFonts w:hint="eastAsia" w:ascii="Times New Roman" w:hAnsi="Times New Roman" w:eastAsia="黑体"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二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是校本教研</w:t>
      </w:r>
      <w:r>
        <w:rPr>
          <w:rFonts w:ascii="Times New Roman" w:hAnsi="Times New Roman" w:eastAsia="仿宋_GB2312"/>
          <w:color w:val="000000"/>
          <w:sz w:val="32"/>
          <w:szCs w:val="32"/>
        </w:rPr>
        <w:t>体系有待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完善</w:t>
      </w:r>
      <w:r>
        <w:rPr>
          <w:rFonts w:ascii="Times New Roman" w:hAnsi="Times New Roman" w:eastAsia="仿宋_GB2312"/>
          <w:color w:val="000000"/>
          <w:sz w:val="32"/>
          <w:szCs w:val="32"/>
        </w:rPr>
        <w:t>。</w:t>
      </w:r>
    </w:p>
    <w:p w14:paraId="2B5FED20">
      <w:pPr>
        <w:widowControl/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五、意见和建议</w:t>
      </w:r>
    </w:p>
    <w:p w14:paraId="0BFCD87E">
      <w:pPr>
        <w:widowControl/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为进一步提高专项资金使用效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率</w:t>
      </w:r>
      <w:r>
        <w:rPr>
          <w:rFonts w:ascii="Times New Roman" w:hAnsi="Times New Roman" w:eastAsia="仿宋_GB2312"/>
          <w:color w:val="000000"/>
          <w:sz w:val="32"/>
          <w:szCs w:val="32"/>
        </w:rPr>
        <w:t>，提出如下建议：</w:t>
      </w:r>
    </w:p>
    <w:p w14:paraId="6540D0F2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一要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对学校现有的规章制度在听取广大教师意见的基础上，通过教代会集思广益进行修订完善</w:t>
      </w:r>
      <w:r>
        <w:rPr>
          <w:rFonts w:ascii="Times New Roman" w:hAnsi="Times New Roman" w:eastAsia="仿宋_GB2312"/>
          <w:color w:val="000000"/>
          <w:sz w:val="32"/>
          <w:szCs w:val="32"/>
        </w:rPr>
        <w:t>；</w:t>
      </w:r>
    </w:p>
    <w:p w14:paraId="0B1F4F65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二要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采取多种方式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扩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大名师队伍、骨干教师队伍、名班主任队伍建设。加大干部队伍的培养，通过各级层面的交流，专题培训、实践锻炼，提升干部队伍系统思维能力，逐步达到干部在管理中有体系、有章法、有规划</w:t>
      </w:r>
      <w:r>
        <w:rPr>
          <w:rFonts w:ascii="Times New Roman" w:hAnsi="Times New Roman" w:eastAsia="仿宋_GB2312"/>
          <w:color w:val="000000"/>
          <w:sz w:val="32"/>
          <w:szCs w:val="32"/>
        </w:rPr>
        <w:t>；</w:t>
      </w:r>
    </w:p>
    <w:p w14:paraId="41E19A9D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三要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常规教研围绕日常教学，注重提升教学质量，丰富研修的内容，涵盖课前、课中、课后三个环节的全过程开展研修活动。特色教研围绕教师长远发展，注重理想信念、文化底蕴、学科发展、教育理念的提升。</w:t>
      </w:r>
    </w:p>
    <w:p w14:paraId="3432015D">
      <w:pPr>
        <w:widowControl/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六、</w:t>
      </w:r>
      <w:r>
        <w:rPr>
          <w:rFonts w:hint="eastAsia" w:ascii="Times New Roman" w:hAnsi="Times New Roman" w:eastAsia="黑体"/>
          <w:color w:val="000000"/>
          <w:sz w:val="32"/>
          <w:szCs w:val="32"/>
        </w:rPr>
        <w:t>评价</w:t>
      </w:r>
      <w:r>
        <w:rPr>
          <w:rFonts w:ascii="Times New Roman" w:hAnsi="Times New Roman" w:eastAsia="黑体"/>
          <w:color w:val="000000"/>
          <w:sz w:val="32"/>
          <w:szCs w:val="32"/>
        </w:rPr>
        <w:t>依据</w:t>
      </w:r>
    </w:p>
    <w:p w14:paraId="4DC86232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</w:rPr>
        <w:t>（1）、财政部关于印发《项目支出绩效评价管理办法》的通知</w:t>
      </w:r>
    </w:p>
    <w:p w14:paraId="2E55668E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</w:rPr>
        <w:t>（2）、《合肥市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第五十五中学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部门绩效自评办法》</w:t>
      </w:r>
    </w:p>
    <w:p w14:paraId="422A0FEE">
      <w:pPr>
        <w:widowControl/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七、附件</w:t>
      </w:r>
    </w:p>
    <w:p w14:paraId="24E5F3FC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1.项目支出绩效自评表（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从预算管理一体化系统导出</w:t>
      </w:r>
      <w:r>
        <w:rPr>
          <w:rFonts w:ascii="Times New Roman" w:hAnsi="Times New Roman" w:eastAsia="仿宋_GB2312"/>
          <w:color w:val="000000"/>
          <w:sz w:val="32"/>
          <w:szCs w:val="32"/>
        </w:rPr>
        <w:t>）；</w:t>
      </w:r>
    </w:p>
    <w:p w14:paraId="3B609F2C">
      <w:pPr>
        <w:widowControl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altName w:val="Microsoft YaHei UI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6D8E6F1"/>
    <w:multiLevelType w:val="singleLevel"/>
    <w:tmpl w:val="76D8E6F1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kzZDQ2ZjM3MGJhMjJlZjRhNGU4MmExYTE4MmY5OGMifQ=="/>
  </w:docVars>
  <w:rsids>
    <w:rsidRoot w:val="00CD1930"/>
    <w:rsid w:val="00007180"/>
    <w:rsid w:val="000447B8"/>
    <w:rsid w:val="00077A3C"/>
    <w:rsid w:val="000860CC"/>
    <w:rsid w:val="0009431D"/>
    <w:rsid w:val="002B031B"/>
    <w:rsid w:val="0033519E"/>
    <w:rsid w:val="00340F9B"/>
    <w:rsid w:val="00352EE7"/>
    <w:rsid w:val="00407223"/>
    <w:rsid w:val="00437806"/>
    <w:rsid w:val="00455704"/>
    <w:rsid w:val="004B2295"/>
    <w:rsid w:val="004D47B3"/>
    <w:rsid w:val="005130B8"/>
    <w:rsid w:val="0054645A"/>
    <w:rsid w:val="006306BB"/>
    <w:rsid w:val="006B4922"/>
    <w:rsid w:val="007362BC"/>
    <w:rsid w:val="00736A80"/>
    <w:rsid w:val="00832A4F"/>
    <w:rsid w:val="008957D1"/>
    <w:rsid w:val="008A3459"/>
    <w:rsid w:val="008D27F8"/>
    <w:rsid w:val="0091476E"/>
    <w:rsid w:val="00914BCF"/>
    <w:rsid w:val="0097529F"/>
    <w:rsid w:val="009C496D"/>
    <w:rsid w:val="009E7E3F"/>
    <w:rsid w:val="00A81F45"/>
    <w:rsid w:val="00A97B69"/>
    <w:rsid w:val="00B02E9A"/>
    <w:rsid w:val="00B855E4"/>
    <w:rsid w:val="00C45F9B"/>
    <w:rsid w:val="00C676D4"/>
    <w:rsid w:val="00CB0D8E"/>
    <w:rsid w:val="00CB55D1"/>
    <w:rsid w:val="00CD1930"/>
    <w:rsid w:val="00D96580"/>
    <w:rsid w:val="00DD1F32"/>
    <w:rsid w:val="00E10DFA"/>
    <w:rsid w:val="00E26623"/>
    <w:rsid w:val="04846602"/>
    <w:rsid w:val="04C74740"/>
    <w:rsid w:val="0B464611"/>
    <w:rsid w:val="0BCC7EE0"/>
    <w:rsid w:val="0DA03BB0"/>
    <w:rsid w:val="0E207A30"/>
    <w:rsid w:val="10AB0A6F"/>
    <w:rsid w:val="10FF7BB3"/>
    <w:rsid w:val="1384217A"/>
    <w:rsid w:val="155D7127"/>
    <w:rsid w:val="168B3820"/>
    <w:rsid w:val="182D6606"/>
    <w:rsid w:val="193D1DD2"/>
    <w:rsid w:val="1A450189"/>
    <w:rsid w:val="1AF74686"/>
    <w:rsid w:val="1D37200B"/>
    <w:rsid w:val="1DA04055"/>
    <w:rsid w:val="20452C91"/>
    <w:rsid w:val="20544C87"/>
    <w:rsid w:val="20F12E19"/>
    <w:rsid w:val="253C6035"/>
    <w:rsid w:val="255D0A7D"/>
    <w:rsid w:val="26ED5CF1"/>
    <w:rsid w:val="272F3753"/>
    <w:rsid w:val="2A754BDC"/>
    <w:rsid w:val="2BF81500"/>
    <w:rsid w:val="2CD361FA"/>
    <w:rsid w:val="2DA97022"/>
    <w:rsid w:val="30E12562"/>
    <w:rsid w:val="331C3D26"/>
    <w:rsid w:val="3A6347D3"/>
    <w:rsid w:val="3BB64AC1"/>
    <w:rsid w:val="3D867651"/>
    <w:rsid w:val="3EE17BD1"/>
    <w:rsid w:val="3F3F2E49"/>
    <w:rsid w:val="41833175"/>
    <w:rsid w:val="42616F8B"/>
    <w:rsid w:val="440E1469"/>
    <w:rsid w:val="445908BF"/>
    <w:rsid w:val="48B24466"/>
    <w:rsid w:val="4A2B5614"/>
    <w:rsid w:val="4BAA433D"/>
    <w:rsid w:val="525F526D"/>
    <w:rsid w:val="52FB694A"/>
    <w:rsid w:val="548B155B"/>
    <w:rsid w:val="561B7A15"/>
    <w:rsid w:val="56623E31"/>
    <w:rsid w:val="5C1473E0"/>
    <w:rsid w:val="5C7B2FBB"/>
    <w:rsid w:val="5F7E34EF"/>
    <w:rsid w:val="60134662"/>
    <w:rsid w:val="60C339B5"/>
    <w:rsid w:val="64A84B6A"/>
    <w:rsid w:val="68387785"/>
    <w:rsid w:val="688A4CB2"/>
    <w:rsid w:val="6A0C14D6"/>
    <w:rsid w:val="6B9E1390"/>
    <w:rsid w:val="6BAA566B"/>
    <w:rsid w:val="6D2475AB"/>
    <w:rsid w:val="713305C5"/>
    <w:rsid w:val="715A543E"/>
    <w:rsid w:val="728564EA"/>
    <w:rsid w:val="72A7708D"/>
    <w:rsid w:val="748C2510"/>
    <w:rsid w:val="767E175A"/>
    <w:rsid w:val="76A568D4"/>
    <w:rsid w:val="79D344B1"/>
    <w:rsid w:val="7B007056"/>
    <w:rsid w:val="7C2B0102"/>
    <w:rsid w:val="7D0D5221"/>
    <w:rsid w:val="7E7367E9"/>
    <w:rsid w:val="7EC86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MS</Company>
  <Pages>6</Pages>
  <Words>2137</Words>
  <Characters>2283</Characters>
  <Lines>17</Lines>
  <Paragraphs>4</Paragraphs>
  <TotalTime>2</TotalTime>
  <ScaleCrop>false</ScaleCrop>
  <LinksUpToDate>false</LinksUpToDate>
  <CharactersWithSpaces>2421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2023-02-28T00:01:00Z</dcterms:created>
  <dc:creator>Administrator</dc:creator>
  <cp:lastModifiedBy>唐月宝</cp:lastModifiedBy>
  <cp:lastPrinted>2024-05-27T08:00:00Z</cp:lastPrinted>
  <dcterms:modified xsi:type="dcterms:W3CDTF">2025-03-04T01:59:24Z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793CC16D5D4E44B5B7B4FEC707888E37</vt:lpwstr>
  </property>
  <property fmtid="{D5CDD505-2E9C-101B-9397-08002B2CF9AE}" pid="4" name="KSOTemplateDocerSaveRecord">
    <vt:lpwstr>eyJoZGlkIjoiMTkzZDQ2ZjM3MGJhMjJlZjRhNGU4MmExYTE4MmY5OGMiLCJ1c2VySWQiOiIxMjMyNjk4MTc5In0=</vt:lpwstr>
  </property>
</Properties>
</file>