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313DAF">
      <w:pPr>
        <w:spacing w:line="600" w:lineRule="exact"/>
        <w:rPr>
          <w:rFonts w:ascii="Times New Roman" w:hAnsi="Times New Roman" w:eastAsia="黑体"/>
          <w:bCs/>
          <w:sz w:val="32"/>
          <w:szCs w:val="32"/>
        </w:rPr>
      </w:pPr>
      <w:r>
        <w:rPr>
          <w:rFonts w:ascii="Times New Roman" w:hAnsi="Times New Roman" w:eastAsia="黑体"/>
          <w:bCs/>
          <w:sz w:val="32"/>
          <w:szCs w:val="32"/>
        </w:rPr>
        <w:t>附件2</w:t>
      </w:r>
    </w:p>
    <w:p w14:paraId="045B2248"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 w14:paraId="039184E8"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 w14:paraId="54ACCB17"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 w14:paraId="5AE6A165">
      <w:pPr>
        <w:jc w:val="center"/>
        <w:rPr>
          <w:rFonts w:ascii="Times New Roman" w:hAnsi="Times New Roman" w:eastAsia="黑体"/>
          <w:bCs/>
          <w:sz w:val="44"/>
        </w:rPr>
      </w:pPr>
    </w:p>
    <w:p w14:paraId="0B7E2B61">
      <w:pPr>
        <w:jc w:val="center"/>
        <w:rPr>
          <w:rFonts w:ascii="Times New Roman" w:hAnsi="Times New Roman" w:eastAsia="黑体"/>
          <w:bCs/>
          <w:sz w:val="44"/>
        </w:rPr>
      </w:pPr>
    </w:p>
    <w:p w14:paraId="7E93D35E">
      <w:pPr>
        <w:spacing w:line="600" w:lineRule="exact"/>
        <w:jc w:val="center"/>
        <w:rPr>
          <w:rFonts w:ascii="Times New Roman" w:hAnsi="Times New Roman" w:eastAsia="方正小标宋简体"/>
          <w:bCs/>
          <w:sz w:val="44"/>
        </w:rPr>
      </w:pPr>
      <w:r>
        <w:rPr>
          <w:rFonts w:ascii="Times New Roman" w:hAnsi="Times New Roman" w:eastAsia="方正小标宋简体"/>
          <w:bCs/>
          <w:sz w:val="44"/>
        </w:rPr>
        <w:t>合肥市财政支出项目</w:t>
      </w:r>
      <w:r>
        <w:rPr>
          <w:rFonts w:hint="eastAsia" w:ascii="Times New Roman" w:hAnsi="Times New Roman" w:eastAsia="方正小标宋简体"/>
          <w:bCs/>
          <w:sz w:val="44"/>
        </w:rPr>
        <w:t>部门评价</w:t>
      </w:r>
      <w:r>
        <w:rPr>
          <w:rFonts w:ascii="Times New Roman" w:hAnsi="Times New Roman" w:eastAsia="方正小标宋简体"/>
          <w:bCs/>
          <w:sz w:val="44"/>
        </w:rPr>
        <w:t>报告</w:t>
      </w:r>
    </w:p>
    <w:p w14:paraId="24934517">
      <w:pPr>
        <w:jc w:val="center"/>
        <w:rPr>
          <w:rFonts w:ascii="Times New Roman" w:hAnsi="Times New Roman" w:eastAsia="楷体_GB2312"/>
          <w:b/>
          <w:bCs/>
          <w:sz w:val="32"/>
        </w:rPr>
      </w:pPr>
    </w:p>
    <w:p w14:paraId="23A76DD5">
      <w:pPr>
        <w:jc w:val="center"/>
        <w:rPr>
          <w:rFonts w:ascii="Times New Roman" w:hAnsi="Times New Roman" w:eastAsia="楷体_GB2312"/>
          <w:b/>
          <w:bCs/>
          <w:sz w:val="32"/>
        </w:rPr>
      </w:pPr>
    </w:p>
    <w:p w14:paraId="77EA2FD5"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</w:rPr>
      </w:pPr>
    </w:p>
    <w:p w14:paraId="02168B4F">
      <w:pPr>
        <w:spacing w:before="156" w:beforeLines="50" w:after="156" w:afterLines="50"/>
        <w:ind w:left="3807" w:leftChars="289" w:hanging="3200" w:hangingChars="10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   目   名   称 ：</w:t>
      </w:r>
      <w:r>
        <w:rPr>
          <w:rFonts w:ascii="Times New Roman" w:hAnsi="Times New Roman" w:eastAsia="楷体_GB2312"/>
          <w:sz w:val="32"/>
          <w:u w:val="single"/>
        </w:rPr>
        <w:t xml:space="preserve"> </w:t>
      </w:r>
      <w:r>
        <w:rPr>
          <w:rFonts w:hint="eastAsia" w:ascii="Times New Roman" w:hAnsi="Times New Roman" w:eastAsia="楷体_GB2312"/>
          <w:sz w:val="32"/>
          <w:u w:val="single"/>
        </w:rPr>
        <w:t>合肥市东风小学城乡义务教育补助经费项目部门自评报告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     </w:t>
      </w:r>
    </w:p>
    <w:p w14:paraId="57B042E6">
      <w:pPr>
        <w:spacing w:before="156" w:beforeLines="50" w:after="156" w:afterLines="50"/>
        <w:ind w:left="1887" w:leftChars="289" w:hanging="1280" w:hangingChars="4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   目   单   位 ：</w:t>
      </w:r>
      <w:r>
        <w:rPr>
          <w:rFonts w:ascii="Times New Roman" w:hAnsi="Times New Roman" w:eastAsia="楷体_GB2312"/>
          <w:sz w:val="32"/>
          <w:u w:val="single"/>
        </w:rPr>
        <w:t xml:space="preserve"> </w:t>
      </w:r>
      <w:r>
        <w:rPr>
          <w:rFonts w:hint="eastAsia" w:ascii="Times New Roman" w:hAnsi="Times New Roman" w:eastAsia="楷体_GB2312"/>
          <w:sz w:val="32"/>
          <w:u w:val="single"/>
        </w:rPr>
        <w:t>合肥市</w:t>
      </w:r>
      <w:r>
        <w:rPr>
          <w:rFonts w:hint="eastAsia" w:ascii="Times New Roman" w:hAnsi="Times New Roman" w:eastAsia="楷体_GB2312"/>
          <w:sz w:val="32"/>
          <w:u w:val="single"/>
          <w:lang w:val="en-US" w:eastAsia="zh-CN"/>
        </w:rPr>
        <w:t>东风</w:t>
      </w:r>
      <w:r>
        <w:rPr>
          <w:rFonts w:ascii="Times New Roman" w:hAnsi="Times New Roman" w:eastAsia="楷体_GB2312"/>
          <w:sz w:val="32"/>
          <w:u w:val="single"/>
        </w:rPr>
        <w:t xml:space="preserve">小学                          </w:t>
      </w:r>
    </w:p>
    <w:p w14:paraId="38009217">
      <w:pPr>
        <w:spacing w:before="156" w:beforeLines="50" w:after="156" w:afterLines="50"/>
        <w:ind w:left="1887" w:leftChars="289" w:hanging="1280" w:hangingChars="4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项目责任人 （签字）：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 </w:t>
      </w:r>
      <w:bookmarkStart w:id="0" w:name="_GoBack"/>
      <w:bookmarkEnd w:id="0"/>
      <w:r>
        <w:rPr>
          <w:rFonts w:ascii="Times New Roman" w:hAnsi="Times New Roman" w:eastAsia="楷体_GB2312"/>
          <w:sz w:val="32"/>
          <w:u w:val="single"/>
        </w:rPr>
        <w:t xml:space="preserve">      </w:t>
      </w:r>
    </w:p>
    <w:p w14:paraId="37D7F9FA"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主 管 部 门（盖章）：</w:t>
      </w:r>
      <w:r>
        <w:rPr>
          <w:rFonts w:ascii="Times New Roman" w:hAnsi="Times New Roman" w:eastAsia="楷体_GB2312"/>
          <w:sz w:val="32"/>
          <w:u w:val="single"/>
        </w:rPr>
        <w:t xml:space="preserve"> </w:t>
      </w:r>
      <w:r>
        <w:rPr>
          <w:rFonts w:hint="eastAsia" w:ascii="Times New Roman" w:hAnsi="Times New Roman" w:eastAsia="楷体_GB2312"/>
          <w:sz w:val="32"/>
          <w:u w:val="single"/>
          <w:lang w:val="en-US" w:eastAsia="zh-CN"/>
        </w:rPr>
        <w:t>瑶海区教育体育</w:t>
      </w:r>
      <w:r>
        <w:rPr>
          <w:rFonts w:ascii="Times New Roman" w:hAnsi="Times New Roman" w:eastAsia="楷体_GB2312"/>
          <w:sz w:val="32"/>
          <w:u w:val="single"/>
        </w:rPr>
        <w:t xml:space="preserve">局                          </w:t>
      </w:r>
    </w:p>
    <w:p w14:paraId="033190C2"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</w:rPr>
      </w:pPr>
    </w:p>
    <w:p w14:paraId="3C8694A0">
      <w:pPr>
        <w:ind w:firstLine="614" w:firstLineChars="192"/>
        <w:jc w:val="center"/>
        <w:rPr>
          <w:rFonts w:ascii="Times New Roman" w:hAnsi="Times New Roman" w:eastAsia="楷体_GB2312"/>
          <w:sz w:val="32"/>
        </w:rPr>
      </w:pPr>
    </w:p>
    <w:p w14:paraId="3A94052F">
      <w:pPr>
        <w:spacing w:line="600" w:lineRule="exact"/>
        <w:jc w:val="center"/>
        <w:rPr>
          <w:rFonts w:ascii="Times New Roman" w:hAnsi="Times New Roman" w:eastAsia="方正小标宋简体"/>
          <w:bCs/>
          <w:sz w:val="44"/>
          <w:szCs w:val="24"/>
        </w:rPr>
      </w:pPr>
      <w:r>
        <w:rPr>
          <w:rFonts w:ascii="Times New Roman" w:hAnsi="Times New Roman" w:eastAsia="楷体"/>
          <w:sz w:val="32"/>
        </w:rPr>
        <w:t xml:space="preserve">      2025</w:t>
      </w:r>
      <w:r>
        <w:rPr>
          <w:rFonts w:ascii="Times New Roman" w:hAnsi="Times New Roman" w:eastAsia="楷体_GB2312"/>
          <w:sz w:val="32"/>
        </w:rPr>
        <w:t>年</w:t>
      </w:r>
      <w:r>
        <w:rPr>
          <w:rFonts w:ascii="Times New Roman" w:hAnsi="Times New Roman" w:eastAsia="楷体"/>
          <w:sz w:val="32"/>
        </w:rPr>
        <w:t>3</w:t>
      </w:r>
      <w:r>
        <w:rPr>
          <w:rFonts w:ascii="Times New Roman" w:hAnsi="Times New Roman" w:eastAsia="楷体_GB2312"/>
          <w:sz w:val="32"/>
        </w:rPr>
        <w:t>月</w:t>
      </w:r>
      <w:r>
        <w:rPr>
          <w:rFonts w:ascii="Times New Roman" w:hAnsi="Times New Roman" w:eastAsia="楷体_GB2312"/>
          <w:sz w:val="32"/>
        </w:rPr>
        <w:br w:type="page"/>
      </w:r>
      <w:r>
        <w:rPr>
          <w:rFonts w:ascii="Times New Roman" w:hAnsi="Times New Roman" w:eastAsia="方正小标宋简体"/>
          <w:bCs/>
          <w:sz w:val="44"/>
          <w:szCs w:val="24"/>
        </w:rPr>
        <w:t>2024年</w:t>
      </w:r>
      <w:r>
        <w:rPr>
          <w:rFonts w:hint="eastAsia" w:ascii="Times New Roman" w:hAnsi="Times New Roman" w:eastAsia="方正小标宋简体"/>
          <w:bCs/>
          <w:sz w:val="44"/>
          <w:szCs w:val="24"/>
        </w:rPr>
        <w:t>城乡义务</w:t>
      </w:r>
      <w:r>
        <w:rPr>
          <w:rFonts w:ascii="Times New Roman" w:hAnsi="Times New Roman" w:eastAsia="方正小标宋简体"/>
          <w:bCs/>
          <w:sz w:val="44"/>
          <w:szCs w:val="24"/>
        </w:rPr>
        <w:t>教育补助经费项目</w:t>
      </w:r>
      <w:r>
        <w:rPr>
          <w:rFonts w:hint="eastAsia" w:ascii="Times New Roman" w:hAnsi="Times New Roman" w:eastAsia="方正小标宋简体"/>
          <w:bCs/>
          <w:sz w:val="44"/>
          <w:szCs w:val="24"/>
        </w:rPr>
        <w:t>部门评价</w:t>
      </w:r>
      <w:r>
        <w:rPr>
          <w:rFonts w:ascii="Times New Roman" w:hAnsi="Times New Roman" w:eastAsia="方正小标宋简体"/>
          <w:bCs/>
          <w:sz w:val="44"/>
          <w:szCs w:val="24"/>
        </w:rPr>
        <w:t>报告</w:t>
      </w:r>
    </w:p>
    <w:p w14:paraId="6CDC3756">
      <w:pPr>
        <w:spacing w:line="580" w:lineRule="exact"/>
        <w:jc w:val="center"/>
        <w:rPr>
          <w:rFonts w:ascii="Times New Roman" w:hAnsi="Times New Roman" w:eastAsia="仿宋_GB2312"/>
          <w:bCs/>
          <w:sz w:val="32"/>
          <w:szCs w:val="32"/>
        </w:rPr>
      </w:pPr>
    </w:p>
    <w:p w14:paraId="525FA56B">
      <w:pPr>
        <w:widowControl/>
        <w:spacing w:line="560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一、项目基本情况</w:t>
      </w:r>
    </w:p>
    <w:p w14:paraId="76B75875"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（一）项目概况</w:t>
      </w:r>
    </w:p>
    <w:p w14:paraId="310522A3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1.项目立项情况</w:t>
      </w:r>
    </w:p>
    <w:p w14:paraId="611C2997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立项背景：通过各类主题鲜明的素质教育活动的开展，提升我校的办学质量，改善办学条件，提升教师的教育教学水平，提升我校学生的创新精神和综合素质，形成促进学生健康、快乐成长的素质教育长效机制。努力践行办人民满意、公平而有质量的教育。</w:t>
      </w:r>
    </w:p>
    <w:p w14:paraId="5A492942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立项依据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：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根据学校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现状及学校年度计划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。</w:t>
      </w:r>
    </w:p>
    <w:p w14:paraId="27AA3257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主要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内容：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各项教育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教学活动及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校园文化建设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。</w:t>
      </w:r>
    </w:p>
    <w:p w14:paraId="774F82F7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覆盖面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：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全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校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各项教育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教学活动及学校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设施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的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维修改造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。</w:t>
      </w:r>
    </w:p>
    <w:p w14:paraId="62365A33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资金总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量：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64.86万元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。</w:t>
      </w:r>
    </w:p>
    <w:p w14:paraId="2750CEF9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资金类型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：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财政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资金。</w:t>
      </w:r>
    </w:p>
    <w:p w14:paraId="7D796164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项目类型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：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经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常性业务经费。</w:t>
      </w:r>
    </w:p>
    <w:p w14:paraId="44990C08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实施周期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：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202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4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年1月-202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4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年12月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。</w:t>
      </w:r>
    </w:p>
    <w:p w14:paraId="022E26DB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项目实施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主管部门：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合肥市瑶海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区教体局。</w:t>
      </w:r>
    </w:p>
    <w:p w14:paraId="17381E40">
      <w:pPr>
        <w:spacing w:line="560" w:lineRule="exact"/>
        <w:ind w:firstLine="646" w:firstLineChars="202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2.项目执行情况</w:t>
      </w:r>
    </w:p>
    <w:p w14:paraId="51312601">
      <w:pPr>
        <w:spacing w:line="560" w:lineRule="exact"/>
        <w:ind w:firstLine="646" w:firstLineChars="202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实施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过程：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各项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教育教学活动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及时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开展，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校园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文化建设有序进行。</w:t>
      </w:r>
    </w:p>
    <w:p w14:paraId="2573D5F9">
      <w:pPr>
        <w:spacing w:line="560" w:lineRule="exact"/>
        <w:ind w:firstLine="646" w:firstLineChars="202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项目进展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及任务完成情况：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202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4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年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校园文化建设8次，</w:t>
      </w:r>
      <w:r>
        <w:rPr>
          <w:rFonts w:ascii="Times New Roman" w:hAnsi="Times New Roman" w:eastAsia="仿宋_GB2312"/>
          <w:color w:val="000000"/>
          <w:sz w:val="32"/>
          <w:szCs w:val="32"/>
        </w:rPr>
        <w:t>教学楼维修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及</w:t>
      </w:r>
      <w:r>
        <w:rPr>
          <w:rFonts w:ascii="Times New Roman" w:hAnsi="Times New Roman" w:eastAsia="仿宋_GB2312"/>
          <w:color w:val="000000"/>
          <w:sz w:val="32"/>
          <w:szCs w:val="32"/>
        </w:rPr>
        <w:t>其他日常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维修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26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余次，教师集中</w:t>
      </w:r>
      <w:r>
        <w:rPr>
          <w:rFonts w:ascii="Times New Roman" w:hAnsi="Times New Roman" w:eastAsia="仿宋_GB2312"/>
          <w:color w:val="000000"/>
          <w:sz w:val="32"/>
          <w:szCs w:val="32"/>
        </w:rPr>
        <w:t>培训、远程培训及个人外出培训共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18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次，其他</w:t>
      </w:r>
      <w:r>
        <w:rPr>
          <w:rFonts w:ascii="Times New Roman" w:hAnsi="Times New Roman" w:eastAsia="仿宋_GB2312"/>
          <w:color w:val="000000"/>
          <w:sz w:val="32"/>
          <w:szCs w:val="32"/>
        </w:rPr>
        <w:t>各项教育教学活动30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余次。</w:t>
      </w:r>
    </w:p>
    <w:p w14:paraId="5208EFCB">
      <w:pPr>
        <w:spacing w:line="560" w:lineRule="exact"/>
        <w:ind w:firstLine="646" w:firstLineChars="202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预算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执行情况：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预算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执行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按期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完成。</w:t>
      </w:r>
    </w:p>
    <w:p w14:paraId="2871DBBF">
      <w:pPr>
        <w:spacing w:line="560" w:lineRule="exact"/>
        <w:ind w:firstLine="646" w:firstLineChars="202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项目资金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投入和使用情况：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项目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资金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投入64.86万元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，使用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64.86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万元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。</w:t>
      </w:r>
    </w:p>
    <w:p w14:paraId="255B925A"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（二）项目绩效目标</w:t>
      </w:r>
    </w:p>
    <w:p w14:paraId="5A9F37C5"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1.项目年度总体目标</w:t>
      </w:r>
    </w:p>
    <w:p w14:paraId="67AD737A"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202</w:t>
      </w:r>
      <w:r>
        <w:rPr>
          <w:rFonts w:ascii="Times New Roman" w:hAnsi="Times New Roman" w:eastAsia="仿宋_GB2312"/>
          <w:color w:val="000000"/>
          <w:sz w:val="32"/>
          <w:szCs w:val="32"/>
        </w:rPr>
        <w:t>4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年申请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64.96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万元财政资金，主要用于本单位教育教学活动。通过各类主题鲜明的素质教育活动的开展，提升我校的办学质量，改善办学条件，提升教师的教育教学水平，提升我校学生的创新精神和综合素质，形成促进学生健康、快乐成长的素质教育长效机制。努力践行办人民满意、公平而有质量的教育。</w:t>
      </w:r>
    </w:p>
    <w:p w14:paraId="75BB2A8C"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2.总体目标完成情况</w:t>
      </w:r>
    </w:p>
    <w:p w14:paraId="3D089A0C"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202</w:t>
      </w:r>
      <w:r>
        <w:rPr>
          <w:rFonts w:ascii="Times New Roman" w:hAnsi="Times New Roman" w:eastAsia="仿宋_GB2312"/>
          <w:color w:val="000000"/>
          <w:sz w:val="32"/>
          <w:szCs w:val="32"/>
        </w:rPr>
        <w:t>4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年度</w:t>
      </w:r>
      <w:r>
        <w:rPr>
          <w:rFonts w:ascii="Times New Roman" w:hAnsi="Times New Roman" w:eastAsia="仿宋_GB2312"/>
          <w:color w:val="000000"/>
          <w:sz w:val="32"/>
          <w:szCs w:val="32"/>
        </w:rPr>
        <w:t>，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学校</w:t>
      </w:r>
      <w:r>
        <w:rPr>
          <w:rFonts w:ascii="Times New Roman" w:hAnsi="Times New Roman" w:eastAsia="仿宋_GB2312"/>
          <w:color w:val="000000"/>
          <w:sz w:val="32"/>
          <w:szCs w:val="32"/>
        </w:rPr>
        <w:t>校园文化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建设日常</w:t>
      </w:r>
      <w:r>
        <w:rPr>
          <w:rFonts w:ascii="Times New Roman" w:hAnsi="Times New Roman" w:eastAsia="仿宋_GB2312"/>
          <w:color w:val="000000"/>
          <w:sz w:val="32"/>
          <w:szCs w:val="32"/>
        </w:rPr>
        <w:t>维修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26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余次</w:t>
      </w:r>
      <w:r>
        <w:rPr>
          <w:rFonts w:ascii="Times New Roman" w:hAnsi="Times New Roman" w:eastAsia="仿宋_GB2312"/>
          <w:color w:val="000000"/>
          <w:sz w:val="32"/>
          <w:szCs w:val="32"/>
        </w:rPr>
        <w:t>，经费使用40.55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万元；教师</w:t>
      </w:r>
      <w:r>
        <w:rPr>
          <w:rFonts w:ascii="Times New Roman" w:hAnsi="Times New Roman" w:eastAsia="仿宋_GB2312"/>
          <w:color w:val="000000"/>
          <w:sz w:val="32"/>
          <w:szCs w:val="32"/>
        </w:rPr>
        <w:t>培训活动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18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次</w:t>
      </w:r>
      <w:r>
        <w:rPr>
          <w:rFonts w:ascii="Times New Roman" w:hAnsi="Times New Roman" w:eastAsia="仿宋_GB2312"/>
          <w:color w:val="000000"/>
          <w:sz w:val="32"/>
          <w:szCs w:val="32"/>
        </w:rPr>
        <w:t>，经费使用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4.20万元</w:t>
      </w:r>
      <w:r>
        <w:rPr>
          <w:rFonts w:ascii="Times New Roman" w:hAnsi="Times New Roman" w:eastAsia="仿宋_GB2312"/>
          <w:color w:val="000000"/>
          <w:sz w:val="32"/>
          <w:szCs w:val="32"/>
        </w:rPr>
        <w:t>；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其他</w:t>
      </w:r>
      <w:r>
        <w:rPr>
          <w:rFonts w:ascii="Times New Roman" w:hAnsi="Times New Roman" w:eastAsia="仿宋_GB2312"/>
          <w:color w:val="000000"/>
          <w:sz w:val="32"/>
          <w:szCs w:val="32"/>
        </w:rPr>
        <w:t>教育教学活动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等</w:t>
      </w:r>
      <w:r>
        <w:rPr>
          <w:rFonts w:ascii="Times New Roman" w:hAnsi="Times New Roman" w:eastAsia="仿宋_GB2312"/>
          <w:color w:val="000000"/>
          <w:sz w:val="32"/>
          <w:szCs w:val="32"/>
        </w:rPr>
        <w:t>30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余次</w:t>
      </w:r>
      <w:r>
        <w:rPr>
          <w:rFonts w:ascii="Times New Roman" w:hAnsi="Times New Roman" w:eastAsia="仿宋_GB2312"/>
          <w:color w:val="000000"/>
          <w:sz w:val="32"/>
          <w:szCs w:val="32"/>
        </w:rPr>
        <w:t>，经费使用31.69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万元</w:t>
      </w:r>
      <w:r>
        <w:rPr>
          <w:rFonts w:ascii="Times New Roman" w:hAnsi="Times New Roman" w:eastAsia="仿宋_GB2312"/>
          <w:color w:val="000000"/>
          <w:sz w:val="32"/>
          <w:szCs w:val="32"/>
        </w:rPr>
        <w:t>。</w:t>
      </w:r>
    </w:p>
    <w:p w14:paraId="3DFF8726">
      <w:pPr>
        <w:spacing w:line="56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二、绩效</w:t>
      </w:r>
      <w:r>
        <w:rPr>
          <w:rFonts w:hint="eastAsia" w:ascii="Times New Roman" w:hAnsi="Times New Roman" w:eastAsia="黑体"/>
          <w:color w:val="000000"/>
          <w:sz w:val="32"/>
          <w:szCs w:val="32"/>
        </w:rPr>
        <w:t>评价</w:t>
      </w:r>
      <w:r>
        <w:rPr>
          <w:rFonts w:ascii="Times New Roman" w:hAnsi="Times New Roman" w:eastAsia="黑体"/>
          <w:color w:val="000000"/>
          <w:sz w:val="32"/>
          <w:szCs w:val="32"/>
        </w:rPr>
        <w:t>结论</w:t>
      </w:r>
    </w:p>
    <w:p w14:paraId="6C090B15"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（一）总体结论</w:t>
      </w:r>
    </w:p>
    <w:p w14:paraId="2D2039A9"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2024年度，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城乡义务</w:t>
      </w:r>
      <w:r>
        <w:rPr>
          <w:rFonts w:ascii="Times New Roman" w:hAnsi="Times New Roman" w:eastAsia="仿宋_GB2312"/>
          <w:color w:val="000000"/>
          <w:sz w:val="32"/>
          <w:szCs w:val="32"/>
        </w:rPr>
        <w:t>教育补助经费项目通过申请财政资金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64.96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。</w:t>
      </w:r>
      <w:r>
        <w:rPr>
          <w:rFonts w:ascii="Times New Roman" w:hAnsi="Times New Roman" w:eastAsia="仿宋_GB2312"/>
          <w:color w:val="000000"/>
          <w:sz w:val="32"/>
          <w:szCs w:val="32"/>
        </w:rPr>
        <w:t>共完成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校园文化建设8次，</w:t>
      </w:r>
      <w:r>
        <w:rPr>
          <w:rFonts w:ascii="Times New Roman" w:hAnsi="Times New Roman" w:eastAsia="仿宋_GB2312"/>
          <w:color w:val="000000"/>
          <w:sz w:val="32"/>
          <w:szCs w:val="32"/>
        </w:rPr>
        <w:t>教学楼维修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及</w:t>
      </w:r>
      <w:r>
        <w:rPr>
          <w:rFonts w:ascii="Times New Roman" w:hAnsi="Times New Roman" w:eastAsia="仿宋_GB2312"/>
          <w:color w:val="000000"/>
          <w:sz w:val="32"/>
          <w:szCs w:val="32"/>
        </w:rPr>
        <w:t>其他日常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维修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26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余次，教师集中</w:t>
      </w:r>
      <w:r>
        <w:rPr>
          <w:rFonts w:ascii="Times New Roman" w:hAnsi="Times New Roman" w:eastAsia="仿宋_GB2312"/>
          <w:color w:val="000000"/>
          <w:sz w:val="32"/>
          <w:szCs w:val="32"/>
        </w:rPr>
        <w:t>培训、远程培训及个人外出培训共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18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次，其他</w:t>
      </w:r>
      <w:r>
        <w:rPr>
          <w:rFonts w:ascii="Times New Roman" w:hAnsi="Times New Roman" w:eastAsia="仿宋_GB2312"/>
          <w:color w:val="000000"/>
          <w:sz w:val="32"/>
          <w:szCs w:val="32"/>
        </w:rPr>
        <w:t>各项教育教学活动30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余次</w:t>
      </w:r>
      <w:r>
        <w:rPr>
          <w:rFonts w:ascii="Times New Roman" w:hAnsi="Times New Roman" w:eastAsia="仿宋_GB2312"/>
          <w:color w:val="000000"/>
          <w:sz w:val="32"/>
          <w:szCs w:val="32"/>
        </w:rPr>
        <w:t>等工作，已完成年度设定的绩效目标，达到项目预期效果。具体包括：一是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所</w:t>
      </w:r>
      <w:r>
        <w:rPr>
          <w:rFonts w:ascii="Times New Roman" w:hAnsi="Times New Roman" w:eastAsia="仿宋_GB2312"/>
          <w:color w:val="000000"/>
          <w:sz w:val="32"/>
          <w:szCs w:val="32"/>
        </w:rPr>
        <w:t>有项目按计划精心组织、大力推进；二是经费做到项目完成后及时支付；三是扩大宣传，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社</w:t>
      </w:r>
      <w:r>
        <w:rPr>
          <w:rFonts w:ascii="Times New Roman" w:hAnsi="Times New Roman" w:eastAsia="仿宋_GB2312"/>
          <w:color w:val="000000"/>
          <w:sz w:val="32"/>
          <w:szCs w:val="32"/>
        </w:rPr>
        <w:t>会对教育满意度显著提高。</w:t>
      </w:r>
    </w:p>
    <w:p w14:paraId="4F5F6D57">
      <w:pPr>
        <w:widowControl/>
        <w:spacing w:line="60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（二）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评价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结果</w:t>
      </w:r>
    </w:p>
    <w:p w14:paraId="19908FA7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经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，</w:t>
      </w:r>
      <w:r>
        <w:rPr>
          <w:rFonts w:ascii="Times New Roman" w:hAnsi="Times New Roman" w:eastAsia="仿宋_GB2312"/>
          <w:sz w:val="32"/>
          <w:szCs w:val="32"/>
        </w:rPr>
        <w:t>2024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年度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城乡义务</w:t>
      </w:r>
      <w:r>
        <w:rPr>
          <w:rFonts w:ascii="Times New Roman" w:hAnsi="Times New Roman" w:eastAsia="仿宋_GB2312"/>
          <w:color w:val="000000"/>
          <w:sz w:val="32"/>
          <w:szCs w:val="32"/>
        </w:rPr>
        <w:t>教育补助经费</w:t>
      </w:r>
      <w:r>
        <w:rPr>
          <w:rFonts w:ascii="Times New Roman" w:hAnsi="Times New Roman" w:eastAsia="仿宋_GB2312"/>
          <w:sz w:val="32"/>
          <w:szCs w:val="32"/>
        </w:rPr>
        <w:t>项目</w:t>
      </w:r>
      <w:r>
        <w:rPr>
          <w:rFonts w:ascii="Times New Roman" w:hAnsi="Times New Roman" w:eastAsia="仿宋_GB2312"/>
          <w:color w:val="000000"/>
          <w:sz w:val="32"/>
          <w:szCs w:val="32"/>
        </w:rPr>
        <w:t>综合得分为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结果为“</w:t>
      </w:r>
      <w:r>
        <w:rPr>
          <w:rFonts w:hint="eastAsia" w:ascii="Times New Roman" w:hAnsi="Times New Roman" w:eastAsia="仿宋_GB2312"/>
          <w:sz w:val="32"/>
          <w:szCs w:val="32"/>
        </w:rPr>
        <w:t>优</w:t>
      </w:r>
      <w:r>
        <w:rPr>
          <w:rFonts w:ascii="Times New Roman" w:hAnsi="Times New Roman" w:eastAsia="仿宋_GB2312"/>
          <w:color w:val="000000"/>
          <w:sz w:val="32"/>
          <w:szCs w:val="32"/>
        </w:rPr>
        <w:t>”。</w:t>
      </w:r>
    </w:p>
    <w:p w14:paraId="600259F6"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三、指标分析</w:t>
      </w:r>
    </w:p>
    <w:p w14:paraId="572963F8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2024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年度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城乡义务</w:t>
      </w:r>
      <w:r>
        <w:rPr>
          <w:rFonts w:ascii="Times New Roman" w:hAnsi="Times New Roman" w:eastAsia="仿宋_GB2312"/>
          <w:color w:val="000000"/>
          <w:sz w:val="32"/>
          <w:szCs w:val="32"/>
        </w:rPr>
        <w:t>教育补助经费项目绩效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指标体系设置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预算执行率和</w:t>
      </w:r>
      <w:r>
        <w:rPr>
          <w:rFonts w:hint="eastAsia" w:ascii="Times New Roman" w:hAnsi="Times New Roman" w:eastAsia="仿宋_GB2312"/>
          <w:sz w:val="32"/>
          <w:szCs w:val="32"/>
        </w:rPr>
        <w:t>3</w:t>
      </w:r>
      <w:r>
        <w:rPr>
          <w:rFonts w:ascii="Times New Roman" w:hAnsi="Times New Roman" w:eastAsia="仿宋_GB2312"/>
          <w:color w:val="000000"/>
          <w:sz w:val="32"/>
          <w:szCs w:val="32"/>
        </w:rPr>
        <w:t>个一级指标，9个二级指标，1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/>
          <w:color w:val="000000"/>
          <w:sz w:val="32"/>
          <w:szCs w:val="32"/>
        </w:rPr>
        <w:t>个三级指标，各项指标评分情况分析如下：</w:t>
      </w:r>
    </w:p>
    <w:p w14:paraId="25A270E8">
      <w:pPr>
        <w:spacing w:line="592" w:lineRule="exact"/>
        <w:ind w:firstLine="643" w:firstLineChars="200"/>
        <w:rPr>
          <w:rFonts w:ascii="Times New Roman" w:hAnsi="Times New Roman" w:eastAsia="楷体_GB2312"/>
          <w:b/>
          <w:bCs/>
          <w:sz w:val="32"/>
        </w:rPr>
      </w:pPr>
      <w:r>
        <w:rPr>
          <w:rFonts w:ascii="Times New Roman" w:hAnsi="Times New Roman" w:eastAsia="楷体_GB2312"/>
          <w:b/>
          <w:bCs/>
          <w:sz w:val="32"/>
        </w:rPr>
        <w:t>（一）预算执行率（满分10分，实得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楷体_GB2312"/>
          <w:b/>
          <w:bCs/>
          <w:sz w:val="32"/>
        </w:rPr>
        <w:t>分）</w:t>
      </w:r>
    </w:p>
    <w:p w14:paraId="5FBA7732">
      <w:pPr>
        <w:spacing w:line="592" w:lineRule="exact"/>
        <w:ind w:right="-283"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2024年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，城乡义务</w:t>
      </w:r>
      <w:r>
        <w:rPr>
          <w:rFonts w:ascii="Times New Roman" w:hAnsi="Times New Roman" w:eastAsia="仿宋_GB2312"/>
          <w:color w:val="000000"/>
          <w:sz w:val="32"/>
          <w:szCs w:val="32"/>
        </w:rPr>
        <w:t>教育补助经费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项目</w:t>
      </w:r>
      <w:r>
        <w:rPr>
          <w:rFonts w:ascii="Times New Roman" w:hAnsi="Times New Roman" w:eastAsia="仿宋_GB2312"/>
          <w:color w:val="000000"/>
          <w:sz w:val="32"/>
          <w:szCs w:val="32"/>
        </w:rPr>
        <w:t>全年预算安排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64.86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万元，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其中</w:t>
      </w:r>
      <w:r>
        <w:rPr>
          <w:rFonts w:ascii="Times New Roman" w:hAnsi="Times New Roman" w:eastAsia="仿宋_GB2312"/>
          <w:color w:val="000000"/>
          <w:sz w:val="32"/>
          <w:szCs w:val="32"/>
        </w:rPr>
        <w:t>区级资金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25.95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万元</w:t>
      </w:r>
      <w:r>
        <w:rPr>
          <w:rFonts w:ascii="Times New Roman" w:hAnsi="Times New Roman" w:eastAsia="仿宋_GB2312"/>
          <w:color w:val="000000"/>
          <w:sz w:val="32"/>
          <w:szCs w:val="32"/>
        </w:rPr>
        <w:t>，上级资金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38.91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万元。</w:t>
      </w:r>
      <w:r>
        <w:rPr>
          <w:rFonts w:ascii="Times New Roman" w:hAnsi="Times New Roman" w:eastAsia="仿宋_GB2312"/>
          <w:color w:val="000000"/>
          <w:sz w:val="32"/>
          <w:szCs w:val="32"/>
        </w:rPr>
        <w:t>全年执行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64.86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万元，预算执行率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/>
          <w:color w:val="000000"/>
          <w:sz w:val="32"/>
          <w:szCs w:val="32"/>
        </w:rPr>
        <w:t>%，得分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 w14:paraId="6F3DBD7D">
      <w:pPr>
        <w:widowControl/>
        <w:spacing w:line="60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二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）产出指标（满分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50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分，实得50分）</w:t>
      </w:r>
    </w:p>
    <w:p w14:paraId="2D96796D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1.数量指标（满分</w:t>
      </w:r>
      <w:r>
        <w:rPr>
          <w:rFonts w:hint="eastAsia" w:ascii="Times New Roman" w:hAnsi="Times New Roman" w:eastAsia="仿宋_GB2312"/>
          <w:sz w:val="32"/>
          <w:szCs w:val="32"/>
        </w:rPr>
        <w:t>1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sz w:val="32"/>
          <w:szCs w:val="32"/>
        </w:rPr>
        <w:t>分，</w:t>
      </w:r>
      <w:r>
        <w:rPr>
          <w:rFonts w:ascii="Times New Roman" w:hAnsi="Times New Roman" w:eastAsia="仿宋_GB2312"/>
          <w:color w:val="000000"/>
          <w:sz w:val="32"/>
          <w:szCs w:val="32"/>
        </w:rPr>
        <w:t>实得1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56E8593F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年度设定的数量指标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个，完成项目覆盖学生数</w:t>
      </w:r>
      <w:r>
        <w:rPr>
          <w:rFonts w:ascii="Times New Roman" w:hAnsi="Times New Roman" w:eastAsia="仿宋_GB2312"/>
          <w:color w:val="000000"/>
          <w:sz w:val="32"/>
          <w:szCs w:val="32"/>
        </w:rPr>
        <w:t>不少于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872人，班级数不少于20个班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。</w:t>
      </w:r>
      <w:r>
        <w:rPr>
          <w:rFonts w:ascii="Times New Roman" w:hAnsi="Times New Roman" w:eastAsia="仿宋_GB2312"/>
          <w:color w:val="000000"/>
          <w:sz w:val="32"/>
          <w:szCs w:val="32"/>
        </w:rPr>
        <w:t>截至2024年底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，</w:t>
      </w:r>
      <w:r>
        <w:rPr>
          <w:rFonts w:ascii="Times New Roman" w:hAnsi="Times New Roman" w:eastAsia="仿宋_GB2312"/>
          <w:color w:val="000000"/>
          <w:sz w:val="32"/>
          <w:szCs w:val="32"/>
        </w:rPr>
        <w:t>学校完成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校园文化建设8次，</w:t>
      </w:r>
      <w:r>
        <w:rPr>
          <w:rFonts w:ascii="Times New Roman" w:hAnsi="Times New Roman" w:eastAsia="仿宋_GB2312"/>
          <w:color w:val="000000"/>
          <w:sz w:val="32"/>
          <w:szCs w:val="32"/>
        </w:rPr>
        <w:t>教学楼维修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及</w:t>
      </w:r>
      <w:r>
        <w:rPr>
          <w:rFonts w:ascii="Times New Roman" w:hAnsi="Times New Roman" w:eastAsia="仿宋_GB2312"/>
          <w:color w:val="000000"/>
          <w:sz w:val="32"/>
          <w:szCs w:val="32"/>
        </w:rPr>
        <w:t>其他日常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维修40余次，教师集中</w:t>
      </w:r>
      <w:r>
        <w:rPr>
          <w:rFonts w:ascii="Times New Roman" w:hAnsi="Times New Roman" w:eastAsia="仿宋_GB2312"/>
          <w:color w:val="000000"/>
          <w:sz w:val="32"/>
          <w:szCs w:val="32"/>
        </w:rPr>
        <w:t>培训、远程培训及个人外出培训共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10次，其他</w:t>
      </w:r>
      <w:r>
        <w:rPr>
          <w:rFonts w:ascii="Times New Roman" w:hAnsi="Times New Roman" w:eastAsia="仿宋_GB2312"/>
          <w:color w:val="000000"/>
          <w:sz w:val="32"/>
          <w:szCs w:val="32"/>
        </w:rPr>
        <w:t>各项教育教学活动30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余次</w:t>
      </w:r>
      <w:r>
        <w:rPr>
          <w:rFonts w:ascii="Times New Roman" w:hAnsi="Times New Roman" w:eastAsia="仿宋_GB2312"/>
          <w:color w:val="000000"/>
          <w:sz w:val="32"/>
          <w:szCs w:val="32"/>
        </w:rPr>
        <w:t>等，保证了教育教学的正常运转。实际完成率为100%，得分1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 w14:paraId="299D0247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2.时效指标（满分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1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分，实得1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6DBE9EE8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年度设定的时效指标1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个</w:t>
      </w:r>
      <w:r>
        <w:rPr>
          <w:rFonts w:ascii="Times New Roman" w:hAnsi="Times New Roman" w:eastAsia="仿宋_GB2312"/>
          <w:color w:val="000000"/>
          <w:sz w:val="32"/>
          <w:szCs w:val="32"/>
        </w:rPr>
        <w:t>，为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经费</w:t>
      </w:r>
      <w:r>
        <w:rPr>
          <w:rFonts w:ascii="Times New Roman" w:hAnsi="Times New Roman" w:eastAsia="仿宋_GB2312"/>
          <w:color w:val="000000"/>
          <w:sz w:val="32"/>
          <w:szCs w:val="32"/>
        </w:rPr>
        <w:t>支出时效性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。</w:t>
      </w:r>
      <w:r>
        <w:rPr>
          <w:rFonts w:ascii="Times New Roman" w:hAnsi="Times New Roman" w:eastAsia="仿宋_GB2312"/>
          <w:color w:val="000000"/>
          <w:sz w:val="32"/>
          <w:szCs w:val="32"/>
        </w:rPr>
        <w:t>实际完成情况达成预期指标</w:t>
      </w:r>
      <w:r>
        <w:rPr>
          <w:rFonts w:ascii="Times New Roman" w:hAnsi="Times New Roman" w:eastAsia="仿宋_GB2312"/>
          <w:b/>
          <w:color w:val="000000"/>
          <w:sz w:val="32"/>
          <w:szCs w:val="32"/>
        </w:rPr>
        <w:t>，</w:t>
      </w:r>
      <w:r>
        <w:rPr>
          <w:rFonts w:ascii="Times New Roman" w:hAnsi="Times New Roman" w:eastAsia="仿宋_GB2312"/>
          <w:color w:val="000000"/>
          <w:sz w:val="32"/>
          <w:szCs w:val="32"/>
        </w:rPr>
        <w:t>得分1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 w14:paraId="4433B51C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3.质量指标（满分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1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分，实得1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0A57E321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年度设定的质量指标2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个</w:t>
      </w:r>
      <w:r>
        <w:rPr>
          <w:rFonts w:ascii="Times New Roman" w:hAnsi="Times New Roman" w:eastAsia="仿宋_GB2312"/>
          <w:color w:val="000000"/>
          <w:sz w:val="32"/>
          <w:szCs w:val="32"/>
        </w:rPr>
        <w:t>，为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项目完成合格率和项目验收合格率。</w:t>
      </w:r>
      <w:r>
        <w:rPr>
          <w:rFonts w:ascii="Times New Roman" w:hAnsi="Times New Roman" w:eastAsia="仿宋_GB2312"/>
          <w:color w:val="000000"/>
          <w:sz w:val="32"/>
          <w:szCs w:val="32"/>
        </w:rPr>
        <w:t>实际完成情况为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合格率100%，</w:t>
      </w:r>
      <w:r>
        <w:rPr>
          <w:rFonts w:ascii="Times New Roman" w:hAnsi="Times New Roman" w:eastAsia="仿宋_GB2312"/>
          <w:color w:val="000000"/>
          <w:sz w:val="32"/>
          <w:szCs w:val="32"/>
        </w:rPr>
        <w:t>达成预期指标，得分1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 w14:paraId="3BEDF613">
      <w:pPr>
        <w:spacing w:line="60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4.成本指标（满分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1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分，实得1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  <w:r>
        <w:rPr>
          <w:rFonts w:ascii="Times New Roman" w:hAnsi="Times New Roman" w:eastAsia="仿宋_GB2312"/>
          <w:sz w:val="32"/>
          <w:szCs w:val="32"/>
        </w:rPr>
        <w:tab/>
      </w:r>
    </w:p>
    <w:p w14:paraId="49BBE998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 xml:space="preserve">年度设定的成本指标1 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个</w:t>
      </w:r>
      <w:r>
        <w:rPr>
          <w:rFonts w:ascii="Times New Roman" w:hAnsi="Times New Roman" w:eastAsia="仿宋_GB2312"/>
          <w:color w:val="000000"/>
          <w:sz w:val="32"/>
          <w:szCs w:val="32"/>
        </w:rPr>
        <w:t>，为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项目总成本不</w:t>
      </w:r>
      <w:r>
        <w:rPr>
          <w:rFonts w:ascii="Times New Roman" w:hAnsi="Times New Roman" w:eastAsia="仿宋_GB2312"/>
          <w:color w:val="000000"/>
          <w:sz w:val="32"/>
          <w:szCs w:val="32"/>
        </w:rPr>
        <w:t>超过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64.96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万元。</w:t>
      </w:r>
      <w:r>
        <w:rPr>
          <w:rFonts w:ascii="Times New Roman" w:hAnsi="Times New Roman" w:eastAsia="仿宋_GB2312"/>
          <w:color w:val="000000"/>
          <w:sz w:val="32"/>
          <w:szCs w:val="32"/>
        </w:rPr>
        <w:t>实际完成情况为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全年共</w:t>
      </w:r>
      <w:r>
        <w:rPr>
          <w:rFonts w:ascii="Times New Roman" w:hAnsi="Times New Roman" w:eastAsia="仿宋_GB2312"/>
          <w:color w:val="000000"/>
          <w:sz w:val="32"/>
          <w:szCs w:val="32"/>
        </w:rPr>
        <w:t>支出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64.86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万元</w:t>
      </w:r>
      <w:r>
        <w:rPr>
          <w:rFonts w:ascii="Times New Roman" w:hAnsi="Times New Roman" w:eastAsia="仿宋_GB2312"/>
          <w:color w:val="000000"/>
          <w:sz w:val="32"/>
          <w:szCs w:val="32"/>
        </w:rPr>
        <w:t>，得分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 w14:paraId="674CE9A5">
      <w:pPr>
        <w:widowControl/>
        <w:spacing w:line="600" w:lineRule="exact"/>
        <w:ind w:right="-283"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三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）效益指标（满分30分，实得30分）</w:t>
      </w:r>
    </w:p>
    <w:p w14:paraId="193C3559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1.经济效益指标（满分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02AB8FF8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2.社会效益指标（满分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10F2C21A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3.生态效益指标（满分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2422197E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4.可持续影响指标（满分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131730BF">
      <w:pPr>
        <w:spacing w:line="600" w:lineRule="exact"/>
        <w:ind w:right="-283" w:firstLine="643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四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满意度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指标（满分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10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10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 w14:paraId="4883B5EC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满意度</w:t>
      </w:r>
      <w:r>
        <w:rPr>
          <w:rFonts w:ascii="Times New Roman" w:hAnsi="Times New Roman" w:eastAsia="仿宋_GB2312"/>
          <w:color w:val="000000"/>
          <w:sz w:val="32"/>
          <w:szCs w:val="32"/>
        </w:rPr>
        <w:t>指标（满分10分，实得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3474BEA9">
      <w:pPr>
        <w:widowControl/>
        <w:numPr>
          <w:ilvl w:val="0"/>
          <w:numId w:val="1"/>
        </w:numPr>
        <w:spacing w:line="600" w:lineRule="exact"/>
        <w:ind w:firstLine="640" w:firstLineChars="200"/>
        <w:rPr>
          <w:rFonts w:hint="default" w:ascii="Times New Roman" w:hAnsi="Times New Roman" w:eastAsia="黑体"/>
          <w:color w:val="000000"/>
          <w:sz w:val="32"/>
          <w:szCs w:val="32"/>
          <w:lang w:val="en-US"/>
        </w:rPr>
      </w:pPr>
      <w:r>
        <w:rPr>
          <w:rFonts w:hint="default" w:ascii="Times New Roman" w:hAnsi="Times New Roman" w:eastAsia="黑体"/>
          <w:color w:val="000000"/>
          <w:sz w:val="32"/>
          <w:szCs w:val="32"/>
          <w:lang w:val="en-US"/>
        </w:rPr>
        <w:t xml:space="preserve">存在问题 </w:t>
      </w:r>
    </w:p>
    <w:p w14:paraId="38EF0256">
      <w:pPr>
        <w:widowControl/>
        <w:numPr>
          <w:ilvl w:val="0"/>
          <w:numId w:val="0"/>
        </w:num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/>
        </w:rPr>
        <w:t xml:space="preserve">经评估可知，2024 年度城乡义务教育补助经费项目在实施过程中虽取得了一定成果，但仍存在一些问题与不足，具体表现如下： </w:t>
      </w:r>
    </w:p>
    <w:p w14:paraId="7A16E2AD">
      <w:pPr>
        <w:widowControl/>
        <w:numPr>
          <w:ilvl w:val="0"/>
          <w:numId w:val="0"/>
        </w:num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/>
        </w:rPr>
        <w:t>其一，单位内各部门对预算绩效管理的认知及重视程度有待提升，分工尚不明确，缺乏业务科室之间的协同配合，这在一定程度上影响了预算绩效管理的整体效果。</w:t>
      </w:r>
    </w:p>
    <w:p w14:paraId="6839DB24">
      <w:pPr>
        <w:widowControl/>
        <w:numPr>
          <w:ilvl w:val="0"/>
          <w:numId w:val="0"/>
        </w:num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/>
        </w:rPr>
        <w:t xml:space="preserve"> 其二，预算绩效目标不够清晰明确，预算指标不够精细，致使业务管理与绩效管理之间出现了脱节现象，无法实现两者的有机融合与协同发展。</w:t>
      </w:r>
    </w:p>
    <w:p w14:paraId="2E507810">
      <w:pPr>
        <w:widowControl/>
        <w:numPr>
          <w:ilvl w:val="0"/>
          <w:numId w:val="1"/>
        </w:numPr>
        <w:spacing w:line="600" w:lineRule="exact"/>
        <w:ind w:left="0" w:leftChars="0" w:firstLine="640" w:firstLineChars="200"/>
        <w:rPr>
          <w:rFonts w:hint="default" w:ascii="Times New Roman" w:hAnsi="Times New Roman" w:eastAsia="黑体"/>
          <w:color w:val="000000"/>
          <w:sz w:val="32"/>
          <w:szCs w:val="32"/>
          <w:lang w:val="en-US"/>
        </w:rPr>
      </w:pPr>
      <w:r>
        <w:rPr>
          <w:rFonts w:hint="default" w:ascii="Times New Roman" w:hAnsi="Times New Roman" w:eastAsia="黑体"/>
          <w:color w:val="000000"/>
          <w:sz w:val="32"/>
          <w:szCs w:val="32"/>
          <w:lang w:val="en-US"/>
        </w:rPr>
        <w:t xml:space="preserve">意见和建议 </w:t>
      </w:r>
    </w:p>
    <w:p w14:paraId="3C75C614">
      <w:pPr>
        <w:widowControl/>
        <w:numPr>
          <w:ilvl w:val="0"/>
          <w:numId w:val="0"/>
        </w:num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/>
        </w:rPr>
        <w:t xml:space="preserve">为切实提高专项资金的使用效益，针对上述存在的问题，特提出以下建议： </w:t>
      </w:r>
    </w:p>
    <w:p w14:paraId="49002EF5">
      <w:pPr>
        <w:widowControl/>
        <w:numPr>
          <w:ilvl w:val="0"/>
          <w:numId w:val="0"/>
        </w:num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/>
        </w:rPr>
        <w:t xml:space="preserve">一是应高度重视单位的预算编制工作，使预算更加细化、合理，做到不留任何缺口与空项，同时加强各业务科室之间的协调配合，形成工作合力。 </w:t>
      </w:r>
    </w:p>
    <w:p w14:paraId="6296CD0F">
      <w:pPr>
        <w:widowControl/>
        <w:numPr>
          <w:ilvl w:val="0"/>
          <w:numId w:val="0"/>
        </w:num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/>
        </w:rPr>
        <w:t xml:space="preserve">二是要将预算资金分析常态化，定期开展预算支出分析工作，认真做好项目支出预算的评价工作，以确保专项资金的使用符合预期目标和效益要求。 </w:t>
      </w:r>
    </w:p>
    <w:p w14:paraId="10D6F040"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六、</w:t>
      </w:r>
      <w:r>
        <w:rPr>
          <w:rFonts w:hint="eastAsia" w:ascii="Times New Roman" w:hAnsi="Times New Roman" w:eastAsia="黑体"/>
          <w:color w:val="000000"/>
          <w:sz w:val="32"/>
          <w:szCs w:val="32"/>
        </w:rPr>
        <w:t>评价</w:t>
      </w:r>
      <w:r>
        <w:rPr>
          <w:rFonts w:ascii="Times New Roman" w:hAnsi="Times New Roman" w:eastAsia="黑体"/>
          <w:color w:val="000000"/>
          <w:sz w:val="32"/>
          <w:szCs w:val="32"/>
        </w:rPr>
        <w:t>依据</w:t>
      </w:r>
    </w:p>
    <w:p w14:paraId="0160EC48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（1）、财政部关于印发《项目支出绩效评价管理办法》的通知</w:t>
      </w:r>
    </w:p>
    <w:p w14:paraId="65982C0F">
      <w:pPr>
        <w:widowControl/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（2）、《合肥市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东风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小学部门绩效自评办法》</w:t>
      </w:r>
    </w:p>
    <w:p w14:paraId="30127B70"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七、附件</w:t>
      </w:r>
    </w:p>
    <w:p w14:paraId="71B7FF38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1.项目支出绩效自评表（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从预算管理一体化系统导出</w:t>
      </w:r>
      <w:r>
        <w:rPr>
          <w:rFonts w:ascii="Times New Roman" w:hAnsi="Times New Roman" w:eastAsia="仿宋_GB2312"/>
          <w:color w:val="000000"/>
          <w:sz w:val="32"/>
          <w:szCs w:val="32"/>
        </w:rPr>
        <w:t>）</w:t>
      </w:r>
    </w:p>
    <w:p w14:paraId="4FBE13F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B57226"/>
    <w:multiLevelType w:val="singleLevel"/>
    <w:tmpl w:val="2FB57226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274C"/>
    <w:rsid w:val="00013EE2"/>
    <w:rsid w:val="00072ABE"/>
    <w:rsid w:val="00074476"/>
    <w:rsid w:val="000F67BB"/>
    <w:rsid w:val="00205B24"/>
    <w:rsid w:val="00266FE9"/>
    <w:rsid w:val="002B5F1D"/>
    <w:rsid w:val="003203E6"/>
    <w:rsid w:val="00367A99"/>
    <w:rsid w:val="00420F64"/>
    <w:rsid w:val="0046453D"/>
    <w:rsid w:val="004847DC"/>
    <w:rsid w:val="005778A8"/>
    <w:rsid w:val="005A38AB"/>
    <w:rsid w:val="00643F3A"/>
    <w:rsid w:val="00644BB9"/>
    <w:rsid w:val="00671ADA"/>
    <w:rsid w:val="006D5711"/>
    <w:rsid w:val="006E7451"/>
    <w:rsid w:val="007452AC"/>
    <w:rsid w:val="008266D5"/>
    <w:rsid w:val="00843D9C"/>
    <w:rsid w:val="00866B8E"/>
    <w:rsid w:val="008A6399"/>
    <w:rsid w:val="0090586B"/>
    <w:rsid w:val="00926ACF"/>
    <w:rsid w:val="00997D50"/>
    <w:rsid w:val="00AA0CAB"/>
    <w:rsid w:val="00AE0B9F"/>
    <w:rsid w:val="00B228EB"/>
    <w:rsid w:val="00B95199"/>
    <w:rsid w:val="00BC2F8E"/>
    <w:rsid w:val="00CA025E"/>
    <w:rsid w:val="00CC7EEC"/>
    <w:rsid w:val="00DB3AF8"/>
    <w:rsid w:val="00E32496"/>
    <w:rsid w:val="00E35CD9"/>
    <w:rsid w:val="00EA4B4A"/>
    <w:rsid w:val="00EB0A89"/>
    <w:rsid w:val="00ED67F4"/>
    <w:rsid w:val="00EF354F"/>
    <w:rsid w:val="00F20B3F"/>
    <w:rsid w:val="00F24334"/>
    <w:rsid w:val="00F26FDB"/>
    <w:rsid w:val="00F459EE"/>
    <w:rsid w:val="00F56044"/>
    <w:rsid w:val="00FC6A78"/>
    <w:rsid w:val="00FE3844"/>
    <w:rsid w:val="176B19E6"/>
    <w:rsid w:val="3EC57D08"/>
    <w:rsid w:val="45264BBC"/>
    <w:rsid w:val="4B8B465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8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semiHidden/>
    <w:unhideWhenUsed/>
    <w:uiPriority w:val="99"/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footer"/>
    <w:basedOn w:val="1"/>
    <w:link w:val="1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标题 2 字符"/>
    <w:basedOn w:val="7"/>
    <w:link w:val="2"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paragraph" w:customStyle="1" w:styleId="9">
    <w:name w:val="表格标题"/>
    <w:basedOn w:val="1"/>
    <w:link w:val="10"/>
    <w:qFormat/>
    <w:uiPriority w:val="0"/>
    <w:pPr>
      <w:jc w:val="left"/>
    </w:pPr>
    <w:rPr>
      <w:rFonts w:ascii="仿宋" w:hAnsi="仿宋" w:eastAsia="仿宋" w:cs="仿宋"/>
      <w:kern w:val="0"/>
      <w:sz w:val="30"/>
      <w:szCs w:val="30"/>
      <w:lang w:val="zh-CN" w:bidi="zh-CN"/>
    </w:rPr>
  </w:style>
  <w:style w:type="character" w:customStyle="1" w:styleId="10">
    <w:name w:val="表格标题_"/>
    <w:basedOn w:val="7"/>
    <w:link w:val="9"/>
    <w:uiPriority w:val="0"/>
    <w:rPr>
      <w:rFonts w:ascii="仿宋" w:hAnsi="仿宋" w:eastAsia="仿宋" w:cs="仿宋"/>
      <w:kern w:val="0"/>
      <w:sz w:val="30"/>
      <w:szCs w:val="30"/>
      <w:lang w:val="zh-CN" w:bidi="zh-CN"/>
    </w:rPr>
  </w:style>
  <w:style w:type="paragraph" w:styleId="11">
    <w:name w:val="List Paragraph"/>
    <w:basedOn w:val="1"/>
    <w:unhideWhenUsed/>
    <w:uiPriority w:val="99"/>
    <w:pPr>
      <w:ind w:firstLine="420" w:firstLineChars="200"/>
    </w:pPr>
    <w:rPr>
      <w:rFonts w:asciiTheme="minorHAnsi" w:hAnsiTheme="minorHAnsi" w:eastAsiaTheme="minorEastAsia" w:cstheme="minorBidi"/>
    </w:rPr>
  </w:style>
  <w:style w:type="character" w:customStyle="1" w:styleId="12">
    <w:name w:val="批注框文本 字符"/>
    <w:basedOn w:val="7"/>
    <w:link w:val="3"/>
    <w:semiHidden/>
    <w:qFormat/>
    <w:uiPriority w:val="99"/>
    <w:rPr>
      <w:sz w:val="18"/>
      <w:szCs w:val="18"/>
    </w:rPr>
  </w:style>
  <w:style w:type="paragraph" w:customStyle="1" w:styleId="13">
    <w:name w:val="正文文本 (2)"/>
    <w:basedOn w:val="1"/>
    <w:link w:val="14"/>
    <w:qFormat/>
    <w:uiPriority w:val="0"/>
    <w:pPr>
      <w:spacing w:line="560" w:lineRule="exact"/>
      <w:ind w:firstLine="720"/>
      <w:jc w:val="left"/>
    </w:pPr>
    <w:rPr>
      <w:rFonts w:ascii="微软雅黑" w:hAnsi="微软雅黑" w:eastAsia="微软雅黑" w:cs="微软雅黑"/>
      <w:kern w:val="0"/>
      <w:sz w:val="30"/>
      <w:szCs w:val="30"/>
      <w:lang w:val="zh-CN" w:bidi="zh-CN"/>
    </w:rPr>
  </w:style>
  <w:style w:type="character" w:customStyle="1" w:styleId="14">
    <w:name w:val="正文文本 (2)_"/>
    <w:basedOn w:val="7"/>
    <w:link w:val="13"/>
    <w:qFormat/>
    <w:uiPriority w:val="0"/>
    <w:rPr>
      <w:rFonts w:ascii="微软雅黑" w:hAnsi="微软雅黑" w:eastAsia="微软雅黑" w:cs="微软雅黑"/>
      <w:kern w:val="0"/>
      <w:sz w:val="30"/>
      <w:szCs w:val="30"/>
      <w:lang w:val="zh-CN" w:bidi="zh-CN"/>
    </w:rPr>
  </w:style>
  <w:style w:type="paragraph" w:customStyle="1" w:styleId="15">
    <w:name w:val="正文文本1"/>
    <w:basedOn w:val="1"/>
    <w:link w:val="16"/>
    <w:qFormat/>
    <w:uiPriority w:val="0"/>
    <w:pPr>
      <w:spacing w:line="394" w:lineRule="auto"/>
      <w:ind w:firstLine="400"/>
      <w:jc w:val="left"/>
    </w:pPr>
    <w:rPr>
      <w:rFonts w:ascii="仿宋" w:hAnsi="仿宋" w:eastAsia="仿宋" w:cs="仿宋"/>
      <w:kern w:val="0"/>
      <w:sz w:val="30"/>
      <w:szCs w:val="30"/>
      <w:lang w:val="zh-CN" w:bidi="zh-CN"/>
    </w:rPr>
  </w:style>
  <w:style w:type="character" w:customStyle="1" w:styleId="16">
    <w:name w:val="正文文本_"/>
    <w:basedOn w:val="7"/>
    <w:link w:val="15"/>
    <w:uiPriority w:val="0"/>
    <w:rPr>
      <w:rFonts w:ascii="仿宋" w:hAnsi="仿宋" w:eastAsia="仿宋" w:cs="仿宋"/>
      <w:kern w:val="0"/>
      <w:sz w:val="30"/>
      <w:szCs w:val="30"/>
      <w:lang w:val="zh-CN" w:bidi="zh-CN"/>
    </w:rPr>
  </w:style>
  <w:style w:type="character" w:customStyle="1" w:styleId="17">
    <w:name w:val="页眉 字符"/>
    <w:basedOn w:val="7"/>
    <w:link w:val="5"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8">
    <w:name w:val="页脚 字符"/>
    <w:basedOn w:val="7"/>
    <w:link w:val="4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6</Pages>
  <Words>2062</Words>
  <Characters>2231</Characters>
  <Lines>16</Lines>
  <Paragraphs>4</Paragraphs>
  <TotalTime>17</TotalTime>
  <ScaleCrop>false</ScaleCrop>
  <LinksUpToDate>false</LinksUpToDate>
  <CharactersWithSpaces>2379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2023-02-28T01:35:00Z</dcterms:created>
  <dc:creator>User</dc:creator>
  <cp:lastModifiedBy>睿不可挡</cp:lastModifiedBy>
  <cp:lastPrinted>2025-03-04T03:01:00Z</cp:lastPrinted>
  <dcterms:modified xsi:type="dcterms:W3CDTF">2025-09-01T06:14:42Z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eyJoZGlkIjoiYmRhY2EyODI1MWIwYTJhNmExN2M0MGI1ZjRlYTAwZTQiLCJ1c2VySWQiOiIyOTcyOTY4MDIifQ==</vt:lpwstr>
  </property>
  <property fmtid="{D5CDD505-2E9C-101B-9397-08002B2CF9AE}" pid="3" name="KSOProductBuildVer">
    <vt:lpwstr>2052-12.1.0.22529</vt:lpwstr>
  </property>
  <property fmtid="{D5CDD505-2E9C-101B-9397-08002B2CF9AE}" pid="4" name="ICV">
    <vt:lpwstr>559CE92AC80747F7A98919FC4CE16CE4_13</vt:lpwstr>
  </property>
</Properties>
</file>