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Times New Roman" w:hAnsi="Times New Roman" w:eastAsia="黑体"/>
          <w:bCs/>
          <w:sz w:val="32"/>
          <w:szCs w:val="32"/>
          <w:lang w:val="en-US" w:eastAsia="zh-CN"/>
        </w:rPr>
      </w:pPr>
      <w:r>
        <w:rPr>
          <w:rFonts w:ascii="Times New Roman" w:hAnsi="Times New Roman" w:eastAsia="黑体"/>
          <w:bCs/>
          <w:sz w:val="32"/>
          <w:szCs w:val="32"/>
        </w:rPr>
        <w:t>附件</w:t>
      </w:r>
      <w:r>
        <w:rPr>
          <w:rFonts w:hint="eastAsia" w:ascii="Times New Roman" w:hAnsi="Times New Roman" w:eastAsia="黑体"/>
          <w:bCs/>
          <w:sz w:val="32"/>
          <w:szCs w:val="32"/>
          <w:lang w:val="en-US" w:eastAsia="zh-CN"/>
        </w:rPr>
        <w:t>2</w:t>
      </w:r>
    </w:p>
    <w:p>
      <w:pPr>
        <w:spacing w:before="156" w:line="600" w:lineRule="exact"/>
        <w:ind w:right="119"/>
        <w:jc w:val="right"/>
        <w:rPr>
          <w:rFonts w:hint="default" w:ascii="Times New Roman" w:hAnsi="Times New Roman" w:eastAsia="华文楷体"/>
          <w:bCs/>
          <w:sz w:val="18"/>
          <w:szCs w:val="18"/>
          <w:lang w:val="en-US" w:eastAsia="zh-CN"/>
        </w:rPr>
      </w:pPr>
      <w:r>
        <w:rPr>
          <w:rFonts w:ascii="Times New Roman" w:hAnsi="Times New Roman"/>
          <w:bCs/>
          <w:sz w:val="18"/>
          <w:szCs w:val="18"/>
        </w:rPr>
        <w:t>项目序号</w:t>
      </w:r>
      <w:r>
        <w:rPr>
          <w:rFonts w:ascii="Times New Roman" w:hAnsi="Times New Roman" w:eastAsia="华文楷体"/>
          <w:bCs/>
          <w:sz w:val="18"/>
          <w:szCs w:val="18"/>
        </w:rPr>
        <w:t>：</w:t>
      </w:r>
    </w:p>
    <w:p>
      <w:pPr>
        <w:ind w:right="120"/>
        <w:jc w:val="right"/>
        <w:rPr>
          <w:rFonts w:ascii="Times New Roman" w:hAnsi="Times New Roman" w:eastAsia="华文楷体"/>
          <w:bCs/>
          <w:sz w:val="16"/>
          <w:szCs w:val="21"/>
        </w:rPr>
      </w:pPr>
    </w:p>
    <w:p>
      <w:pPr>
        <w:ind w:right="120"/>
        <w:jc w:val="right"/>
        <w:rPr>
          <w:rFonts w:ascii="Times New Roman" w:hAnsi="Times New Roman" w:eastAsia="华文楷体"/>
          <w:bCs/>
          <w:sz w:val="16"/>
          <w:szCs w:val="21"/>
        </w:rPr>
      </w:pPr>
    </w:p>
    <w:p>
      <w:pPr>
        <w:jc w:val="center"/>
        <w:rPr>
          <w:rFonts w:ascii="Times New Roman" w:hAnsi="Times New Roman" w:eastAsia="黑体"/>
          <w:bCs/>
          <w:sz w:val="44"/>
        </w:rPr>
      </w:pPr>
    </w:p>
    <w:p>
      <w:pPr>
        <w:jc w:val="center"/>
        <w:rPr>
          <w:rFonts w:ascii="Times New Roman" w:hAnsi="Times New Roman" w:eastAsia="黑体"/>
          <w:bCs/>
          <w:sz w:val="44"/>
        </w:rPr>
      </w:pPr>
    </w:p>
    <w:p>
      <w:pPr>
        <w:spacing w:line="600" w:lineRule="exact"/>
        <w:jc w:val="center"/>
        <w:rPr>
          <w:rFonts w:ascii="Times New Roman" w:hAnsi="Times New Roman" w:eastAsia="方正小标宋简体"/>
          <w:bCs/>
          <w:sz w:val="44"/>
        </w:rPr>
      </w:pPr>
      <w:r>
        <w:rPr>
          <w:rFonts w:ascii="Times New Roman" w:hAnsi="Times New Roman" w:eastAsia="方正小标宋简体"/>
          <w:bCs/>
          <w:sz w:val="44"/>
        </w:rPr>
        <w:t>合肥市财政支出项目</w:t>
      </w:r>
      <w:r>
        <w:rPr>
          <w:rFonts w:hint="eastAsia" w:ascii="Times New Roman" w:hAnsi="Times New Roman" w:eastAsia="方正小标宋简体"/>
          <w:bCs/>
          <w:sz w:val="44"/>
        </w:rPr>
        <w:t>部门评价</w:t>
      </w:r>
      <w:r>
        <w:rPr>
          <w:rFonts w:ascii="Times New Roman" w:hAnsi="Times New Roman" w:eastAsia="方正小标宋简体"/>
          <w:bCs/>
          <w:sz w:val="44"/>
        </w:rPr>
        <w:t>报告</w:t>
      </w:r>
    </w:p>
    <w:p>
      <w:pPr>
        <w:jc w:val="center"/>
        <w:rPr>
          <w:rFonts w:ascii="Times New Roman" w:hAnsi="Times New Roman" w:eastAsia="楷体_GB2312"/>
          <w:b/>
          <w:bCs/>
          <w:sz w:val="32"/>
        </w:rPr>
      </w:pPr>
    </w:p>
    <w:p>
      <w:pPr>
        <w:spacing w:before="156" w:beforeLines="50" w:after="156" w:afterLines="50"/>
        <w:ind w:firstLine="614" w:firstLineChars="192"/>
        <w:rPr>
          <w:rFonts w:ascii="Times New Roman" w:hAnsi="Times New Roman" w:eastAsia="楷体_GB2312"/>
          <w:sz w:val="32"/>
        </w:rPr>
      </w:pPr>
    </w:p>
    <w:p>
      <w:pPr>
        <w:spacing w:before="156" w:beforeLines="50" w:after="156" w:afterLines="50"/>
        <w:ind w:left="3807" w:leftChars="289" w:hanging="3200" w:hangingChars="1000"/>
        <w:rPr>
          <w:rFonts w:ascii="Times New Roman" w:hAnsi="Times New Roman" w:eastAsia="楷体_GB2312"/>
          <w:sz w:val="32"/>
          <w:u w:val="single"/>
        </w:rPr>
      </w:pPr>
      <w:r>
        <w:rPr>
          <w:rFonts w:ascii="Times New Roman" w:hAnsi="Times New Roman" w:eastAsia="楷体_GB2312"/>
          <w:sz w:val="32"/>
        </w:rPr>
        <w:t>项   目   名   称 ：</w:t>
      </w:r>
      <w:r>
        <w:rPr>
          <w:rFonts w:hint="eastAsia" w:ascii="Times New Roman" w:hAnsi="Times New Roman" w:eastAsia="楷体_GB2312"/>
          <w:sz w:val="32"/>
          <w:u w:val="single"/>
          <w:lang w:val="en-US" w:eastAsia="zh-CN"/>
        </w:rPr>
        <w:t>13处城市阅读空间运营费用</w:t>
      </w:r>
      <w:r>
        <w:rPr>
          <w:rFonts w:ascii="Times New Roman" w:hAnsi="Times New Roman" w:eastAsia="楷体_GB2312"/>
          <w:sz w:val="32"/>
          <w:u w:val="single"/>
        </w:rPr>
        <w:t xml:space="preserve">                           </w:t>
      </w:r>
    </w:p>
    <w:p>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   目   单   位 ：</w:t>
      </w:r>
      <w:r>
        <w:rPr>
          <w:rFonts w:ascii="Times New Roman" w:hAnsi="Times New Roman" w:eastAsia="楷体_GB2312"/>
          <w:sz w:val="32"/>
          <w:u w:val="single"/>
        </w:rPr>
        <w:t xml:space="preserve">  </w:t>
      </w:r>
      <w:r>
        <w:rPr>
          <w:rFonts w:hint="eastAsia" w:ascii="Times New Roman" w:hAnsi="Times New Roman" w:eastAsia="楷体_GB2312"/>
          <w:sz w:val="32"/>
          <w:u w:val="single"/>
          <w:lang w:eastAsia="zh-CN"/>
        </w:rPr>
        <w:t>合肥市瑶海区文化和旅游局</w:t>
      </w:r>
      <w:r>
        <w:rPr>
          <w:rFonts w:ascii="Times New Roman" w:hAnsi="Times New Roman" w:eastAsia="楷体_GB2312"/>
          <w:sz w:val="32"/>
          <w:u w:val="single"/>
        </w:rPr>
        <w:t xml:space="preserve">                         </w:t>
      </w:r>
    </w:p>
    <w:p>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项目责任人 （签字）：</w:t>
      </w:r>
      <w:r>
        <w:rPr>
          <w:rFonts w:ascii="Times New Roman" w:hAnsi="Times New Roman" w:eastAsia="楷体_GB2312"/>
          <w:sz w:val="32"/>
          <w:u w:val="single"/>
        </w:rPr>
        <w:t xml:space="preserve">                           </w:t>
      </w:r>
    </w:p>
    <w:p>
      <w:pPr>
        <w:spacing w:before="156" w:beforeLines="50" w:after="156" w:afterLines="50"/>
        <w:ind w:firstLine="614" w:firstLineChars="192"/>
        <w:rPr>
          <w:rFonts w:ascii="Times New Roman" w:hAnsi="Times New Roman" w:eastAsia="楷体_GB2312"/>
          <w:sz w:val="32"/>
          <w:u w:val="single"/>
        </w:rPr>
      </w:pPr>
      <w:r>
        <w:rPr>
          <w:rFonts w:ascii="Times New Roman" w:hAnsi="Times New Roman" w:eastAsia="楷体_GB2312"/>
          <w:sz w:val="32"/>
        </w:rPr>
        <w:t>主 管 部 门（盖章）：</w:t>
      </w:r>
      <w:r>
        <w:rPr>
          <w:rFonts w:ascii="Times New Roman" w:hAnsi="Times New Roman" w:eastAsia="楷体_GB2312"/>
          <w:sz w:val="32"/>
          <w:u w:val="single"/>
        </w:rPr>
        <w:t xml:space="preserve">  </w:t>
      </w:r>
      <w:r>
        <w:rPr>
          <w:rFonts w:hint="eastAsia" w:ascii="Times New Roman" w:hAnsi="Times New Roman" w:eastAsia="楷体_GB2312"/>
          <w:sz w:val="32"/>
          <w:u w:val="single"/>
          <w:lang w:eastAsia="zh-CN"/>
        </w:rPr>
        <w:t>合肥市瑶海区文化和旅游局</w:t>
      </w:r>
      <w:r>
        <w:rPr>
          <w:rFonts w:ascii="Times New Roman" w:hAnsi="Times New Roman" w:eastAsia="楷体_GB2312"/>
          <w:sz w:val="32"/>
          <w:u w:val="single"/>
        </w:rPr>
        <w:t xml:space="preserve">                         </w:t>
      </w:r>
    </w:p>
    <w:p>
      <w:pPr>
        <w:spacing w:before="156" w:beforeLines="50" w:after="156" w:afterLines="50"/>
        <w:ind w:firstLine="614" w:firstLineChars="192"/>
        <w:rPr>
          <w:rFonts w:ascii="Times New Roman" w:hAnsi="Times New Roman" w:eastAsia="楷体_GB2312"/>
          <w:sz w:val="32"/>
        </w:rPr>
      </w:pPr>
    </w:p>
    <w:p>
      <w:pPr>
        <w:ind w:firstLine="614" w:firstLineChars="192"/>
        <w:jc w:val="center"/>
        <w:rPr>
          <w:rFonts w:ascii="Times New Roman" w:hAnsi="Times New Roman" w:eastAsia="楷体_GB2312"/>
          <w:sz w:val="32"/>
        </w:rPr>
      </w:pPr>
    </w:p>
    <w:p>
      <w:pPr>
        <w:spacing w:line="600" w:lineRule="exact"/>
        <w:jc w:val="center"/>
        <w:rPr>
          <w:rFonts w:ascii="Times New Roman" w:hAnsi="Times New Roman" w:eastAsia="方正小标宋简体"/>
          <w:bCs/>
          <w:sz w:val="44"/>
          <w:szCs w:val="24"/>
        </w:rPr>
      </w:pPr>
      <w:r>
        <w:rPr>
          <w:rFonts w:ascii="Times New Roman" w:hAnsi="Times New Roman" w:eastAsia="楷体"/>
          <w:sz w:val="32"/>
        </w:rPr>
        <w:t xml:space="preserve">      202</w:t>
      </w:r>
      <w:r>
        <w:rPr>
          <w:rFonts w:hint="eastAsia" w:ascii="Times New Roman" w:hAnsi="Times New Roman" w:eastAsia="楷体"/>
          <w:sz w:val="32"/>
          <w:lang w:val="en-US" w:eastAsia="zh-CN"/>
        </w:rPr>
        <w:t>5</w:t>
      </w:r>
      <w:r>
        <w:rPr>
          <w:rFonts w:ascii="Times New Roman" w:hAnsi="Times New Roman" w:eastAsia="楷体_GB2312"/>
          <w:sz w:val="32"/>
        </w:rPr>
        <w:t>年</w:t>
      </w:r>
      <w:r>
        <w:rPr>
          <w:rFonts w:ascii="Times New Roman" w:hAnsi="Times New Roman" w:eastAsia="楷体"/>
          <w:sz w:val="32"/>
        </w:rPr>
        <w:t>1</w:t>
      </w:r>
      <w:r>
        <w:rPr>
          <w:rFonts w:ascii="Times New Roman" w:hAnsi="Times New Roman" w:eastAsia="楷体_GB2312"/>
          <w:sz w:val="32"/>
        </w:rPr>
        <w:t>月</w:t>
      </w:r>
      <w:r>
        <w:rPr>
          <w:rFonts w:ascii="Times New Roman" w:hAnsi="Times New Roman" w:eastAsia="楷体_GB2312"/>
          <w:sz w:val="32"/>
        </w:rPr>
        <w:br w:type="page"/>
      </w:r>
      <w:r>
        <w:rPr>
          <w:rFonts w:hint="eastAsia" w:ascii="Times New Roman" w:hAnsi="Times New Roman" w:eastAsia="方正小标宋简体"/>
          <w:bCs/>
          <w:sz w:val="44"/>
          <w:szCs w:val="24"/>
        </w:rPr>
        <w:t>13处城市阅读空间运营费用</w:t>
      </w:r>
      <w:r>
        <w:rPr>
          <w:rFonts w:ascii="Times New Roman" w:hAnsi="Times New Roman" w:eastAsia="方正小标宋简体"/>
          <w:bCs/>
          <w:sz w:val="44"/>
          <w:szCs w:val="24"/>
        </w:rPr>
        <w:t>项目</w:t>
      </w:r>
      <w:r>
        <w:rPr>
          <w:rFonts w:hint="eastAsia" w:ascii="Times New Roman" w:hAnsi="Times New Roman" w:eastAsia="方正小标宋简体"/>
          <w:bCs/>
          <w:sz w:val="44"/>
          <w:szCs w:val="24"/>
        </w:rPr>
        <w:t>部门评价</w:t>
      </w:r>
      <w:r>
        <w:rPr>
          <w:rFonts w:ascii="Times New Roman" w:hAnsi="Times New Roman" w:eastAsia="方正小标宋简体"/>
          <w:bCs/>
          <w:sz w:val="44"/>
          <w:szCs w:val="24"/>
        </w:rPr>
        <w:t>报告</w:t>
      </w:r>
    </w:p>
    <w:p>
      <w:pPr>
        <w:spacing w:line="580" w:lineRule="exact"/>
        <w:jc w:val="center"/>
        <w:rPr>
          <w:rFonts w:ascii="Times New Roman" w:hAnsi="Times New Roman" w:eastAsia="仿宋_GB2312"/>
          <w:bCs/>
          <w:sz w:val="32"/>
          <w:szCs w:val="32"/>
        </w:rPr>
      </w:pPr>
    </w:p>
    <w:p>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pPr>
        <w:spacing w:line="560" w:lineRule="exact"/>
        <w:ind w:firstLine="640" w:firstLineChars="200"/>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1.项目立项情况</w:t>
      </w:r>
    </w:p>
    <w:p>
      <w:pPr>
        <w:spacing w:line="560" w:lineRule="exact"/>
        <w:ind w:firstLine="640" w:firstLineChars="200"/>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13处城市阅读空间运营费用按照《合肥市人民政府办公厅关于印发合肥市城市阅读空间建设实施方案的通知》（合政办[2017]49）《合肥市人民政府办公室关于印发合肥市城市阅读空间管理服务运营提升三年行动计划（2022-2024年）的通知》等文件进行立项。</w:t>
      </w:r>
    </w:p>
    <w:p>
      <w:pPr>
        <w:spacing w:line="560" w:lineRule="exact"/>
        <w:ind w:firstLine="640" w:firstLineChars="200"/>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2.项目执行情况</w:t>
      </w:r>
    </w:p>
    <w:p>
      <w:pPr>
        <w:spacing w:line="560" w:lineRule="exact"/>
        <w:ind w:firstLine="640" w:firstLineChars="200"/>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系一般公共预算资金，项目年初预算848.58万元，全年预算数215.5556万元，截止12月底共支出215.5556万元，预算执行率100%。</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（二）项目绩效目标</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1.项目年度总体目标</w:t>
      </w:r>
    </w:p>
    <w:p>
      <w:pPr>
        <w:spacing w:line="560" w:lineRule="exact"/>
        <w:ind w:firstLine="640" w:firstLineChars="200"/>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认真贯彻党的二十大和习近平新时代中国特色社会主义思想，以完善公共文化服务体系为抓手，深入推进文化建设，全面提升瑶海文化软实力。立足全区13处城市阅读空间，以群众需求为导向，打造群众满意文化惠民工程。以读者为中心，打造以阅读为主体，提供多样化、深层次阅读体验空间。引入市场力量参与运营，坚持形式多样化、主体多元化，注重品位，让“小空间支撑大未来”，切实增强群众文化“质的获得感”，使城市阅读空间充满生机和活力。</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2.总体目标完成情况</w:t>
      </w:r>
    </w:p>
    <w:p>
      <w:pPr>
        <w:spacing w:line="560" w:lineRule="exact"/>
        <w:ind w:firstLine="640" w:firstLineChars="200"/>
        <w:rPr>
          <w:rFonts w:hint="eastAsia" w:ascii="Times New Roman" w:hAnsi="Times New Roman" w:eastAsia="仿宋_GB2312"/>
          <w:color w:val="000000"/>
          <w:sz w:val="32"/>
          <w:szCs w:val="32"/>
          <w:lang w:eastAsia="zh-CN"/>
        </w:rPr>
      </w:pPr>
      <w:r>
        <w:rPr>
          <w:rFonts w:hint="eastAsia" w:ascii="仿宋_GB2312" w:hAnsi="仿宋_GB2312" w:eastAsia="仿宋_GB2312" w:cs="仿宋_GB2312"/>
          <w:color w:val="333333"/>
          <w:sz w:val="32"/>
          <w:szCs w:val="32"/>
          <w:shd w:val="clear" w:color="auto" w:fill="FFFFFF"/>
          <w:lang w:val="en-US" w:eastAsia="zh-CN"/>
        </w:rPr>
        <w:t>完成13处城市阅读空间市级考核目标，</w:t>
      </w:r>
      <w:r>
        <w:rPr>
          <w:rFonts w:hint="eastAsia" w:ascii="Times New Roman" w:hAnsi="Times New Roman" w:eastAsia="仿宋_GB2312"/>
          <w:color w:val="000000"/>
          <w:sz w:val="32"/>
          <w:szCs w:val="32"/>
          <w:lang w:eastAsia="zh-CN"/>
        </w:rPr>
        <w:t>确保城市阅读空间考核得分满足评价要求。</w:t>
      </w:r>
    </w:p>
    <w:p>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（一）总体结论</w:t>
      </w:r>
    </w:p>
    <w:p>
      <w:pPr>
        <w:widowControl/>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城市阅读空间集阅读、借阅、活动、展示、交流、休闲等多元功能于一体，为开展以阅读为主题的各类文化活动提供了良好的场馆基础。“馆店一体“(图书馆+书店)，两业融合，功能多元，双轮驱动，构建网系，便民惠民。在此基础上增加多业态经营，秉持“图书+”模式，使城市阅读空间拥有强大的书源支撑，实现借书、购书、看书“三位一体”。</w:t>
      </w:r>
    </w:p>
    <w:p>
      <w:pPr>
        <w:widowControl/>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1</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lang w:eastAsia="zh-CN"/>
        </w:rPr>
        <w:t>处城市阅读空间开放运营以来，依托场馆平台开展各类文化活动，拓展触角，营造良好的文化氛围。参与范围涵盖中小学生、中青年阅读爱好者、老年离退休人员，创新开展论坛、讲座、朗读亭等，其中合铁家园城市阅读空间设立“许辉社区文学创作室”，对精准提升城市基层社区市民文化品质具有积极意义。积极打造城市阅读空间品牌建设，在图书馆服务工作中形成完整服务创新模式，开展有特色并具有显著成效的服务活动，以文化活动带动阅读习惯培养、兴趣提升，增强群众幸福感和获得感。</w:t>
      </w:r>
    </w:p>
    <w:p>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w:t>
      </w:r>
      <w:r>
        <w:rPr>
          <w:rFonts w:hint="eastAsia" w:ascii="Times New Roman" w:hAnsi="Times New Roman" w:eastAsia="楷体_GB2312"/>
          <w:b/>
          <w:color w:val="000000"/>
          <w:sz w:val="32"/>
          <w:szCs w:val="32"/>
        </w:rPr>
        <w:t>评价</w:t>
      </w:r>
      <w:r>
        <w:rPr>
          <w:rFonts w:ascii="Times New Roman" w:hAnsi="Times New Roman" w:eastAsia="楷体_GB2312"/>
          <w:b/>
          <w:color w:val="000000"/>
          <w:sz w:val="32"/>
          <w:szCs w:val="32"/>
        </w:rPr>
        <w:t>结果</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经</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w:t>
      </w:r>
      <w:r>
        <w:rPr>
          <w:rFonts w:hint="eastAsia" w:ascii="Times New Roman" w:hAnsi="Times New Roman" w:eastAsia="仿宋_GB2312"/>
          <w:sz w:val="32"/>
          <w:szCs w:val="32"/>
        </w:rPr>
        <w:t>13处城市阅读空间运营</w:t>
      </w:r>
      <w:r>
        <w:rPr>
          <w:rFonts w:hint="eastAsia" w:ascii="Times New Roman" w:hAnsi="Times New Roman" w:eastAsia="仿宋_GB2312"/>
          <w:sz w:val="32"/>
          <w:szCs w:val="32"/>
          <w:lang w:eastAsia="zh-CN"/>
        </w:rPr>
        <w:t>费用项目</w:t>
      </w:r>
      <w:r>
        <w:rPr>
          <w:rFonts w:hint="eastAsia" w:ascii="Times New Roman" w:hAnsi="Times New Roman" w:eastAsia="仿宋_GB2312"/>
          <w:sz w:val="32"/>
          <w:szCs w:val="32"/>
          <w:lang w:val="en-US" w:eastAsia="zh-CN"/>
        </w:rPr>
        <w:t>2024年评价得分为100分，</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结果为“</w:t>
      </w:r>
      <w:r>
        <w:rPr>
          <w:rFonts w:hint="eastAsia" w:ascii="Times New Roman" w:hAnsi="Times New Roman" w:eastAsia="仿宋_GB2312"/>
          <w:sz w:val="32"/>
          <w:szCs w:val="32"/>
          <w:lang w:eastAsia="zh-CN"/>
        </w:rPr>
        <w:t>优</w:t>
      </w:r>
      <w:r>
        <w:rPr>
          <w:rFonts w:ascii="Times New Roman" w:hAnsi="Times New Roman" w:eastAsia="仿宋_GB2312"/>
          <w:color w:val="000000"/>
          <w:sz w:val="32"/>
          <w:szCs w:val="32"/>
        </w:rPr>
        <w:t>”。</w:t>
      </w:r>
    </w:p>
    <w:p>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sz w:val="32"/>
          <w:szCs w:val="32"/>
        </w:rPr>
        <w:t>13处城市阅读空间运营</w:t>
      </w:r>
      <w:r>
        <w:rPr>
          <w:rFonts w:ascii="Times New Roman" w:hAnsi="Times New Roman" w:eastAsia="仿宋_GB2312"/>
          <w:color w:val="000000"/>
          <w:sz w:val="32"/>
          <w:szCs w:val="32"/>
        </w:rPr>
        <w:t>项目绩效</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指标体系设置</w:t>
      </w:r>
      <w:r>
        <w:rPr>
          <w:rFonts w:hint="eastAsia" w:ascii="Times New Roman" w:hAnsi="Times New Roman" w:eastAsia="仿宋_GB2312"/>
          <w:color w:val="000000"/>
          <w:sz w:val="32"/>
          <w:szCs w:val="32"/>
          <w:lang w:eastAsia="zh-CN"/>
        </w:rPr>
        <w:t>预算执行率和</w:t>
      </w:r>
      <w:r>
        <w:rPr>
          <w:rFonts w:hint="eastAsia" w:ascii="Times New Roman" w:hAnsi="Times New Roman" w:eastAsia="仿宋_GB2312"/>
          <w:color w:val="000000"/>
          <w:sz w:val="32"/>
          <w:szCs w:val="32"/>
          <w:lang w:val="en-US" w:eastAsia="zh-CN"/>
        </w:rPr>
        <w:t>3</w:t>
      </w:r>
      <w:r>
        <w:rPr>
          <w:rFonts w:ascii="Times New Roman" w:hAnsi="Times New Roman" w:eastAsia="仿宋_GB2312"/>
          <w:color w:val="000000"/>
          <w:sz w:val="32"/>
          <w:szCs w:val="32"/>
        </w:rPr>
        <w:t>个一级指标，</w:t>
      </w:r>
      <w:r>
        <w:rPr>
          <w:rFonts w:hint="eastAsia" w:ascii="Times New Roman" w:hAnsi="Times New Roman" w:eastAsia="仿宋_GB2312"/>
          <w:color w:val="000000"/>
          <w:sz w:val="32"/>
          <w:szCs w:val="32"/>
          <w:lang w:val="en-US" w:eastAsia="zh-CN"/>
        </w:rPr>
        <w:t>7个二级指标，7个三级指标，</w:t>
      </w:r>
      <w:r>
        <w:rPr>
          <w:rFonts w:ascii="Times New Roman" w:hAnsi="Times New Roman" w:eastAsia="仿宋_GB2312"/>
          <w:color w:val="000000"/>
          <w:sz w:val="32"/>
          <w:szCs w:val="32"/>
        </w:rPr>
        <w:t>各项指标评分情况分析如下：</w:t>
      </w:r>
    </w:p>
    <w:p>
      <w:pPr>
        <w:spacing w:line="592" w:lineRule="exact"/>
        <w:ind w:firstLine="643" w:firstLineChars="200"/>
        <w:rPr>
          <w:rFonts w:ascii="Times New Roman" w:hAnsi="Times New Roman" w:eastAsia="楷体_GB2312"/>
          <w:b/>
          <w:bCs/>
          <w:sz w:val="32"/>
        </w:rPr>
      </w:pPr>
      <w:r>
        <w:rPr>
          <w:rFonts w:ascii="Times New Roman" w:hAnsi="Times New Roman" w:eastAsia="楷体_GB2312"/>
          <w:b/>
          <w:bCs/>
          <w:sz w:val="32"/>
        </w:rPr>
        <w:t>（一）预算执行率（满分10分，实得</w:t>
      </w:r>
      <w:r>
        <w:rPr>
          <w:rFonts w:hint="eastAsia" w:ascii="Times New Roman" w:hAnsi="Times New Roman" w:eastAsia="楷体_GB2312"/>
          <w:b/>
          <w:bCs/>
          <w:sz w:val="32"/>
          <w:lang w:val="en-US" w:eastAsia="zh-CN"/>
        </w:rPr>
        <w:t>10</w:t>
      </w:r>
      <w:r>
        <w:rPr>
          <w:rFonts w:ascii="Times New Roman" w:hAnsi="Times New Roman" w:eastAsia="楷体_GB2312"/>
          <w:b/>
          <w:bCs/>
          <w:sz w:val="32"/>
        </w:rPr>
        <w:t>分）</w:t>
      </w:r>
    </w:p>
    <w:p>
      <w:pPr>
        <w:spacing w:line="592" w:lineRule="exact"/>
        <w:ind w:right="-283"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13处城市阅读空间运营</w:t>
      </w:r>
      <w:r>
        <w:rPr>
          <w:rFonts w:hint="eastAsia" w:ascii="Times New Roman" w:hAnsi="Times New Roman" w:eastAsia="仿宋_GB2312"/>
          <w:color w:val="000000"/>
          <w:sz w:val="32"/>
          <w:szCs w:val="32"/>
          <w:lang w:eastAsia="zh-CN"/>
        </w:rPr>
        <w:t>项目</w:t>
      </w:r>
      <w:r>
        <w:rPr>
          <w:rFonts w:hint="eastAsia" w:ascii="Times New Roman" w:hAnsi="Times New Roman" w:eastAsia="仿宋_GB2312"/>
          <w:color w:val="000000"/>
          <w:sz w:val="32"/>
          <w:szCs w:val="32"/>
        </w:rPr>
        <w:t>全年预算数215.5556</w:t>
      </w:r>
      <w:r>
        <w:rPr>
          <w:rFonts w:ascii="Times New Roman" w:hAnsi="Times New Roman" w:eastAsia="仿宋_GB2312"/>
          <w:color w:val="000000"/>
          <w:sz w:val="32"/>
          <w:szCs w:val="32"/>
        </w:rPr>
        <w:t>万元，全年执行</w:t>
      </w:r>
      <w:r>
        <w:rPr>
          <w:rFonts w:hint="eastAsia" w:ascii="Times New Roman" w:hAnsi="Times New Roman" w:eastAsia="仿宋_GB2312"/>
          <w:color w:val="000000"/>
          <w:sz w:val="32"/>
          <w:szCs w:val="32"/>
        </w:rPr>
        <w:t>215.5556</w:t>
      </w:r>
      <w:r>
        <w:rPr>
          <w:rFonts w:ascii="Times New Roman" w:hAnsi="Times New Roman" w:eastAsia="仿宋_GB2312"/>
          <w:color w:val="000000"/>
          <w:sz w:val="32"/>
          <w:szCs w:val="32"/>
        </w:rPr>
        <w:t>万元，预算执行率</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二</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bCs/>
          <w:sz w:val="32"/>
        </w:rPr>
        <w:t>1.数量指标（满分1</w:t>
      </w:r>
      <w:r>
        <w:rPr>
          <w:rFonts w:hint="eastAsia" w:ascii="Times New Roman" w:hAnsi="Times New Roman" w:eastAsia="仿宋_GB2312"/>
          <w:bCs/>
          <w:sz w:val="32"/>
          <w:lang w:val="en-US" w:eastAsia="zh-CN"/>
        </w:rPr>
        <w:t>3</w:t>
      </w:r>
      <w:r>
        <w:rPr>
          <w:rFonts w:ascii="Times New Roman" w:hAnsi="Times New Roman" w:eastAsia="仿宋_GB2312"/>
          <w:bCs/>
          <w:sz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年初设定的数量指标为</w:t>
      </w:r>
      <w:r>
        <w:rPr>
          <w:rFonts w:hint="eastAsia" w:ascii="Times New Roman" w:hAnsi="Times New Roman" w:eastAsia="仿宋_GB2312"/>
          <w:color w:val="000000"/>
          <w:sz w:val="32"/>
          <w:szCs w:val="32"/>
          <w:lang w:val="en-US" w:eastAsia="zh-CN"/>
        </w:rPr>
        <w:t>13处城市阅读空间运营</w:t>
      </w:r>
      <w:r>
        <w:rPr>
          <w:rFonts w:ascii="Times New Roman" w:hAnsi="Times New Roman" w:eastAsia="仿宋_GB2312"/>
          <w:color w:val="000000"/>
          <w:sz w:val="32"/>
          <w:szCs w:val="32"/>
        </w:rPr>
        <w:t>；截至</w:t>
      </w:r>
      <w:r>
        <w:rPr>
          <w:rFonts w:ascii="Times New Roman" w:hAnsi="Times New Roman" w:eastAsia="仿宋_GB2312"/>
          <w:bCs/>
          <w:sz w:val="32"/>
        </w:rPr>
        <w:t>202</w:t>
      </w:r>
      <w:r>
        <w:rPr>
          <w:rFonts w:hint="eastAsia" w:ascii="Times New Roman" w:hAnsi="Times New Roman" w:eastAsia="仿宋_GB2312"/>
          <w:bCs/>
          <w:sz w:val="32"/>
          <w:lang w:val="en-US" w:eastAsia="zh-CN"/>
        </w:rPr>
        <w:t>4</w:t>
      </w:r>
      <w:r>
        <w:rPr>
          <w:rFonts w:ascii="Times New Roman" w:hAnsi="Times New Roman" w:eastAsia="仿宋_GB2312"/>
          <w:color w:val="000000"/>
          <w:sz w:val="32"/>
          <w:szCs w:val="32"/>
        </w:rPr>
        <w:t>年底</w:t>
      </w:r>
      <w:r>
        <w:rPr>
          <w:rFonts w:hint="eastAsia" w:ascii="Times New Roman" w:hAnsi="Times New Roman" w:eastAsia="仿宋_GB2312"/>
          <w:color w:val="000000"/>
          <w:sz w:val="32"/>
          <w:szCs w:val="32"/>
          <w:lang w:eastAsia="zh-CN"/>
        </w:rPr>
        <w:t>已全部完成</w:t>
      </w:r>
      <w:r>
        <w:rPr>
          <w:rFonts w:hint="eastAsia" w:ascii="Times New Roman" w:hAnsi="Times New Roman" w:eastAsia="仿宋_GB2312"/>
          <w:color w:val="000000"/>
          <w:sz w:val="32"/>
          <w:szCs w:val="32"/>
          <w:lang w:val="en-US" w:eastAsia="zh-CN"/>
        </w:rPr>
        <w:t>13处城市阅读空间运营活动</w:t>
      </w:r>
      <w:r>
        <w:rPr>
          <w:rFonts w:ascii="Times New Roman" w:hAnsi="Times New Roman" w:eastAsia="仿宋_GB2312"/>
          <w:color w:val="000000"/>
          <w:sz w:val="32"/>
          <w:szCs w:val="32"/>
        </w:rPr>
        <w:t>，实际完成率为</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bCs/>
          <w:sz w:val="32"/>
        </w:rPr>
        <w:t>2.质量指标（满分</w:t>
      </w:r>
      <w:r>
        <w:rPr>
          <w:rFonts w:hint="eastAsia" w:ascii="Times New Roman" w:hAnsi="Times New Roman" w:eastAsia="仿宋_GB2312"/>
          <w:bCs/>
          <w:sz w:val="32"/>
          <w:lang w:val="en-US" w:eastAsia="zh-CN"/>
        </w:rPr>
        <w:t>13</w:t>
      </w:r>
      <w:r>
        <w:rPr>
          <w:rFonts w:ascii="Times New Roman" w:hAnsi="Times New Roman" w:eastAsia="仿宋_GB2312"/>
          <w:bCs/>
          <w:sz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年初设定的质量指标为</w:t>
      </w:r>
      <w:r>
        <w:rPr>
          <w:rFonts w:hint="eastAsia" w:ascii="Times New Roman" w:hAnsi="Times New Roman" w:eastAsia="仿宋_GB2312"/>
          <w:color w:val="000000"/>
          <w:sz w:val="32"/>
          <w:szCs w:val="32"/>
          <w:lang w:eastAsia="zh-CN"/>
        </w:rPr>
        <w:t>考核合格分数大于等于</w:t>
      </w:r>
      <w:r>
        <w:rPr>
          <w:rFonts w:hint="eastAsia" w:ascii="Times New Roman" w:hAnsi="Times New Roman" w:eastAsia="仿宋_GB2312"/>
          <w:color w:val="000000"/>
          <w:sz w:val="32"/>
          <w:szCs w:val="32"/>
          <w:lang w:val="en-US" w:eastAsia="zh-CN"/>
        </w:rPr>
        <w:t>70分</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eastAsia="zh-CN"/>
        </w:rPr>
        <w:t>平均得分</w:t>
      </w:r>
      <w:r>
        <w:rPr>
          <w:rFonts w:hint="eastAsia" w:ascii="Times New Roman" w:hAnsi="Times New Roman" w:eastAsia="仿宋_GB2312"/>
          <w:color w:val="000000"/>
          <w:sz w:val="32"/>
          <w:szCs w:val="32"/>
          <w:lang w:val="en-US" w:eastAsia="zh-CN"/>
        </w:rPr>
        <w:t>88.8分</w:t>
      </w:r>
      <w:r>
        <w:rPr>
          <w:rFonts w:ascii="Times New Roman" w:hAnsi="Times New Roman" w:eastAsia="楷体"/>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3.</w:t>
      </w:r>
      <w:r>
        <w:rPr>
          <w:rFonts w:ascii="Times New Roman" w:hAnsi="Times New Roman" w:eastAsia="仿宋_GB2312"/>
          <w:bCs/>
          <w:sz w:val="32"/>
        </w:rPr>
        <w:t>时效指标（满分</w:t>
      </w:r>
      <w:r>
        <w:rPr>
          <w:rFonts w:hint="eastAsia" w:ascii="Times New Roman" w:hAnsi="Times New Roman" w:eastAsia="仿宋_GB2312"/>
          <w:bCs/>
          <w:sz w:val="32"/>
          <w:lang w:val="en-US" w:eastAsia="zh-CN"/>
        </w:rPr>
        <w:t>12</w:t>
      </w:r>
      <w:r>
        <w:rPr>
          <w:rFonts w:ascii="Times New Roman" w:hAnsi="Times New Roman" w:eastAsia="仿宋_GB2312"/>
          <w:bCs/>
          <w:sz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年初设定的时效指标为</w:t>
      </w:r>
      <w:r>
        <w:rPr>
          <w:rFonts w:hint="eastAsia" w:ascii="Times New Roman" w:hAnsi="Times New Roman" w:eastAsia="仿宋_GB2312"/>
          <w:color w:val="000000"/>
          <w:sz w:val="32"/>
          <w:szCs w:val="32"/>
          <w:lang w:eastAsia="zh-CN"/>
        </w:rPr>
        <w:t>年底完成</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eastAsia="zh-CN"/>
        </w:rPr>
        <w:t>全部按照规定时间完成</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bCs/>
          <w:sz w:val="32"/>
        </w:rPr>
        <w:t>4.成本指标（满分</w:t>
      </w:r>
      <w:r>
        <w:rPr>
          <w:rFonts w:hint="eastAsia" w:ascii="Times New Roman" w:hAnsi="Times New Roman" w:eastAsia="仿宋_GB2312"/>
          <w:bCs/>
          <w:sz w:val="32"/>
          <w:lang w:val="en-US" w:eastAsia="zh-CN"/>
        </w:rPr>
        <w:t>12</w:t>
      </w:r>
      <w:r>
        <w:rPr>
          <w:rFonts w:ascii="Times New Roman" w:hAnsi="Times New Roman" w:eastAsia="仿宋_GB2312"/>
          <w:bCs/>
          <w:sz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r>
        <w:rPr>
          <w:rFonts w:ascii="Times New Roman" w:hAnsi="Times New Roman" w:eastAsia="仿宋_GB2312"/>
          <w:sz w:val="32"/>
          <w:szCs w:val="32"/>
        </w:rPr>
        <w:tab/>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年初设定的成本指标为</w:t>
      </w:r>
      <w:r>
        <w:rPr>
          <w:rFonts w:hint="eastAsia" w:ascii="Times New Roman" w:hAnsi="Times New Roman" w:eastAsia="仿宋_GB2312"/>
          <w:color w:val="000000"/>
          <w:sz w:val="32"/>
          <w:szCs w:val="32"/>
          <w:lang w:eastAsia="zh-CN"/>
        </w:rPr>
        <w:t>按照项目总成本预算</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eastAsia="zh-CN"/>
        </w:rPr>
        <w:t>基本完成</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三</w:t>
      </w:r>
      <w:r>
        <w:rPr>
          <w:rFonts w:ascii="Times New Roman" w:hAnsi="Times New Roman" w:eastAsia="楷体_GB2312"/>
          <w:b/>
          <w:color w:val="000000"/>
          <w:sz w:val="32"/>
          <w:szCs w:val="32"/>
        </w:rPr>
        <w:t>）效益指标（满分30分，实得</w:t>
      </w:r>
      <w:r>
        <w:rPr>
          <w:rFonts w:hint="eastAsia" w:ascii="Times New Roman" w:hAnsi="Times New Roman" w:eastAsia="楷体_GB2312"/>
          <w:b/>
          <w:color w:val="000000"/>
          <w:sz w:val="32"/>
          <w:szCs w:val="32"/>
          <w:lang w:val="en-US" w:eastAsia="zh-CN"/>
        </w:rPr>
        <w:t>30</w:t>
      </w:r>
      <w:r>
        <w:rPr>
          <w:rFonts w:ascii="Times New Roman" w:hAnsi="Times New Roman" w:eastAsia="楷体_GB2312"/>
          <w:b/>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1.经济效益指标（</w:t>
      </w:r>
      <w:r>
        <w:rPr>
          <w:rFonts w:hint="eastAsia" w:ascii="Times New Roman" w:hAnsi="Times New Roman" w:eastAsia="仿宋_GB2312"/>
          <w:color w:val="000000"/>
          <w:sz w:val="32"/>
          <w:szCs w:val="32"/>
          <w:lang w:eastAsia="zh-CN"/>
        </w:rPr>
        <w:t>不适用</w:t>
      </w:r>
      <w:r>
        <w:rPr>
          <w:rFonts w:ascii="Times New Roman" w:hAnsi="Times New Roman" w:eastAsia="仿宋_GB2312"/>
          <w:color w:val="000000"/>
          <w:sz w:val="32"/>
          <w:szCs w:val="32"/>
        </w:rPr>
        <w:t>）</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2.社会效益指标（满分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3.生态效益指标（</w:t>
      </w:r>
      <w:r>
        <w:rPr>
          <w:rFonts w:hint="eastAsia" w:ascii="Times New Roman" w:hAnsi="Times New Roman" w:eastAsia="仿宋_GB2312"/>
          <w:color w:val="000000"/>
          <w:sz w:val="32"/>
          <w:szCs w:val="32"/>
          <w:lang w:eastAsia="zh-CN"/>
        </w:rPr>
        <w:t>不适用</w:t>
      </w:r>
      <w:r>
        <w:rPr>
          <w:rFonts w:ascii="Times New Roman" w:hAnsi="Times New Roman" w:eastAsia="仿宋_GB2312"/>
          <w:color w:val="000000"/>
          <w:sz w:val="32"/>
          <w:szCs w:val="32"/>
        </w:rPr>
        <w:t>）</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4.可持续影响指标（满分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四</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满意度</w:t>
      </w:r>
      <w:r>
        <w:rPr>
          <w:rFonts w:ascii="Times New Roman" w:hAnsi="Times New Roman" w:eastAsia="仿宋_GB2312"/>
          <w:color w:val="000000"/>
          <w:sz w:val="32"/>
          <w:szCs w:val="32"/>
        </w:rPr>
        <w:t>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通过</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发现，</w:t>
      </w:r>
      <w:r>
        <w:rPr>
          <w:rFonts w:hint="eastAsia" w:ascii="Times New Roman" w:hAnsi="Times New Roman" w:eastAsia="仿宋_GB2312"/>
          <w:color w:val="000000"/>
          <w:sz w:val="32"/>
          <w:szCs w:val="32"/>
        </w:rPr>
        <w:t>13处城市阅读空间运营</w:t>
      </w:r>
      <w:r>
        <w:rPr>
          <w:rFonts w:ascii="Times New Roman" w:hAnsi="Times New Roman" w:eastAsia="仿宋_GB2312"/>
          <w:color w:val="000000"/>
          <w:sz w:val="32"/>
          <w:szCs w:val="32"/>
        </w:rPr>
        <w:t>项目实施虽取得了一定的成效，但还存在一些问题和不足，主要表现在：</w:t>
      </w:r>
    </w:p>
    <w:p>
      <w:pPr>
        <w:spacing w:line="600" w:lineRule="exact"/>
        <w:ind w:firstLine="643" w:firstLineChars="200"/>
        <w:rPr>
          <w:rFonts w:ascii="Times New Roman" w:hAnsi="Times New Roman" w:eastAsia="仿宋_GB2312"/>
          <w:color w:val="000000"/>
          <w:sz w:val="32"/>
          <w:szCs w:val="32"/>
        </w:rPr>
      </w:pPr>
      <w:r>
        <w:rPr>
          <w:rFonts w:ascii="Times New Roman" w:hAnsi="Times New Roman" w:eastAsia="仿宋_GB2312"/>
          <w:b/>
          <w:color w:val="000000"/>
          <w:sz w:val="32"/>
          <w:szCs w:val="32"/>
        </w:rPr>
        <w:t>一是</w:t>
      </w:r>
      <w:r>
        <w:rPr>
          <w:rFonts w:hint="eastAsia" w:ascii="Times New Roman" w:hAnsi="Times New Roman" w:eastAsia="仿宋_GB2312"/>
          <w:b w:val="0"/>
          <w:bCs/>
          <w:color w:val="000000"/>
          <w:sz w:val="32"/>
          <w:szCs w:val="32"/>
          <w:lang w:eastAsia="zh-CN"/>
        </w:rPr>
        <w:t>剩余</w:t>
      </w:r>
      <w:r>
        <w:rPr>
          <w:rFonts w:hint="eastAsia" w:ascii="Times New Roman" w:hAnsi="Times New Roman" w:eastAsia="仿宋_GB2312"/>
          <w:color w:val="000000"/>
          <w:sz w:val="32"/>
          <w:szCs w:val="32"/>
          <w:lang w:eastAsia="zh-CN"/>
        </w:rPr>
        <w:t>部分项目经费没有及时拨付到位</w:t>
      </w:r>
      <w:r>
        <w:rPr>
          <w:rFonts w:ascii="Times New Roman" w:hAnsi="Times New Roman" w:eastAsia="仿宋_GB2312"/>
          <w:color w:val="000000"/>
          <w:sz w:val="32"/>
          <w:szCs w:val="32"/>
        </w:rPr>
        <w:t>；</w:t>
      </w:r>
    </w:p>
    <w:p>
      <w:pPr>
        <w:spacing w:line="600" w:lineRule="exact"/>
        <w:ind w:firstLine="643" w:firstLineChars="200"/>
        <w:rPr>
          <w:rFonts w:ascii="Times New Roman" w:hAnsi="Times New Roman" w:eastAsia="仿宋_GB2312"/>
          <w:color w:val="000000"/>
          <w:sz w:val="32"/>
          <w:szCs w:val="32"/>
        </w:rPr>
      </w:pPr>
      <w:r>
        <w:rPr>
          <w:rFonts w:ascii="Times New Roman" w:hAnsi="Times New Roman" w:eastAsia="仿宋_GB2312"/>
          <w:b/>
          <w:color w:val="000000"/>
          <w:sz w:val="32"/>
          <w:szCs w:val="32"/>
        </w:rPr>
        <w:t>二是</w:t>
      </w:r>
      <w:r>
        <w:rPr>
          <w:rFonts w:hint="eastAsia" w:ascii="Times New Roman" w:hAnsi="Times New Roman" w:eastAsia="仿宋_GB2312"/>
          <w:color w:val="000000"/>
          <w:sz w:val="32"/>
          <w:szCs w:val="32"/>
          <w:lang w:eastAsia="zh-CN"/>
        </w:rPr>
        <w:t>未</w:t>
      </w:r>
      <w:r>
        <w:rPr>
          <w:rFonts w:hint="eastAsia" w:ascii="仿宋_GB2312" w:hAnsi="仿宋_GB2312" w:eastAsia="仿宋_GB2312" w:cs="仿宋_GB2312"/>
          <w:bCs/>
          <w:color w:val="000000"/>
          <w:kern w:val="2"/>
          <w:sz w:val="32"/>
          <w:szCs w:val="32"/>
          <w:lang w:val="en-US" w:eastAsia="zh-CN" w:bidi="ar-SA"/>
        </w:rPr>
        <w:t>明确发展方向及目标</w:t>
      </w:r>
      <w:r>
        <w:rPr>
          <w:rFonts w:ascii="Times New Roman" w:hAnsi="Times New Roman" w:eastAsia="仿宋_GB2312"/>
          <w:color w:val="000000"/>
          <w:sz w:val="32"/>
          <w:szCs w:val="32"/>
        </w:rPr>
        <w:t>；</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pPr>
        <w:widowControl/>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为进一步提高专项资金使用效益，针对存在的问题，提出如下建议：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ascii="Times New Roman" w:hAnsi="Times New Roman" w:eastAsia="仿宋_GB2312"/>
          <w:color w:val="000000"/>
          <w:sz w:val="32"/>
          <w:szCs w:val="32"/>
        </w:rPr>
      </w:pPr>
      <w:r>
        <w:rPr>
          <w:rFonts w:ascii="Times New Roman" w:hAnsi="Times New Roman" w:eastAsia="仿宋_GB2312"/>
          <w:b/>
          <w:color w:val="000000"/>
          <w:sz w:val="32"/>
          <w:szCs w:val="32"/>
        </w:rPr>
        <w:t>一要</w:t>
      </w:r>
      <w:r>
        <w:rPr>
          <w:rFonts w:hint="eastAsia" w:ascii="仿宋_GB2312" w:hAnsi="仿宋_GB2312" w:eastAsia="仿宋_GB2312" w:cs="仿宋_GB2312"/>
          <w:bCs/>
          <w:color w:val="000000"/>
          <w:kern w:val="2"/>
          <w:sz w:val="32"/>
          <w:szCs w:val="32"/>
          <w:lang w:val="en-US" w:eastAsia="zh-CN" w:bidi="ar-SA"/>
        </w:rPr>
        <w:t>预算财务分析常态化，定期做好预算支出财务分析，及时支出项目经费</w:t>
      </w:r>
      <w:r>
        <w:rPr>
          <w:rFonts w:ascii="Times New Roman" w:hAnsi="Times New Roman" w:eastAsia="仿宋_GB2312"/>
          <w:color w:val="000000"/>
          <w:sz w:val="32"/>
          <w:szCs w:val="32"/>
        </w:rPr>
        <w:t>；</w:t>
      </w:r>
    </w:p>
    <w:p>
      <w:pPr>
        <w:spacing w:line="600" w:lineRule="exact"/>
        <w:ind w:firstLine="643" w:firstLineChars="200"/>
        <w:rPr>
          <w:rFonts w:ascii="Times New Roman" w:hAnsi="Times New Roman" w:eastAsia="仿宋_GB2312"/>
          <w:color w:val="000000"/>
          <w:sz w:val="32"/>
          <w:szCs w:val="32"/>
        </w:rPr>
      </w:pPr>
      <w:r>
        <w:rPr>
          <w:rFonts w:ascii="Times New Roman" w:hAnsi="Times New Roman" w:eastAsia="仿宋_GB2312"/>
          <w:b/>
          <w:color w:val="000000"/>
          <w:sz w:val="32"/>
          <w:szCs w:val="32"/>
        </w:rPr>
        <w:t>二要</w:t>
      </w:r>
      <w:r>
        <w:rPr>
          <w:rFonts w:hint="eastAsia" w:ascii="仿宋_GB2312" w:hAnsi="仿宋_GB2312" w:eastAsia="仿宋_GB2312" w:cs="仿宋_GB2312"/>
          <w:bCs/>
          <w:color w:val="000000"/>
          <w:kern w:val="2"/>
          <w:sz w:val="32"/>
          <w:szCs w:val="32"/>
          <w:lang w:val="en-US" w:eastAsia="zh-CN" w:bidi="ar-SA"/>
        </w:rPr>
        <w:t>制定中长期发展规划，明确发展方向及目标</w:t>
      </w:r>
      <w:r>
        <w:rPr>
          <w:rFonts w:ascii="Times New Roman" w:hAnsi="Times New Roman" w:eastAsia="仿宋_GB2312"/>
          <w:color w:val="000000"/>
          <w:sz w:val="32"/>
          <w:szCs w:val="32"/>
        </w:rPr>
        <w:t>；</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六、</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b w:val="0"/>
          <w:bCs w:val="0"/>
          <w:i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caps w:val="0"/>
          <w:color w:val="auto"/>
          <w:spacing w:val="0"/>
          <w:kern w:val="0"/>
          <w:sz w:val="32"/>
          <w:szCs w:val="32"/>
          <w:shd w:val="clear" w:fill="FFFFFF"/>
          <w:lang w:val="en-US" w:eastAsia="zh-CN" w:bidi="ar"/>
        </w:rPr>
        <w:t>建立健</w:t>
      </w:r>
      <w:r>
        <w:rPr>
          <w:rFonts w:hint="eastAsia" w:ascii="仿宋_GB2312" w:hAnsi="仿宋_GB2312" w:eastAsia="仿宋_GB2312" w:cs="仿宋_GB2312"/>
          <w:b w:val="0"/>
          <w:bCs w:val="0"/>
          <w:i w:val="0"/>
          <w:caps w:val="0"/>
          <w:color w:val="auto"/>
          <w:spacing w:val="0"/>
          <w:kern w:val="0"/>
          <w:sz w:val="32"/>
          <w:szCs w:val="32"/>
          <w:highlight w:val="none"/>
          <w:shd w:val="clear" w:fill="FFFFFF"/>
          <w:lang w:val="en-US" w:eastAsia="zh-CN" w:bidi="ar"/>
        </w:rPr>
        <w:t>全《瑶海区</w:t>
      </w:r>
      <w:r>
        <w:rPr>
          <w:rFonts w:hint="eastAsia" w:ascii="仿宋_GB2312" w:hAnsi="仿宋_GB2312" w:eastAsia="仿宋_GB2312" w:cs="仿宋_GB2312"/>
          <w:b w:val="0"/>
          <w:bCs w:val="0"/>
          <w:i w:val="0"/>
          <w:caps w:val="0"/>
          <w:color w:val="auto"/>
          <w:spacing w:val="0"/>
          <w:kern w:val="0"/>
          <w:sz w:val="32"/>
          <w:szCs w:val="32"/>
          <w:shd w:val="clear" w:fill="FFFFFF"/>
          <w:lang w:val="en-US" w:eastAsia="zh-CN" w:bidi="ar"/>
        </w:rPr>
        <w:t>文旅</w:t>
      </w:r>
      <w:r>
        <w:rPr>
          <w:rFonts w:hint="eastAsia" w:ascii="仿宋_GB2312" w:hAnsi="仿宋_GB2312" w:eastAsia="仿宋_GB2312" w:cs="仿宋_GB2312"/>
          <w:b w:val="0"/>
          <w:bCs w:val="0"/>
          <w:i w:val="0"/>
          <w:caps w:val="0"/>
          <w:color w:val="auto"/>
          <w:spacing w:val="0"/>
          <w:kern w:val="0"/>
          <w:sz w:val="32"/>
          <w:szCs w:val="32"/>
          <w:highlight w:val="none"/>
          <w:shd w:val="clear" w:fill="FFFFFF"/>
          <w:lang w:val="en-US" w:eastAsia="zh-CN" w:bidi="ar"/>
        </w:rPr>
        <w:t>局推动落实预算绩效管理实施方案》《瑶海区</w:t>
      </w:r>
      <w:r>
        <w:rPr>
          <w:rFonts w:hint="eastAsia" w:ascii="仿宋_GB2312" w:hAnsi="仿宋_GB2312" w:eastAsia="仿宋_GB2312" w:cs="仿宋_GB2312"/>
          <w:b w:val="0"/>
          <w:bCs w:val="0"/>
          <w:i w:val="0"/>
          <w:caps w:val="0"/>
          <w:color w:val="auto"/>
          <w:spacing w:val="0"/>
          <w:kern w:val="0"/>
          <w:sz w:val="32"/>
          <w:szCs w:val="32"/>
          <w:shd w:val="clear" w:fill="FFFFFF"/>
          <w:lang w:val="en-US" w:eastAsia="zh-CN" w:bidi="ar"/>
        </w:rPr>
        <w:t>文旅</w:t>
      </w:r>
      <w:r>
        <w:rPr>
          <w:rFonts w:hint="eastAsia" w:ascii="仿宋_GB2312" w:hAnsi="仿宋_GB2312" w:eastAsia="仿宋_GB2312" w:cs="仿宋_GB2312"/>
          <w:b w:val="0"/>
          <w:bCs w:val="0"/>
          <w:i w:val="0"/>
          <w:caps w:val="0"/>
          <w:color w:val="auto"/>
          <w:spacing w:val="0"/>
          <w:kern w:val="0"/>
          <w:sz w:val="32"/>
          <w:szCs w:val="32"/>
          <w:highlight w:val="none"/>
          <w:shd w:val="clear" w:fill="FFFFFF"/>
          <w:lang w:val="en-US" w:eastAsia="zh-CN" w:bidi="ar"/>
        </w:rPr>
        <w:t>局预算绩效管理办法》《瑶海区</w:t>
      </w:r>
      <w:r>
        <w:rPr>
          <w:rFonts w:hint="eastAsia" w:ascii="仿宋_GB2312" w:hAnsi="仿宋_GB2312" w:eastAsia="仿宋_GB2312" w:cs="仿宋_GB2312"/>
          <w:b w:val="0"/>
          <w:bCs w:val="0"/>
          <w:i w:val="0"/>
          <w:caps w:val="0"/>
          <w:color w:val="auto"/>
          <w:spacing w:val="0"/>
          <w:kern w:val="0"/>
          <w:sz w:val="32"/>
          <w:szCs w:val="32"/>
          <w:shd w:val="clear" w:fill="FFFFFF"/>
          <w:lang w:val="en-US" w:eastAsia="zh-CN" w:bidi="ar"/>
        </w:rPr>
        <w:t>文旅</w:t>
      </w:r>
      <w:r>
        <w:rPr>
          <w:rFonts w:hint="eastAsia" w:ascii="仿宋_GB2312" w:hAnsi="仿宋_GB2312" w:eastAsia="仿宋_GB2312" w:cs="仿宋_GB2312"/>
          <w:b w:val="0"/>
          <w:bCs w:val="0"/>
          <w:i w:val="0"/>
          <w:caps w:val="0"/>
          <w:color w:val="auto"/>
          <w:spacing w:val="0"/>
          <w:kern w:val="0"/>
          <w:sz w:val="32"/>
          <w:szCs w:val="32"/>
          <w:highlight w:val="none"/>
          <w:shd w:val="clear" w:fill="FFFFFF"/>
          <w:lang w:val="en-US" w:eastAsia="zh-CN" w:bidi="ar"/>
        </w:rPr>
        <w:t>局预算绩效管理实施细则》等规章</w:t>
      </w:r>
      <w:r>
        <w:rPr>
          <w:rFonts w:hint="eastAsia" w:ascii="仿宋_GB2312" w:hAnsi="仿宋_GB2312" w:eastAsia="仿宋_GB2312" w:cs="仿宋_GB2312"/>
          <w:b w:val="0"/>
          <w:bCs w:val="0"/>
          <w:i w:val="0"/>
          <w:caps w:val="0"/>
          <w:color w:val="auto"/>
          <w:spacing w:val="0"/>
          <w:kern w:val="0"/>
          <w:sz w:val="32"/>
          <w:szCs w:val="32"/>
          <w:shd w:val="clear" w:fill="FFFFFF"/>
          <w:lang w:val="en-US" w:eastAsia="zh-CN" w:bidi="ar"/>
        </w:rPr>
        <w:t>制度，推行厉行节约反对浪费工作制度化、规范化、程序化，严格使用财政资金。</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1.项目支出绩效自评表（</w:t>
      </w:r>
      <w:r>
        <w:rPr>
          <w:rFonts w:hint="eastAsia" w:ascii="Times New Roman" w:hAnsi="Times New Roman" w:eastAsia="仿宋_GB2312"/>
          <w:color w:val="000000"/>
          <w:sz w:val="32"/>
          <w:szCs w:val="32"/>
          <w:lang w:eastAsia="zh-CN"/>
        </w:rPr>
        <w:t>从预算管理一体化系统导出</w:t>
      </w:r>
      <w:r>
        <w:rPr>
          <w:rFonts w:ascii="Times New Roman" w:hAnsi="Times New Roman" w:eastAsia="仿宋_GB2312"/>
          <w:color w:val="000000"/>
          <w:sz w:val="32"/>
          <w:szCs w:val="32"/>
        </w:rPr>
        <w:t>）；</w:t>
      </w: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609"/>
        <w:gridCol w:w="367"/>
        <w:gridCol w:w="821"/>
        <w:gridCol w:w="877"/>
        <w:gridCol w:w="780"/>
        <w:gridCol w:w="670"/>
        <w:gridCol w:w="670"/>
        <w:gridCol w:w="973"/>
        <w:gridCol w:w="712"/>
        <w:gridCol w:w="746"/>
        <w:gridCol w:w="12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95" w:hRule="atLeast"/>
        </w:trPr>
        <w:tc>
          <w:tcPr>
            <w:tcW w:w="5000" w:type="pct"/>
            <w:gridSpan w:val="11"/>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bookmarkStart w:id="0" w:name="_GoBack"/>
            <w:r>
              <w:rPr>
                <w:rFonts w:hint="eastAsia" w:ascii="宋体" w:hAnsi="宋体" w:eastAsia="宋体" w:cs="宋体"/>
                <w:i w:val="0"/>
                <w:iCs w:val="0"/>
                <w:color w:val="000000"/>
                <w:kern w:val="0"/>
                <w:sz w:val="32"/>
                <w:szCs w:val="32"/>
                <w:u w:val="none"/>
                <w:bdr w:val="none" w:color="auto" w:sz="0" w:space="0"/>
                <w:lang w:val="en-US" w:eastAsia="zh-CN" w:bidi="ar"/>
              </w:rPr>
              <w:t xml:space="preserve">       项目支出绩效自评表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0" w:hRule="atLeast"/>
        </w:trPr>
        <w:tc>
          <w:tcPr>
            <w:tcW w:w="5000" w:type="pct"/>
            <w:gridSpan w:val="11"/>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285" w:type="pct"/>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359" w:type="pct"/>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399" w:type="pct"/>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607" w:type="pct"/>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532" w:type="pct"/>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449" w:type="pct"/>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449" w:type="pct"/>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481" w:type="pct"/>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366" w:type="pct"/>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366" w:type="pct"/>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c>
          <w:tcPr>
            <w:tcW w:w="702" w:type="pct"/>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0" w:hRule="atLeast"/>
        </w:trPr>
        <w:tc>
          <w:tcPr>
            <w:tcW w:w="1043" w:type="pct"/>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项目名称</w:t>
            </w:r>
          </w:p>
        </w:tc>
        <w:tc>
          <w:tcPr>
            <w:tcW w:w="3956" w:type="pct"/>
            <w:gridSpan w:val="8"/>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13处城市阅读空间运营费用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0" w:hRule="atLeast"/>
        </w:trPr>
        <w:tc>
          <w:tcPr>
            <w:tcW w:w="1043" w:type="pct"/>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主管部门</w:t>
            </w:r>
          </w:p>
        </w:tc>
        <w:tc>
          <w:tcPr>
            <w:tcW w:w="2039" w:type="pct"/>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019-合肥市瑶海区文化和旅游局</w:t>
            </w:r>
          </w:p>
        </w:tc>
        <w:tc>
          <w:tcPr>
            <w:tcW w:w="48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实施单位</w:t>
            </w:r>
          </w:p>
        </w:tc>
        <w:tc>
          <w:tcPr>
            <w:tcW w:w="1435" w:type="pct"/>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019001-合肥市瑶海区文化和旅游局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0" w:hRule="atLeast"/>
        </w:trPr>
        <w:tc>
          <w:tcPr>
            <w:tcW w:w="1043" w:type="pct"/>
            <w:gridSpan w:val="3"/>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项目资金                    （万元）</w:t>
            </w:r>
          </w:p>
        </w:tc>
        <w:tc>
          <w:tcPr>
            <w:tcW w:w="1140" w:type="pct"/>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4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年初预算数</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全年预算数</w:t>
            </w:r>
          </w:p>
        </w:tc>
        <w:tc>
          <w:tcPr>
            <w:tcW w:w="48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全年执行数</w:t>
            </w:r>
          </w:p>
        </w:tc>
        <w:tc>
          <w:tcPr>
            <w:tcW w:w="36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分值 </w:t>
            </w:r>
          </w:p>
        </w:tc>
        <w:tc>
          <w:tcPr>
            <w:tcW w:w="36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执行率</w:t>
            </w:r>
          </w:p>
        </w:tc>
        <w:tc>
          <w:tcPr>
            <w:tcW w:w="70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0" w:hRule="atLeast"/>
        </w:trPr>
        <w:tc>
          <w:tcPr>
            <w:tcW w:w="1043" w:type="pct"/>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140" w:type="pct"/>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年度资金总额：</w:t>
            </w:r>
          </w:p>
        </w:tc>
        <w:tc>
          <w:tcPr>
            <w:tcW w:w="449" w:type="pct"/>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848.58</w:t>
            </w:r>
          </w:p>
        </w:tc>
        <w:tc>
          <w:tcPr>
            <w:tcW w:w="449" w:type="pct"/>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215.56</w:t>
            </w:r>
          </w:p>
        </w:tc>
        <w:tc>
          <w:tcPr>
            <w:tcW w:w="481" w:type="pct"/>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215.56</w:t>
            </w:r>
          </w:p>
        </w:tc>
        <w:tc>
          <w:tcPr>
            <w:tcW w:w="36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36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100.00%</w:t>
            </w:r>
          </w:p>
        </w:tc>
        <w:tc>
          <w:tcPr>
            <w:tcW w:w="70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0" w:hRule="atLeast"/>
        </w:trPr>
        <w:tc>
          <w:tcPr>
            <w:tcW w:w="1043" w:type="pct"/>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140" w:type="pct"/>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其中：本年财政拨款</w:t>
            </w:r>
          </w:p>
        </w:tc>
        <w:tc>
          <w:tcPr>
            <w:tcW w:w="449" w:type="pct"/>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848.58</w:t>
            </w:r>
          </w:p>
        </w:tc>
        <w:tc>
          <w:tcPr>
            <w:tcW w:w="449" w:type="pct"/>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215.56</w:t>
            </w:r>
          </w:p>
        </w:tc>
        <w:tc>
          <w:tcPr>
            <w:tcW w:w="481" w:type="pct"/>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215.56</w:t>
            </w:r>
          </w:p>
        </w:tc>
        <w:tc>
          <w:tcPr>
            <w:tcW w:w="36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66"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702"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0" w:hRule="atLeast"/>
        </w:trPr>
        <w:tc>
          <w:tcPr>
            <w:tcW w:w="1043" w:type="pct"/>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140" w:type="pct"/>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上年结转资金</w:t>
            </w:r>
          </w:p>
        </w:tc>
        <w:tc>
          <w:tcPr>
            <w:tcW w:w="449" w:type="pct"/>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0.00</w:t>
            </w:r>
          </w:p>
        </w:tc>
        <w:tc>
          <w:tcPr>
            <w:tcW w:w="449" w:type="pct"/>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0.00</w:t>
            </w:r>
          </w:p>
        </w:tc>
        <w:tc>
          <w:tcPr>
            <w:tcW w:w="481" w:type="pct"/>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0.00</w:t>
            </w:r>
          </w:p>
        </w:tc>
        <w:tc>
          <w:tcPr>
            <w:tcW w:w="36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66"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702"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0" w:hRule="atLeast"/>
        </w:trPr>
        <w:tc>
          <w:tcPr>
            <w:tcW w:w="1043" w:type="pct"/>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140" w:type="pct"/>
            <w:gridSpan w:val="2"/>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          其他资金</w:t>
            </w:r>
          </w:p>
        </w:tc>
        <w:tc>
          <w:tcPr>
            <w:tcW w:w="449" w:type="pct"/>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0.00</w:t>
            </w:r>
          </w:p>
        </w:tc>
        <w:tc>
          <w:tcPr>
            <w:tcW w:w="449" w:type="pct"/>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0.00</w:t>
            </w:r>
          </w:p>
        </w:tc>
        <w:tc>
          <w:tcPr>
            <w:tcW w:w="481" w:type="pct"/>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0.00</w:t>
            </w:r>
          </w:p>
        </w:tc>
        <w:tc>
          <w:tcPr>
            <w:tcW w:w="36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66"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702"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0" w:hRule="atLeast"/>
        </w:trPr>
        <w:tc>
          <w:tcPr>
            <w:tcW w:w="285" w:type="pct"/>
            <w:vMerge w:val="restart"/>
            <w:tcBorders>
              <w:top w:val="single" w:color="000000" w:sz="4" w:space="0"/>
              <w:left w:val="single" w:color="000000" w:sz="4" w:space="0"/>
              <w:bottom w:val="single" w:color="000000" w:sz="4" w:space="0"/>
              <w:right w:val="single" w:color="000000" w:sz="4" w:space="0"/>
            </w:tcBorders>
            <w:shd w:val="clear"/>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年度总体目标</w:t>
            </w:r>
          </w:p>
        </w:tc>
        <w:tc>
          <w:tcPr>
            <w:tcW w:w="2798"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预期目标</w:t>
            </w:r>
          </w:p>
        </w:tc>
        <w:tc>
          <w:tcPr>
            <w:tcW w:w="1916" w:type="pct"/>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30"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2798"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申请848..58万元财政资金，主要用于13处城市阅读空间自2017年建设运营至今，按照要求开展公共文化服务，申请资金848.58万元，主要用于13处城市阅读空间免费开放，实现以阅读为主体，提供多样化、深层次阅读体验空间，不断提升运营服务效能。</w:t>
            </w:r>
          </w:p>
        </w:tc>
        <w:tc>
          <w:tcPr>
            <w:tcW w:w="1916"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2024年度，13处城市阅读空间运营费用项目通过申请财政资金215.5556万元，已完成年度设定的绩效目标，已达到项目预期效果。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285" w:type="pct"/>
            <w:vMerge w:val="restart"/>
            <w:tcBorders>
              <w:top w:val="single" w:color="000000" w:sz="4" w:space="0"/>
              <w:left w:val="single" w:color="000000" w:sz="4" w:space="0"/>
              <w:bottom w:val="single" w:color="000000" w:sz="4" w:space="0"/>
              <w:right w:val="single" w:color="000000" w:sz="4" w:space="0"/>
            </w:tcBorders>
            <w:shd w:val="clear"/>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绩效指标</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一级指标</w:t>
            </w:r>
          </w:p>
        </w:tc>
        <w:tc>
          <w:tcPr>
            <w:tcW w:w="399"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二级指标</w:t>
            </w:r>
          </w:p>
        </w:tc>
        <w:tc>
          <w:tcPr>
            <w:tcW w:w="1590" w:type="pct"/>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三级指标</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年度指标值</w:t>
            </w:r>
          </w:p>
        </w:tc>
        <w:tc>
          <w:tcPr>
            <w:tcW w:w="48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实际完成值</w:t>
            </w:r>
          </w:p>
        </w:tc>
        <w:tc>
          <w:tcPr>
            <w:tcW w:w="36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分值</w:t>
            </w:r>
          </w:p>
        </w:tc>
        <w:tc>
          <w:tcPr>
            <w:tcW w:w="36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得分</w:t>
            </w:r>
          </w:p>
        </w:tc>
        <w:tc>
          <w:tcPr>
            <w:tcW w:w="70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30"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35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产出指标</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数量指标</w:t>
            </w:r>
          </w:p>
        </w:tc>
        <w:tc>
          <w:tcPr>
            <w:tcW w:w="1590"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城市阅读空间数量</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＝13处</w:t>
            </w:r>
          </w:p>
        </w:tc>
        <w:tc>
          <w:tcPr>
            <w:tcW w:w="48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13处</w:t>
            </w:r>
          </w:p>
        </w:tc>
        <w:tc>
          <w:tcPr>
            <w:tcW w:w="36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w:t>
            </w:r>
          </w:p>
        </w:tc>
        <w:tc>
          <w:tcPr>
            <w:tcW w:w="36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w:t>
            </w:r>
          </w:p>
        </w:tc>
        <w:tc>
          <w:tcPr>
            <w:tcW w:w="702"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35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99" w:type="pc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质量指标</w:t>
            </w:r>
          </w:p>
        </w:tc>
        <w:tc>
          <w:tcPr>
            <w:tcW w:w="1590"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考核合格分数</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≥70分</w:t>
            </w:r>
          </w:p>
        </w:tc>
        <w:tc>
          <w:tcPr>
            <w:tcW w:w="48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88.8分</w:t>
            </w:r>
          </w:p>
        </w:tc>
        <w:tc>
          <w:tcPr>
            <w:tcW w:w="36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w:t>
            </w:r>
          </w:p>
        </w:tc>
        <w:tc>
          <w:tcPr>
            <w:tcW w:w="36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w:t>
            </w:r>
          </w:p>
        </w:tc>
        <w:tc>
          <w:tcPr>
            <w:tcW w:w="702"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35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99" w:type="pc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时效指标</w:t>
            </w:r>
          </w:p>
        </w:tc>
        <w:tc>
          <w:tcPr>
            <w:tcW w:w="1590"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经费支出及时性</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2024年12月31日前</w:t>
            </w:r>
          </w:p>
        </w:tc>
        <w:tc>
          <w:tcPr>
            <w:tcW w:w="48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36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w:t>
            </w:r>
          </w:p>
        </w:tc>
        <w:tc>
          <w:tcPr>
            <w:tcW w:w="36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w:t>
            </w:r>
          </w:p>
        </w:tc>
        <w:tc>
          <w:tcPr>
            <w:tcW w:w="702"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35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99" w:type="pc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成本指标</w:t>
            </w:r>
          </w:p>
        </w:tc>
        <w:tc>
          <w:tcPr>
            <w:tcW w:w="1590"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项目总成本</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≤848.58万元</w:t>
            </w:r>
          </w:p>
        </w:tc>
        <w:tc>
          <w:tcPr>
            <w:tcW w:w="48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215.5556万元</w:t>
            </w:r>
          </w:p>
        </w:tc>
        <w:tc>
          <w:tcPr>
            <w:tcW w:w="36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w:t>
            </w:r>
          </w:p>
        </w:tc>
        <w:tc>
          <w:tcPr>
            <w:tcW w:w="36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w:t>
            </w:r>
          </w:p>
        </w:tc>
        <w:tc>
          <w:tcPr>
            <w:tcW w:w="702"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30"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35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效益指标</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经济效益指标</w:t>
            </w:r>
          </w:p>
        </w:tc>
        <w:tc>
          <w:tcPr>
            <w:tcW w:w="1590"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本指标不适用此项目</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不适用</w:t>
            </w:r>
          </w:p>
        </w:tc>
        <w:tc>
          <w:tcPr>
            <w:tcW w:w="48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不适用</w:t>
            </w:r>
          </w:p>
        </w:tc>
        <w:tc>
          <w:tcPr>
            <w:tcW w:w="36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6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702"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35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99" w:type="pc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社会效益指标</w:t>
            </w:r>
          </w:p>
        </w:tc>
        <w:tc>
          <w:tcPr>
            <w:tcW w:w="1590"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瑶海区城市阅读空间运营服务主要涉及运营团队管理、志愿者服务体系、运营管理规章制度、日常运营服务、阅读推广活动、品牌建设和推广、运营外包年度考核等几个重要方面，达到公共文化服务机构公益性、均等性和服务性的要求。</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程度较高</w:t>
            </w:r>
          </w:p>
        </w:tc>
        <w:tc>
          <w:tcPr>
            <w:tcW w:w="48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36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36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702"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35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99" w:type="pc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生态效益指标</w:t>
            </w:r>
          </w:p>
        </w:tc>
        <w:tc>
          <w:tcPr>
            <w:tcW w:w="1590"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本指标不适用</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不适用</w:t>
            </w:r>
          </w:p>
        </w:tc>
        <w:tc>
          <w:tcPr>
            <w:tcW w:w="48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不适用</w:t>
            </w:r>
          </w:p>
        </w:tc>
        <w:tc>
          <w:tcPr>
            <w:tcW w:w="36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6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702"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35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399" w:type="pc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可持续影响指标</w:t>
            </w:r>
          </w:p>
        </w:tc>
        <w:tc>
          <w:tcPr>
            <w:tcW w:w="1590"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有序开展免费开放，推动城市阅读空间长久持续向民众提供免费开放服务。</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效果明显</w:t>
            </w:r>
          </w:p>
        </w:tc>
        <w:tc>
          <w:tcPr>
            <w:tcW w:w="48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达成预期指标</w:t>
            </w:r>
          </w:p>
        </w:tc>
        <w:tc>
          <w:tcPr>
            <w:tcW w:w="36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36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702"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0" w:hRule="atLeast"/>
        </w:trPr>
        <w:tc>
          <w:tcPr>
            <w:tcW w:w="285" w:type="pct"/>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24"/>
                <w:szCs w:val="24"/>
                <w:u w:val="none"/>
              </w:rPr>
            </w:pPr>
          </w:p>
        </w:tc>
        <w:tc>
          <w:tcPr>
            <w:tcW w:w="3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满意度指标</w:t>
            </w:r>
          </w:p>
        </w:tc>
        <w:tc>
          <w:tcPr>
            <w:tcW w:w="1590"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服务对象满意度</w:t>
            </w:r>
          </w:p>
        </w:tc>
        <w:tc>
          <w:tcPr>
            <w:tcW w:w="44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≥90%</w:t>
            </w:r>
          </w:p>
        </w:tc>
        <w:tc>
          <w:tcPr>
            <w:tcW w:w="48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w:t>
            </w:r>
          </w:p>
        </w:tc>
        <w:tc>
          <w:tcPr>
            <w:tcW w:w="36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36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702"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083" w:type="pct"/>
            <w:gridSpan w:val="7"/>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总分</w:t>
            </w:r>
          </w:p>
        </w:tc>
        <w:tc>
          <w:tcPr>
            <w:tcW w:w="48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24"/>
                <w:szCs w:val="24"/>
                <w:u w:val="none"/>
              </w:rPr>
            </w:pPr>
          </w:p>
        </w:tc>
        <w:tc>
          <w:tcPr>
            <w:tcW w:w="36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100</w:t>
            </w:r>
          </w:p>
        </w:tc>
        <w:tc>
          <w:tcPr>
            <w:tcW w:w="36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100.00</w:t>
            </w:r>
          </w:p>
        </w:tc>
        <w:tc>
          <w:tcPr>
            <w:tcW w:w="702"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r>
      <w:bookmarkEnd w:id="0"/>
    </w:tbl>
    <w:p>
      <w:pPr>
        <w:widowControl/>
        <w:jc w:val="left"/>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28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0ODZjNDYxZDk5NDY2NDIyOGYyN2U1NzQwZjdhMjAifQ=="/>
  </w:docVars>
  <w:rsids>
    <w:rsidRoot w:val="00192156"/>
    <w:rsid w:val="0000272A"/>
    <w:rsid w:val="000074DB"/>
    <w:rsid w:val="000101D3"/>
    <w:rsid w:val="000215E7"/>
    <w:rsid w:val="00024B78"/>
    <w:rsid w:val="000333B7"/>
    <w:rsid w:val="000369D0"/>
    <w:rsid w:val="00045A25"/>
    <w:rsid w:val="000466BE"/>
    <w:rsid w:val="00050B99"/>
    <w:rsid w:val="000521A2"/>
    <w:rsid w:val="00060E82"/>
    <w:rsid w:val="000618D5"/>
    <w:rsid w:val="00071A73"/>
    <w:rsid w:val="00087AD9"/>
    <w:rsid w:val="000921B9"/>
    <w:rsid w:val="00094DDF"/>
    <w:rsid w:val="00096024"/>
    <w:rsid w:val="00096BEA"/>
    <w:rsid w:val="000A060D"/>
    <w:rsid w:val="000A0BD2"/>
    <w:rsid w:val="000A2B01"/>
    <w:rsid w:val="000A3270"/>
    <w:rsid w:val="000B05BB"/>
    <w:rsid w:val="000B24DC"/>
    <w:rsid w:val="000C07BA"/>
    <w:rsid w:val="000C3815"/>
    <w:rsid w:val="000C3EFC"/>
    <w:rsid w:val="000C6717"/>
    <w:rsid w:val="000D56B4"/>
    <w:rsid w:val="000E18F6"/>
    <w:rsid w:val="000F77CE"/>
    <w:rsid w:val="001004CC"/>
    <w:rsid w:val="00100BCA"/>
    <w:rsid w:val="001018B2"/>
    <w:rsid w:val="00110A25"/>
    <w:rsid w:val="00111B1D"/>
    <w:rsid w:val="00125A14"/>
    <w:rsid w:val="00130D97"/>
    <w:rsid w:val="00136701"/>
    <w:rsid w:val="00136886"/>
    <w:rsid w:val="001415D0"/>
    <w:rsid w:val="00142159"/>
    <w:rsid w:val="00150D36"/>
    <w:rsid w:val="001536B6"/>
    <w:rsid w:val="001620B3"/>
    <w:rsid w:val="00165688"/>
    <w:rsid w:val="00170D4C"/>
    <w:rsid w:val="001734CA"/>
    <w:rsid w:val="00174CDA"/>
    <w:rsid w:val="0017600E"/>
    <w:rsid w:val="00181564"/>
    <w:rsid w:val="00181FC4"/>
    <w:rsid w:val="00184AD9"/>
    <w:rsid w:val="0019017C"/>
    <w:rsid w:val="00191913"/>
    <w:rsid w:val="00191969"/>
    <w:rsid w:val="00192156"/>
    <w:rsid w:val="00192ACC"/>
    <w:rsid w:val="001940C5"/>
    <w:rsid w:val="001A0A5F"/>
    <w:rsid w:val="001A0D99"/>
    <w:rsid w:val="001A3CC7"/>
    <w:rsid w:val="001A58CB"/>
    <w:rsid w:val="001A5C8B"/>
    <w:rsid w:val="001A694B"/>
    <w:rsid w:val="001C4318"/>
    <w:rsid w:val="001D1E4C"/>
    <w:rsid w:val="001D3226"/>
    <w:rsid w:val="001D4994"/>
    <w:rsid w:val="001D5615"/>
    <w:rsid w:val="001D6B55"/>
    <w:rsid w:val="001E02D9"/>
    <w:rsid w:val="001F1D49"/>
    <w:rsid w:val="001F43A9"/>
    <w:rsid w:val="00204E47"/>
    <w:rsid w:val="002124CD"/>
    <w:rsid w:val="00220B48"/>
    <w:rsid w:val="00225F36"/>
    <w:rsid w:val="00234311"/>
    <w:rsid w:val="00235D77"/>
    <w:rsid w:val="002366F3"/>
    <w:rsid w:val="00237881"/>
    <w:rsid w:val="002422EF"/>
    <w:rsid w:val="00242E8D"/>
    <w:rsid w:val="002508AE"/>
    <w:rsid w:val="002604CF"/>
    <w:rsid w:val="00261501"/>
    <w:rsid w:val="002744D0"/>
    <w:rsid w:val="0029361A"/>
    <w:rsid w:val="002A178C"/>
    <w:rsid w:val="002A2144"/>
    <w:rsid w:val="002B369A"/>
    <w:rsid w:val="002B4F16"/>
    <w:rsid w:val="002C668E"/>
    <w:rsid w:val="002C7793"/>
    <w:rsid w:val="002D275C"/>
    <w:rsid w:val="002D4264"/>
    <w:rsid w:val="002D42FC"/>
    <w:rsid w:val="002D706D"/>
    <w:rsid w:val="002E0890"/>
    <w:rsid w:val="002E0C00"/>
    <w:rsid w:val="002E385F"/>
    <w:rsid w:val="002E5523"/>
    <w:rsid w:val="002F127F"/>
    <w:rsid w:val="003035A5"/>
    <w:rsid w:val="00312D71"/>
    <w:rsid w:val="00313C97"/>
    <w:rsid w:val="003146B2"/>
    <w:rsid w:val="003156F3"/>
    <w:rsid w:val="00315762"/>
    <w:rsid w:val="00320D45"/>
    <w:rsid w:val="00340B74"/>
    <w:rsid w:val="003531EE"/>
    <w:rsid w:val="00361095"/>
    <w:rsid w:val="00363B11"/>
    <w:rsid w:val="003675A0"/>
    <w:rsid w:val="003678D7"/>
    <w:rsid w:val="00371894"/>
    <w:rsid w:val="00371DFA"/>
    <w:rsid w:val="00372401"/>
    <w:rsid w:val="00380174"/>
    <w:rsid w:val="003856EB"/>
    <w:rsid w:val="00387B35"/>
    <w:rsid w:val="003901E3"/>
    <w:rsid w:val="00392656"/>
    <w:rsid w:val="003A49CC"/>
    <w:rsid w:val="003B02B9"/>
    <w:rsid w:val="003B5B2B"/>
    <w:rsid w:val="003B6E6D"/>
    <w:rsid w:val="003B756F"/>
    <w:rsid w:val="003C18CB"/>
    <w:rsid w:val="003C5226"/>
    <w:rsid w:val="003C6FDE"/>
    <w:rsid w:val="003D2AE8"/>
    <w:rsid w:val="003D2CB7"/>
    <w:rsid w:val="003D485F"/>
    <w:rsid w:val="003D4A34"/>
    <w:rsid w:val="003E0F29"/>
    <w:rsid w:val="003E4174"/>
    <w:rsid w:val="003F4B38"/>
    <w:rsid w:val="003F6BFC"/>
    <w:rsid w:val="00404086"/>
    <w:rsid w:val="004076F9"/>
    <w:rsid w:val="00414837"/>
    <w:rsid w:val="004174E4"/>
    <w:rsid w:val="00424B8B"/>
    <w:rsid w:val="00435926"/>
    <w:rsid w:val="004359DB"/>
    <w:rsid w:val="00440DEA"/>
    <w:rsid w:val="00440F97"/>
    <w:rsid w:val="004419E1"/>
    <w:rsid w:val="0044342B"/>
    <w:rsid w:val="004454AB"/>
    <w:rsid w:val="00446658"/>
    <w:rsid w:val="00447963"/>
    <w:rsid w:val="00451915"/>
    <w:rsid w:val="0045354D"/>
    <w:rsid w:val="00454634"/>
    <w:rsid w:val="00454DAA"/>
    <w:rsid w:val="00472677"/>
    <w:rsid w:val="00485168"/>
    <w:rsid w:val="004856D4"/>
    <w:rsid w:val="00495C77"/>
    <w:rsid w:val="004973DF"/>
    <w:rsid w:val="004A0BD6"/>
    <w:rsid w:val="004A1978"/>
    <w:rsid w:val="004A4078"/>
    <w:rsid w:val="004A4AF4"/>
    <w:rsid w:val="004A7640"/>
    <w:rsid w:val="004B1709"/>
    <w:rsid w:val="004B4FEE"/>
    <w:rsid w:val="004B5493"/>
    <w:rsid w:val="004C3A42"/>
    <w:rsid w:val="004D1ABC"/>
    <w:rsid w:val="004D26B9"/>
    <w:rsid w:val="004D40A5"/>
    <w:rsid w:val="004D6527"/>
    <w:rsid w:val="004E1C52"/>
    <w:rsid w:val="004E4A47"/>
    <w:rsid w:val="004E4C61"/>
    <w:rsid w:val="004F4190"/>
    <w:rsid w:val="0051355C"/>
    <w:rsid w:val="00515190"/>
    <w:rsid w:val="005171A0"/>
    <w:rsid w:val="00522049"/>
    <w:rsid w:val="005345A9"/>
    <w:rsid w:val="00535F35"/>
    <w:rsid w:val="005442AC"/>
    <w:rsid w:val="00553264"/>
    <w:rsid w:val="00557D02"/>
    <w:rsid w:val="00560675"/>
    <w:rsid w:val="00560F97"/>
    <w:rsid w:val="00564E0E"/>
    <w:rsid w:val="00570AB0"/>
    <w:rsid w:val="00571627"/>
    <w:rsid w:val="005772D9"/>
    <w:rsid w:val="005848DF"/>
    <w:rsid w:val="0058504B"/>
    <w:rsid w:val="00585324"/>
    <w:rsid w:val="00594322"/>
    <w:rsid w:val="005968DC"/>
    <w:rsid w:val="00597164"/>
    <w:rsid w:val="005A1497"/>
    <w:rsid w:val="005A3389"/>
    <w:rsid w:val="005A3705"/>
    <w:rsid w:val="005B31B8"/>
    <w:rsid w:val="005B6FBE"/>
    <w:rsid w:val="005C40B9"/>
    <w:rsid w:val="005C57DA"/>
    <w:rsid w:val="005D0437"/>
    <w:rsid w:val="005D2B08"/>
    <w:rsid w:val="005D40C0"/>
    <w:rsid w:val="005D654E"/>
    <w:rsid w:val="005D6859"/>
    <w:rsid w:val="005D68D6"/>
    <w:rsid w:val="005E125C"/>
    <w:rsid w:val="005E4262"/>
    <w:rsid w:val="005E55E1"/>
    <w:rsid w:val="005F3419"/>
    <w:rsid w:val="005F3CBA"/>
    <w:rsid w:val="005F5137"/>
    <w:rsid w:val="006355FE"/>
    <w:rsid w:val="00662F34"/>
    <w:rsid w:val="00663774"/>
    <w:rsid w:val="00677348"/>
    <w:rsid w:val="00677646"/>
    <w:rsid w:val="00677834"/>
    <w:rsid w:val="006831EE"/>
    <w:rsid w:val="00685395"/>
    <w:rsid w:val="006948E0"/>
    <w:rsid w:val="006965E7"/>
    <w:rsid w:val="00697520"/>
    <w:rsid w:val="006A14C4"/>
    <w:rsid w:val="006A3FD5"/>
    <w:rsid w:val="006A4236"/>
    <w:rsid w:val="006A45AC"/>
    <w:rsid w:val="006B3063"/>
    <w:rsid w:val="006B46ED"/>
    <w:rsid w:val="006B79CA"/>
    <w:rsid w:val="006B7B07"/>
    <w:rsid w:val="006C0B18"/>
    <w:rsid w:val="006C19E0"/>
    <w:rsid w:val="006C3746"/>
    <w:rsid w:val="006C4310"/>
    <w:rsid w:val="006D502B"/>
    <w:rsid w:val="006D7757"/>
    <w:rsid w:val="006E02E2"/>
    <w:rsid w:val="006E038A"/>
    <w:rsid w:val="006E0AD0"/>
    <w:rsid w:val="006E26BC"/>
    <w:rsid w:val="006E4B18"/>
    <w:rsid w:val="006F22E5"/>
    <w:rsid w:val="006F51A9"/>
    <w:rsid w:val="006F58EC"/>
    <w:rsid w:val="006F695F"/>
    <w:rsid w:val="006F7CAD"/>
    <w:rsid w:val="007000CC"/>
    <w:rsid w:val="00701870"/>
    <w:rsid w:val="00722E7A"/>
    <w:rsid w:val="00735BB1"/>
    <w:rsid w:val="007402AB"/>
    <w:rsid w:val="0074108F"/>
    <w:rsid w:val="00752C25"/>
    <w:rsid w:val="00754E89"/>
    <w:rsid w:val="0075594B"/>
    <w:rsid w:val="00761524"/>
    <w:rsid w:val="00761D96"/>
    <w:rsid w:val="00761E26"/>
    <w:rsid w:val="00767873"/>
    <w:rsid w:val="00767FE9"/>
    <w:rsid w:val="00770481"/>
    <w:rsid w:val="007707B8"/>
    <w:rsid w:val="00776D2C"/>
    <w:rsid w:val="00780B10"/>
    <w:rsid w:val="0078356B"/>
    <w:rsid w:val="00784FB4"/>
    <w:rsid w:val="0079117B"/>
    <w:rsid w:val="0079327B"/>
    <w:rsid w:val="0079799B"/>
    <w:rsid w:val="007A06D9"/>
    <w:rsid w:val="007A090C"/>
    <w:rsid w:val="007A102C"/>
    <w:rsid w:val="007A32A4"/>
    <w:rsid w:val="007A5CDE"/>
    <w:rsid w:val="007A5E2F"/>
    <w:rsid w:val="007B23E7"/>
    <w:rsid w:val="007B4F28"/>
    <w:rsid w:val="007B718E"/>
    <w:rsid w:val="007B7D9A"/>
    <w:rsid w:val="007C200C"/>
    <w:rsid w:val="007C2C6A"/>
    <w:rsid w:val="007C3293"/>
    <w:rsid w:val="007C414E"/>
    <w:rsid w:val="007C78D7"/>
    <w:rsid w:val="007D1928"/>
    <w:rsid w:val="007D54F8"/>
    <w:rsid w:val="007D78C2"/>
    <w:rsid w:val="007E2AE4"/>
    <w:rsid w:val="007E67F8"/>
    <w:rsid w:val="007E7F05"/>
    <w:rsid w:val="007F2134"/>
    <w:rsid w:val="007F2698"/>
    <w:rsid w:val="007F5F7E"/>
    <w:rsid w:val="0080213C"/>
    <w:rsid w:val="008031B2"/>
    <w:rsid w:val="00806E3D"/>
    <w:rsid w:val="00807923"/>
    <w:rsid w:val="008134B8"/>
    <w:rsid w:val="008177FE"/>
    <w:rsid w:val="008205EA"/>
    <w:rsid w:val="00820E94"/>
    <w:rsid w:val="00823B83"/>
    <w:rsid w:val="00824785"/>
    <w:rsid w:val="00832AB1"/>
    <w:rsid w:val="00835200"/>
    <w:rsid w:val="00835705"/>
    <w:rsid w:val="00842350"/>
    <w:rsid w:val="00845612"/>
    <w:rsid w:val="00853410"/>
    <w:rsid w:val="00856E3F"/>
    <w:rsid w:val="00857795"/>
    <w:rsid w:val="00867CFD"/>
    <w:rsid w:val="00873446"/>
    <w:rsid w:val="00876C69"/>
    <w:rsid w:val="00881C34"/>
    <w:rsid w:val="00881C4F"/>
    <w:rsid w:val="00890C89"/>
    <w:rsid w:val="008A0412"/>
    <w:rsid w:val="008A10FF"/>
    <w:rsid w:val="008A5F56"/>
    <w:rsid w:val="008B05BA"/>
    <w:rsid w:val="008B24DA"/>
    <w:rsid w:val="008B4131"/>
    <w:rsid w:val="008B4B5B"/>
    <w:rsid w:val="008C59DC"/>
    <w:rsid w:val="008D0D42"/>
    <w:rsid w:val="008D28BC"/>
    <w:rsid w:val="008D5B68"/>
    <w:rsid w:val="008D7C61"/>
    <w:rsid w:val="008E1FE0"/>
    <w:rsid w:val="008E495C"/>
    <w:rsid w:val="008F48A2"/>
    <w:rsid w:val="009065BE"/>
    <w:rsid w:val="00907379"/>
    <w:rsid w:val="00907AA8"/>
    <w:rsid w:val="00910BC3"/>
    <w:rsid w:val="0091165E"/>
    <w:rsid w:val="00911A94"/>
    <w:rsid w:val="009130CE"/>
    <w:rsid w:val="00924F87"/>
    <w:rsid w:val="00927967"/>
    <w:rsid w:val="00931F35"/>
    <w:rsid w:val="00932F06"/>
    <w:rsid w:val="00934E8E"/>
    <w:rsid w:val="00935C4C"/>
    <w:rsid w:val="00936045"/>
    <w:rsid w:val="0094070D"/>
    <w:rsid w:val="00944814"/>
    <w:rsid w:val="0094537C"/>
    <w:rsid w:val="00947C62"/>
    <w:rsid w:val="00951B0E"/>
    <w:rsid w:val="0095617D"/>
    <w:rsid w:val="00957C1C"/>
    <w:rsid w:val="00962DFE"/>
    <w:rsid w:val="0096782D"/>
    <w:rsid w:val="0097214E"/>
    <w:rsid w:val="00977AAC"/>
    <w:rsid w:val="00977C29"/>
    <w:rsid w:val="00983B74"/>
    <w:rsid w:val="009861E0"/>
    <w:rsid w:val="009969DA"/>
    <w:rsid w:val="009A3615"/>
    <w:rsid w:val="009A365D"/>
    <w:rsid w:val="009A77F1"/>
    <w:rsid w:val="009B1385"/>
    <w:rsid w:val="009B1866"/>
    <w:rsid w:val="009C2658"/>
    <w:rsid w:val="009C27D3"/>
    <w:rsid w:val="009C2F66"/>
    <w:rsid w:val="009C3BD3"/>
    <w:rsid w:val="009C7648"/>
    <w:rsid w:val="009D4128"/>
    <w:rsid w:val="009D76CB"/>
    <w:rsid w:val="009F2544"/>
    <w:rsid w:val="009F32A9"/>
    <w:rsid w:val="009F35ED"/>
    <w:rsid w:val="009F4C85"/>
    <w:rsid w:val="009F72A7"/>
    <w:rsid w:val="00A01EE0"/>
    <w:rsid w:val="00A051B8"/>
    <w:rsid w:val="00A06889"/>
    <w:rsid w:val="00A11B4B"/>
    <w:rsid w:val="00A11DD2"/>
    <w:rsid w:val="00A17ADE"/>
    <w:rsid w:val="00A20AEF"/>
    <w:rsid w:val="00A21E90"/>
    <w:rsid w:val="00A2377B"/>
    <w:rsid w:val="00A40563"/>
    <w:rsid w:val="00A42F87"/>
    <w:rsid w:val="00A47824"/>
    <w:rsid w:val="00A54D46"/>
    <w:rsid w:val="00A62D7B"/>
    <w:rsid w:val="00A652B8"/>
    <w:rsid w:val="00A65E7A"/>
    <w:rsid w:val="00A66374"/>
    <w:rsid w:val="00A72594"/>
    <w:rsid w:val="00A760E9"/>
    <w:rsid w:val="00A81393"/>
    <w:rsid w:val="00A843D0"/>
    <w:rsid w:val="00AB036A"/>
    <w:rsid w:val="00AB3763"/>
    <w:rsid w:val="00AD6367"/>
    <w:rsid w:val="00AE0561"/>
    <w:rsid w:val="00AE2143"/>
    <w:rsid w:val="00AE49CA"/>
    <w:rsid w:val="00AE6ADC"/>
    <w:rsid w:val="00AE7672"/>
    <w:rsid w:val="00AF7D29"/>
    <w:rsid w:val="00B042D2"/>
    <w:rsid w:val="00B052BA"/>
    <w:rsid w:val="00B14E30"/>
    <w:rsid w:val="00B161F6"/>
    <w:rsid w:val="00B21D9F"/>
    <w:rsid w:val="00B300D2"/>
    <w:rsid w:val="00B433D1"/>
    <w:rsid w:val="00B45278"/>
    <w:rsid w:val="00B47BE4"/>
    <w:rsid w:val="00B5185E"/>
    <w:rsid w:val="00B607B6"/>
    <w:rsid w:val="00B666F5"/>
    <w:rsid w:val="00B734FE"/>
    <w:rsid w:val="00B76AC0"/>
    <w:rsid w:val="00B8253B"/>
    <w:rsid w:val="00B8783F"/>
    <w:rsid w:val="00B87C65"/>
    <w:rsid w:val="00B91337"/>
    <w:rsid w:val="00B97927"/>
    <w:rsid w:val="00B97CEE"/>
    <w:rsid w:val="00BA5279"/>
    <w:rsid w:val="00BA76C2"/>
    <w:rsid w:val="00BB1245"/>
    <w:rsid w:val="00BB298E"/>
    <w:rsid w:val="00BB73C4"/>
    <w:rsid w:val="00BC24BB"/>
    <w:rsid w:val="00BC6CCB"/>
    <w:rsid w:val="00BC7AA8"/>
    <w:rsid w:val="00BD0690"/>
    <w:rsid w:val="00BD158F"/>
    <w:rsid w:val="00BD3423"/>
    <w:rsid w:val="00BD3BDF"/>
    <w:rsid w:val="00BD710A"/>
    <w:rsid w:val="00BE2410"/>
    <w:rsid w:val="00BE34E9"/>
    <w:rsid w:val="00BE483F"/>
    <w:rsid w:val="00BE61EF"/>
    <w:rsid w:val="00BE6DD0"/>
    <w:rsid w:val="00BE7D69"/>
    <w:rsid w:val="00BF5A3E"/>
    <w:rsid w:val="00C01D7E"/>
    <w:rsid w:val="00C026C4"/>
    <w:rsid w:val="00C04BD1"/>
    <w:rsid w:val="00C06DCA"/>
    <w:rsid w:val="00C1163A"/>
    <w:rsid w:val="00C14858"/>
    <w:rsid w:val="00C17E10"/>
    <w:rsid w:val="00C25820"/>
    <w:rsid w:val="00C36AEA"/>
    <w:rsid w:val="00C50A56"/>
    <w:rsid w:val="00C64664"/>
    <w:rsid w:val="00C666BF"/>
    <w:rsid w:val="00C67850"/>
    <w:rsid w:val="00C7077F"/>
    <w:rsid w:val="00C81FD2"/>
    <w:rsid w:val="00C8454B"/>
    <w:rsid w:val="00C87B9F"/>
    <w:rsid w:val="00C9306D"/>
    <w:rsid w:val="00CB0E8B"/>
    <w:rsid w:val="00CB0FE6"/>
    <w:rsid w:val="00CB2CB4"/>
    <w:rsid w:val="00CB7AAF"/>
    <w:rsid w:val="00CC3CB9"/>
    <w:rsid w:val="00CD48DE"/>
    <w:rsid w:val="00CE385C"/>
    <w:rsid w:val="00CE57DC"/>
    <w:rsid w:val="00CE72E4"/>
    <w:rsid w:val="00CF2D06"/>
    <w:rsid w:val="00CF414E"/>
    <w:rsid w:val="00CF645D"/>
    <w:rsid w:val="00D00BB2"/>
    <w:rsid w:val="00D01D8C"/>
    <w:rsid w:val="00D04DEB"/>
    <w:rsid w:val="00D058E5"/>
    <w:rsid w:val="00D1016B"/>
    <w:rsid w:val="00D131B6"/>
    <w:rsid w:val="00D13985"/>
    <w:rsid w:val="00D163A5"/>
    <w:rsid w:val="00D16413"/>
    <w:rsid w:val="00D204AE"/>
    <w:rsid w:val="00D24532"/>
    <w:rsid w:val="00D24BD9"/>
    <w:rsid w:val="00D355DA"/>
    <w:rsid w:val="00D41C31"/>
    <w:rsid w:val="00D4335B"/>
    <w:rsid w:val="00D462B4"/>
    <w:rsid w:val="00D468DD"/>
    <w:rsid w:val="00D471E3"/>
    <w:rsid w:val="00D47347"/>
    <w:rsid w:val="00D4775B"/>
    <w:rsid w:val="00D525E0"/>
    <w:rsid w:val="00D547F2"/>
    <w:rsid w:val="00D6134E"/>
    <w:rsid w:val="00D65E96"/>
    <w:rsid w:val="00D66E4B"/>
    <w:rsid w:val="00D71FA2"/>
    <w:rsid w:val="00D7444C"/>
    <w:rsid w:val="00D769DD"/>
    <w:rsid w:val="00D83E63"/>
    <w:rsid w:val="00D8556B"/>
    <w:rsid w:val="00D85EEF"/>
    <w:rsid w:val="00D86643"/>
    <w:rsid w:val="00D918E0"/>
    <w:rsid w:val="00D9492B"/>
    <w:rsid w:val="00D94C8F"/>
    <w:rsid w:val="00DA00B7"/>
    <w:rsid w:val="00DA0B12"/>
    <w:rsid w:val="00DA2DB4"/>
    <w:rsid w:val="00DA4411"/>
    <w:rsid w:val="00DA4CDC"/>
    <w:rsid w:val="00DA6DFB"/>
    <w:rsid w:val="00DB028F"/>
    <w:rsid w:val="00DC2FB6"/>
    <w:rsid w:val="00DD0035"/>
    <w:rsid w:val="00DD1FB9"/>
    <w:rsid w:val="00DD515E"/>
    <w:rsid w:val="00DE358A"/>
    <w:rsid w:val="00DF0606"/>
    <w:rsid w:val="00DF2A89"/>
    <w:rsid w:val="00DF42D7"/>
    <w:rsid w:val="00E03BEA"/>
    <w:rsid w:val="00E1797D"/>
    <w:rsid w:val="00E21407"/>
    <w:rsid w:val="00E216D3"/>
    <w:rsid w:val="00E21D70"/>
    <w:rsid w:val="00E24B64"/>
    <w:rsid w:val="00E360E7"/>
    <w:rsid w:val="00E3787E"/>
    <w:rsid w:val="00E43C5C"/>
    <w:rsid w:val="00E46AB6"/>
    <w:rsid w:val="00E54696"/>
    <w:rsid w:val="00E550F4"/>
    <w:rsid w:val="00E56F20"/>
    <w:rsid w:val="00E675BC"/>
    <w:rsid w:val="00E67788"/>
    <w:rsid w:val="00E72083"/>
    <w:rsid w:val="00E735AC"/>
    <w:rsid w:val="00E9257E"/>
    <w:rsid w:val="00E95998"/>
    <w:rsid w:val="00EA06A4"/>
    <w:rsid w:val="00EB77C9"/>
    <w:rsid w:val="00EC7E99"/>
    <w:rsid w:val="00ED5B06"/>
    <w:rsid w:val="00EE003E"/>
    <w:rsid w:val="00EE180A"/>
    <w:rsid w:val="00EE242C"/>
    <w:rsid w:val="00EE301D"/>
    <w:rsid w:val="00EE4D22"/>
    <w:rsid w:val="00EF78BC"/>
    <w:rsid w:val="00F031B3"/>
    <w:rsid w:val="00F068E0"/>
    <w:rsid w:val="00F11311"/>
    <w:rsid w:val="00F12AC9"/>
    <w:rsid w:val="00F13DB6"/>
    <w:rsid w:val="00F168DE"/>
    <w:rsid w:val="00F16DF3"/>
    <w:rsid w:val="00F27FBA"/>
    <w:rsid w:val="00F33D0D"/>
    <w:rsid w:val="00F42C4A"/>
    <w:rsid w:val="00F4495A"/>
    <w:rsid w:val="00F46070"/>
    <w:rsid w:val="00F47D94"/>
    <w:rsid w:val="00F53E48"/>
    <w:rsid w:val="00F61B60"/>
    <w:rsid w:val="00F62210"/>
    <w:rsid w:val="00F67DCF"/>
    <w:rsid w:val="00F835A3"/>
    <w:rsid w:val="00F8480F"/>
    <w:rsid w:val="00FA133C"/>
    <w:rsid w:val="00FA1C4B"/>
    <w:rsid w:val="00FB08F6"/>
    <w:rsid w:val="00FC23C7"/>
    <w:rsid w:val="00FC7560"/>
    <w:rsid w:val="00FD5131"/>
    <w:rsid w:val="00FD5EB9"/>
    <w:rsid w:val="00FE02A9"/>
    <w:rsid w:val="00FE2DAA"/>
    <w:rsid w:val="00FE4D3A"/>
    <w:rsid w:val="00FE721E"/>
    <w:rsid w:val="00FF13A9"/>
    <w:rsid w:val="00FF1A73"/>
    <w:rsid w:val="00FF4300"/>
    <w:rsid w:val="04230B92"/>
    <w:rsid w:val="07983601"/>
    <w:rsid w:val="0D376BF8"/>
    <w:rsid w:val="0DCF199B"/>
    <w:rsid w:val="0E9360EE"/>
    <w:rsid w:val="10BD632E"/>
    <w:rsid w:val="146B3C4F"/>
    <w:rsid w:val="1580063C"/>
    <w:rsid w:val="15E03E75"/>
    <w:rsid w:val="16F716AA"/>
    <w:rsid w:val="17015B64"/>
    <w:rsid w:val="19E97E05"/>
    <w:rsid w:val="1B2C5EC9"/>
    <w:rsid w:val="1BD792BA"/>
    <w:rsid w:val="1C765C9F"/>
    <w:rsid w:val="1C9167EE"/>
    <w:rsid w:val="1DD1157D"/>
    <w:rsid w:val="1FE82B81"/>
    <w:rsid w:val="23902304"/>
    <w:rsid w:val="256B2DF1"/>
    <w:rsid w:val="2688372A"/>
    <w:rsid w:val="26F96373"/>
    <w:rsid w:val="27FA6A3D"/>
    <w:rsid w:val="28EB21DB"/>
    <w:rsid w:val="2A4E1F42"/>
    <w:rsid w:val="2FFC4CEE"/>
    <w:rsid w:val="311A23BA"/>
    <w:rsid w:val="39EC3A8B"/>
    <w:rsid w:val="3CFE57A8"/>
    <w:rsid w:val="3D17003D"/>
    <w:rsid w:val="3EB75BFF"/>
    <w:rsid w:val="414E6547"/>
    <w:rsid w:val="45B6667F"/>
    <w:rsid w:val="47491ACB"/>
    <w:rsid w:val="476155C7"/>
    <w:rsid w:val="4C3B3B6C"/>
    <w:rsid w:val="4CB12DEB"/>
    <w:rsid w:val="52765707"/>
    <w:rsid w:val="54AB3C68"/>
    <w:rsid w:val="59804EAC"/>
    <w:rsid w:val="5A7C56EF"/>
    <w:rsid w:val="5B2737C9"/>
    <w:rsid w:val="5C736320"/>
    <w:rsid w:val="5F9C8719"/>
    <w:rsid w:val="5FF43F05"/>
    <w:rsid w:val="62D839B3"/>
    <w:rsid w:val="64266808"/>
    <w:rsid w:val="644A541D"/>
    <w:rsid w:val="6AC81AC2"/>
    <w:rsid w:val="6B211664"/>
    <w:rsid w:val="6D0D5EB2"/>
    <w:rsid w:val="6DED6B66"/>
    <w:rsid w:val="6DF8D820"/>
    <w:rsid w:val="6FED328C"/>
    <w:rsid w:val="71373859"/>
    <w:rsid w:val="72BB4112"/>
    <w:rsid w:val="779BD1C3"/>
    <w:rsid w:val="77A95143"/>
    <w:rsid w:val="7A1D7195"/>
    <w:rsid w:val="7AE02B89"/>
    <w:rsid w:val="7BBCDE22"/>
    <w:rsid w:val="7BD64A79"/>
    <w:rsid w:val="7F502745"/>
    <w:rsid w:val="7F7D9BD7"/>
    <w:rsid w:val="7FFE9D0A"/>
    <w:rsid w:val="7FFFD1BD"/>
    <w:rsid w:val="9AFFE7AB"/>
    <w:rsid w:val="A3B3654A"/>
    <w:rsid w:val="AFFFF606"/>
    <w:rsid w:val="B7DF99F3"/>
    <w:rsid w:val="D3FF4F83"/>
    <w:rsid w:val="D6C765C5"/>
    <w:rsid w:val="DE7B9CEE"/>
    <w:rsid w:val="F35C17EF"/>
    <w:rsid w:val="F3DEDF06"/>
    <w:rsid w:val="F589066F"/>
    <w:rsid w:val="F5C7AFFE"/>
    <w:rsid w:val="F7CE0DBF"/>
    <w:rsid w:val="FD75544E"/>
    <w:rsid w:val="FDDA0E1A"/>
    <w:rsid w:val="FF5BABE2"/>
    <w:rsid w:val="FFC670E8"/>
    <w:rsid w:val="FFD6E599"/>
    <w:rsid w:val="FFDF5F2A"/>
    <w:rsid w:val="FFF31F54"/>
    <w:rsid w:val="FFFF6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eastAsia="MS Gothic"/>
      <w:b/>
      <w:bCs/>
      <w:kern w:val="44"/>
      <w:sz w:val="44"/>
      <w:szCs w:val="44"/>
      <w:lang w:val="zh-CN" w:eastAsia="zh-CN"/>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4">
    <w:name w:val="Normal Indent"/>
    <w:basedOn w:val="1"/>
    <w:link w:val="20"/>
    <w:qFormat/>
    <w:uiPriority w:val="0"/>
    <w:pPr>
      <w:spacing w:line="560" w:lineRule="atLeast"/>
      <w:ind w:firstLine="567"/>
    </w:pPr>
    <w:rPr>
      <w:rFonts w:asciiTheme="minorHAnsi" w:hAnsiTheme="minorHAnsi" w:eastAsiaTheme="minorEastAsia" w:cstheme="minorBidi"/>
      <w:sz w:val="28"/>
    </w:rPr>
  </w:style>
  <w:style w:type="paragraph" w:styleId="5">
    <w:name w:val="Date"/>
    <w:basedOn w:val="1"/>
    <w:next w:val="1"/>
    <w:link w:val="25"/>
    <w:qFormat/>
    <w:uiPriority w:val="0"/>
    <w:pPr>
      <w:ind w:left="100" w:leftChars="2500"/>
    </w:pPr>
    <w:rPr>
      <w:rFonts w:ascii="Times New Roman" w:hAnsi="Times New Roman"/>
      <w:szCs w:val="24"/>
    </w:rPr>
  </w:style>
  <w:style w:type="paragraph" w:styleId="6">
    <w:name w:val="Balloon Text"/>
    <w:basedOn w:val="1"/>
    <w:link w:val="24"/>
    <w:unhideWhenUsed/>
    <w:qFormat/>
    <w:uiPriority w:val="99"/>
    <w:rPr>
      <w:rFonts w:ascii="Times New Roman" w:hAnsi="Times New Roman"/>
      <w:sz w:val="18"/>
      <w:szCs w:val="18"/>
      <w:lang w:val="zh-CN" w:eastAsia="zh-CN"/>
    </w:rPr>
  </w:style>
  <w:style w:type="paragraph" w:styleId="7">
    <w:name w:val="footer"/>
    <w:basedOn w:val="1"/>
    <w:link w:val="17"/>
    <w:qFormat/>
    <w:uiPriority w:val="99"/>
    <w:pPr>
      <w:tabs>
        <w:tab w:val="center" w:pos="4153"/>
        <w:tab w:val="right" w:pos="8306"/>
      </w:tabs>
      <w:snapToGrid w:val="0"/>
      <w:jc w:val="left"/>
    </w:pPr>
    <w:rPr>
      <w:rFonts w:ascii="Times New Roman" w:hAnsi="Times New Roman"/>
      <w:sz w:val="18"/>
      <w:szCs w:val="18"/>
    </w:rPr>
  </w:style>
  <w:style w:type="paragraph" w:styleId="8">
    <w:name w:val="header"/>
    <w:basedOn w:val="1"/>
    <w:link w:val="18"/>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9">
    <w:name w:val="toc 1"/>
    <w:basedOn w:val="1"/>
    <w:next w:val="1"/>
    <w:qFormat/>
    <w:uiPriority w:val="0"/>
    <w:pPr>
      <w:tabs>
        <w:tab w:val="right" w:leader="dot" w:pos="9135"/>
      </w:tabs>
      <w:spacing w:line="480" w:lineRule="auto"/>
      <w:ind w:left="105" w:leftChars="50"/>
      <w:jc w:val="center"/>
    </w:pPr>
    <w:rPr>
      <w:rFonts w:ascii="黑体" w:hAnsi="宋体" w:eastAsia="黑体" w:cs="宋体"/>
      <w:color w:val="000000"/>
      <w:kern w:val="0"/>
      <w:sz w:val="32"/>
      <w:szCs w:val="32"/>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0"/>
  </w:style>
  <w:style w:type="character" w:styleId="15">
    <w:name w:val="Hyperlink"/>
    <w:qFormat/>
    <w:uiPriority w:val="0"/>
    <w:rPr>
      <w:color w:val="0000FF"/>
      <w:u w:val="single"/>
    </w:rPr>
  </w:style>
  <w:style w:type="character" w:customStyle="1" w:styleId="16">
    <w:name w:val="标题 1 Char"/>
    <w:basedOn w:val="13"/>
    <w:link w:val="2"/>
    <w:qFormat/>
    <w:uiPriority w:val="0"/>
    <w:rPr>
      <w:rFonts w:ascii="Times New Roman" w:hAnsi="Times New Roman" w:eastAsia="MS Gothic" w:cs="Times New Roman"/>
      <w:b/>
      <w:bCs/>
      <w:kern w:val="44"/>
      <w:sz w:val="44"/>
      <w:szCs w:val="44"/>
      <w:lang w:val="zh-CN" w:eastAsia="zh-CN"/>
    </w:rPr>
  </w:style>
  <w:style w:type="character" w:customStyle="1" w:styleId="17">
    <w:name w:val="页脚 Char"/>
    <w:basedOn w:val="13"/>
    <w:link w:val="7"/>
    <w:qFormat/>
    <w:uiPriority w:val="99"/>
    <w:rPr>
      <w:rFonts w:ascii="Times New Roman" w:hAnsi="Times New Roman" w:eastAsia="宋体" w:cs="Times New Roman"/>
      <w:sz w:val="18"/>
      <w:szCs w:val="18"/>
    </w:rPr>
  </w:style>
  <w:style w:type="character" w:customStyle="1" w:styleId="18">
    <w:name w:val="页眉 Char"/>
    <w:basedOn w:val="13"/>
    <w:link w:val="8"/>
    <w:qFormat/>
    <w:uiPriority w:val="0"/>
    <w:rPr>
      <w:rFonts w:ascii="Times New Roman" w:hAnsi="Times New Roman" w:eastAsia="宋体" w:cs="Times New Roman"/>
      <w:sz w:val="18"/>
      <w:szCs w:val="18"/>
    </w:rPr>
  </w:style>
  <w:style w:type="character" w:customStyle="1" w:styleId="19">
    <w:name w:val="页脚 Char Char"/>
    <w:qFormat/>
    <w:uiPriority w:val="0"/>
    <w:rPr>
      <w:rFonts w:ascii="Times New Roman" w:hAnsi="Times New Roman" w:eastAsia="宋体" w:cs="Times New Roman"/>
      <w:sz w:val="18"/>
      <w:szCs w:val="18"/>
    </w:rPr>
  </w:style>
  <w:style w:type="character" w:customStyle="1" w:styleId="20">
    <w:name w:val="正文缩进 Char"/>
    <w:link w:val="4"/>
    <w:qFormat/>
    <w:uiPriority w:val="0"/>
    <w:rPr>
      <w:sz w:val="28"/>
    </w:rPr>
  </w:style>
  <w:style w:type="character" w:customStyle="1" w:styleId="21">
    <w:name w:val="正文啊 Char Char"/>
    <w:link w:val="22"/>
    <w:qFormat/>
    <w:uiPriority w:val="0"/>
    <w:rPr>
      <w:rFonts w:ascii="仿宋_GB2312" w:hAnsi="宋体" w:eastAsia="仿宋_GB2312"/>
      <w:bCs/>
      <w:sz w:val="30"/>
      <w:szCs w:val="30"/>
    </w:rPr>
  </w:style>
  <w:style w:type="paragraph" w:customStyle="1" w:styleId="22">
    <w:name w:val="正文啊"/>
    <w:basedOn w:val="1"/>
    <w:link w:val="21"/>
    <w:qFormat/>
    <w:uiPriority w:val="0"/>
    <w:pPr>
      <w:spacing w:line="560" w:lineRule="exact"/>
      <w:ind w:firstLine="600" w:firstLineChars="200"/>
    </w:pPr>
    <w:rPr>
      <w:rFonts w:ascii="仿宋_GB2312" w:hAnsi="宋体" w:eastAsia="仿宋_GB2312" w:cstheme="minorBidi"/>
      <w:bCs/>
      <w:sz w:val="30"/>
      <w:szCs w:val="30"/>
    </w:rPr>
  </w:style>
  <w:style w:type="paragraph" w:customStyle="1" w:styleId="23">
    <w:name w:val="Char"/>
    <w:basedOn w:val="1"/>
    <w:next w:val="1"/>
    <w:qFormat/>
    <w:uiPriority w:val="0"/>
    <w:pPr>
      <w:widowControl/>
      <w:spacing w:line="360" w:lineRule="auto"/>
      <w:jc w:val="left"/>
    </w:pPr>
    <w:rPr>
      <w:rFonts w:ascii="Times New Roman" w:hAnsi="Times New Roman"/>
      <w:kern w:val="0"/>
      <w:szCs w:val="20"/>
      <w:lang w:eastAsia="en-US"/>
    </w:rPr>
  </w:style>
  <w:style w:type="character" w:customStyle="1" w:styleId="24">
    <w:name w:val="批注框文本 Char"/>
    <w:basedOn w:val="13"/>
    <w:link w:val="6"/>
    <w:qFormat/>
    <w:uiPriority w:val="99"/>
    <w:rPr>
      <w:rFonts w:ascii="Times New Roman" w:hAnsi="Times New Roman" w:eastAsia="宋体" w:cs="Times New Roman"/>
      <w:sz w:val="18"/>
      <w:szCs w:val="18"/>
      <w:lang w:val="zh-CN" w:eastAsia="zh-CN"/>
    </w:rPr>
  </w:style>
  <w:style w:type="character" w:customStyle="1" w:styleId="25">
    <w:name w:val="日期 Char"/>
    <w:basedOn w:val="13"/>
    <w:link w:val="5"/>
    <w:qFormat/>
    <w:uiPriority w:val="0"/>
    <w:rPr>
      <w:rFonts w:ascii="Times New Roman" w:hAnsi="Times New Roman" w:eastAsia="宋体" w:cs="Times New Roman"/>
      <w:szCs w:val="24"/>
    </w:rPr>
  </w:style>
  <w:style w:type="paragraph" w:customStyle="1" w:styleId="26">
    <w:name w:val="Default Paragraph Char Char Char Char"/>
    <w:basedOn w:val="1"/>
    <w:next w:val="1"/>
    <w:qFormat/>
    <w:uiPriority w:val="0"/>
    <w:pPr>
      <w:widowControl/>
      <w:spacing w:line="360" w:lineRule="auto"/>
      <w:jc w:val="center"/>
    </w:pPr>
    <w:rPr>
      <w:rFonts w:ascii="Times New Roman" w:hAnsi="Times New Roman" w:eastAsia="方正小标宋简体"/>
      <w:kern w:val="0"/>
      <w:sz w:val="44"/>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1859</Words>
  <Characters>1986</Characters>
  <Lines>102</Lines>
  <Paragraphs>28</Paragraphs>
  <TotalTime>8</TotalTime>
  <ScaleCrop>false</ScaleCrop>
  <LinksUpToDate>false</LinksUpToDate>
  <CharactersWithSpaces>2125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2020-12-26T02:41:00Z</dcterms:created>
  <dc:creator>王焱</dc:creator>
  <cp:lastModifiedBy>时光正好</cp:lastModifiedBy>
  <cp:lastPrinted>2022-12-06T16:18:00Z</cp:lastPrinted>
  <dcterms:modified xsi:type="dcterms:W3CDTF">2025-09-09T03:28:40Z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63B28B693BA147249C2EBFE428528223_13</vt:lpwstr>
  </property>
  <property fmtid="{D5CDD505-2E9C-101B-9397-08002B2CF9AE}" pid="4" name="KSOTemplateDocerSaveRecord">
    <vt:lpwstr>eyJoZGlkIjoiYzRjZjg0ZWZjODJlNjQ1ZDM3MTUxYjcwNDc0MTg0MTkiLCJ1c2VySWQiOiI4OTE5OTY2NDAifQ==</vt:lpwstr>
  </property>
</Properties>
</file>