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right="120"/>
        <w:jc w:val="right"/>
        <w:rPr>
          <w:rFonts w:ascii="Times New Roman" w:hAnsi="Times New Roman" w:eastAsia="华文楷体"/>
          <w:bCs/>
          <w:sz w:val="16"/>
          <w:szCs w:val="21"/>
        </w:rPr>
      </w:pPr>
    </w:p>
    <w:p>
      <w:pPr>
        <w:ind w:right="120"/>
        <w:jc w:val="right"/>
        <w:rPr>
          <w:rFonts w:ascii="Times New Roman" w:hAnsi="Times New Roman" w:eastAsia="华文楷体"/>
          <w:bCs/>
          <w:sz w:val="16"/>
          <w:szCs w:val="21"/>
        </w:rPr>
      </w:pPr>
    </w:p>
    <w:p>
      <w:pPr>
        <w:ind w:right="120"/>
        <w:jc w:val="right"/>
        <w:rPr>
          <w:rFonts w:ascii="Times New Roman" w:hAnsi="Times New Roman" w:eastAsia="华文楷体"/>
          <w:bCs/>
          <w:sz w:val="16"/>
          <w:szCs w:val="21"/>
        </w:rPr>
      </w:pPr>
    </w:p>
    <w:p>
      <w:pPr>
        <w:jc w:val="center"/>
        <w:rPr>
          <w:rFonts w:ascii="Times New Roman" w:hAnsi="Times New Roman" w:eastAsia="黑体"/>
          <w:bCs/>
          <w:sz w:val="44"/>
        </w:rPr>
      </w:pPr>
    </w:p>
    <w:p>
      <w:pPr>
        <w:jc w:val="center"/>
        <w:rPr>
          <w:rFonts w:ascii="Times New Roman" w:hAnsi="Times New Roman" w:eastAsia="黑体"/>
          <w:bCs/>
          <w:sz w:val="44"/>
        </w:rPr>
      </w:pPr>
    </w:p>
    <w:p>
      <w:pPr>
        <w:spacing w:line="600" w:lineRule="exact"/>
        <w:jc w:val="center"/>
        <w:rPr>
          <w:rFonts w:ascii="Times New Roman" w:hAnsi="Times New Roman" w:eastAsia="方正小标宋简体"/>
          <w:bCs/>
          <w:sz w:val="44"/>
        </w:rPr>
      </w:pPr>
      <w:r>
        <w:rPr>
          <w:rFonts w:ascii="Times New Roman" w:hAnsi="Times New Roman" w:eastAsia="方正小标宋简体"/>
          <w:bCs/>
          <w:sz w:val="44"/>
        </w:rPr>
        <w:t>合肥市财政支出项目</w:t>
      </w:r>
      <w:r>
        <w:rPr>
          <w:rFonts w:hint="eastAsia" w:ascii="Times New Roman" w:hAnsi="Times New Roman" w:eastAsia="方正小标宋简体"/>
          <w:bCs/>
          <w:sz w:val="44"/>
        </w:rPr>
        <w:t>部门评价</w:t>
      </w:r>
      <w:r>
        <w:rPr>
          <w:rFonts w:ascii="Times New Roman" w:hAnsi="Times New Roman" w:eastAsia="方正小标宋简体"/>
          <w:bCs/>
          <w:sz w:val="44"/>
        </w:rPr>
        <w:t>报告</w:t>
      </w:r>
    </w:p>
    <w:p>
      <w:pPr>
        <w:jc w:val="center"/>
        <w:rPr>
          <w:rFonts w:ascii="Times New Roman" w:hAnsi="Times New Roman" w:eastAsia="楷体_GB2312"/>
          <w:b/>
          <w:bCs/>
          <w:sz w:val="32"/>
        </w:rPr>
      </w:pPr>
    </w:p>
    <w:p>
      <w:pPr>
        <w:spacing w:before="156" w:beforeLines="50" w:after="156" w:afterLines="50"/>
        <w:ind w:firstLine="614" w:firstLineChars="192"/>
        <w:rPr>
          <w:rFonts w:ascii="Times New Roman" w:hAnsi="Times New Roman" w:eastAsia="楷体_GB2312"/>
          <w:sz w:val="32"/>
        </w:rPr>
      </w:pPr>
    </w:p>
    <w:p>
      <w:pPr>
        <w:spacing w:before="156" w:beforeLines="50" w:after="156" w:afterLines="50"/>
        <w:ind w:left="2207" w:leftChars="289" w:hanging="1600" w:hangingChars="500"/>
        <w:rPr>
          <w:rFonts w:ascii="Times New Roman" w:hAnsi="Times New Roman" w:eastAsia="楷体_GB2312"/>
          <w:sz w:val="32"/>
          <w:u w:val="single"/>
        </w:rPr>
      </w:pPr>
      <w:r>
        <w:rPr>
          <w:rFonts w:ascii="Times New Roman" w:hAnsi="Times New Roman" w:eastAsia="楷体_GB2312"/>
          <w:sz w:val="32"/>
        </w:rPr>
        <w:t>项   目   名   称 ：</w:t>
      </w:r>
      <w:r>
        <w:rPr>
          <w:rFonts w:ascii="Times New Roman" w:hAnsi="Times New Roman" w:eastAsia="楷体_GB2312"/>
          <w:sz w:val="32"/>
          <w:u w:val="single"/>
        </w:rPr>
        <w:t xml:space="preserve">   </w:t>
      </w:r>
      <w:r>
        <w:rPr>
          <w:rFonts w:hint="eastAsia" w:ascii="Times New Roman" w:hAnsi="Times New Roman" w:eastAsia="楷体_GB2312"/>
          <w:sz w:val="32"/>
          <w:u w:val="single"/>
          <w:lang w:eastAsia="zh-CN"/>
        </w:rPr>
        <w:t>城乡居民基本医疗保险</w:t>
      </w:r>
      <w:r>
        <w:rPr>
          <w:rFonts w:ascii="Times New Roman" w:hAnsi="Times New Roman" w:eastAsia="楷体_GB2312"/>
          <w:sz w:val="32"/>
          <w:u w:val="single"/>
        </w:rPr>
        <w:t xml:space="preserve">                      </w:t>
      </w:r>
    </w:p>
    <w:p>
      <w:pPr>
        <w:spacing w:before="156" w:beforeLines="50" w:after="156" w:afterLines="50"/>
        <w:ind w:left="1887" w:leftChars="289" w:hanging="1280" w:hangingChars="400"/>
        <w:rPr>
          <w:rFonts w:ascii="Times New Roman" w:hAnsi="Times New Roman" w:eastAsia="楷体_GB2312"/>
          <w:sz w:val="32"/>
          <w:u w:val="single"/>
        </w:rPr>
      </w:pPr>
      <w:r>
        <w:rPr>
          <w:rFonts w:ascii="Times New Roman" w:hAnsi="Times New Roman" w:eastAsia="楷体_GB2312"/>
          <w:sz w:val="32"/>
        </w:rPr>
        <w:t>项   目   单   位 ：</w:t>
      </w:r>
      <w:r>
        <w:rPr>
          <w:rFonts w:ascii="Times New Roman" w:hAnsi="Times New Roman" w:eastAsia="楷体_GB2312"/>
          <w:sz w:val="32"/>
          <w:u w:val="single"/>
        </w:rPr>
        <w:t xml:space="preserve">      </w:t>
      </w:r>
      <w:r>
        <w:rPr>
          <w:rFonts w:hint="eastAsia" w:ascii="Times New Roman" w:hAnsi="Times New Roman" w:eastAsia="楷体_GB2312"/>
          <w:sz w:val="32"/>
          <w:u w:val="single"/>
          <w:lang w:eastAsia="zh-CN"/>
        </w:rPr>
        <w:t>合肥市瑶海区医疗保障局</w:t>
      </w:r>
      <w:r>
        <w:rPr>
          <w:rFonts w:ascii="Times New Roman" w:hAnsi="Times New Roman" w:eastAsia="楷体_GB2312"/>
          <w:sz w:val="32"/>
          <w:u w:val="single"/>
        </w:rPr>
        <w:t xml:space="preserve">                     </w:t>
      </w:r>
    </w:p>
    <w:p>
      <w:pPr>
        <w:spacing w:before="156" w:beforeLines="50" w:after="156" w:afterLines="50"/>
        <w:ind w:left="1887" w:leftChars="289" w:hanging="1280" w:hangingChars="400"/>
        <w:rPr>
          <w:rFonts w:ascii="Times New Roman" w:hAnsi="Times New Roman" w:eastAsia="楷体_GB2312"/>
          <w:sz w:val="32"/>
          <w:u w:val="single"/>
        </w:rPr>
      </w:pPr>
      <w:r>
        <w:rPr>
          <w:rFonts w:ascii="Times New Roman" w:hAnsi="Times New Roman" w:eastAsia="楷体_GB2312"/>
          <w:sz w:val="32"/>
        </w:rPr>
        <w:t>项目责任人 （签字）：</w:t>
      </w:r>
      <w:r>
        <w:rPr>
          <w:rFonts w:ascii="Times New Roman" w:hAnsi="Times New Roman" w:eastAsia="楷体_GB2312"/>
          <w:sz w:val="32"/>
          <w:u w:val="single"/>
        </w:rPr>
        <w:t xml:space="preserve">                           </w:t>
      </w:r>
    </w:p>
    <w:p>
      <w:pPr>
        <w:spacing w:before="156" w:beforeLines="50" w:after="156" w:afterLines="50"/>
        <w:ind w:firstLine="614" w:firstLineChars="192"/>
        <w:rPr>
          <w:rFonts w:ascii="Times New Roman" w:hAnsi="Times New Roman" w:eastAsia="楷体_GB2312"/>
          <w:sz w:val="32"/>
          <w:u w:val="single"/>
        </w:rPr>
      </w:pPr>
      <w:r>
        <w:rPr>
          <w:rFonts w:ascii="Times New Roman" w:hAnsi="Times New Roman" w:eastAsia="楷体_GB2312"/>
          <w:sz w:val="32"/>
        </w:rPr>
        <w:t>主 管 部 门（盖章）：</w:t>
      </w:r>
      <w:r>
        <w:rPr>
          <w:rFonts w:ascii="Times New Roman" w:hAnsi="Times New Roman" w:eastAsia="楷体_GB2312"/>
          <w:sz w:val="32"/>
          <w:u w:val="single"/>
        </w:rPr>
        <w:t xml:space="preserve">                           </w:t>
      </w:r>
    </w:p>
    <w:p>
      <w:pPr>
        <w:spacing w:before="156" w:beforeLines="50" w:after="156" w:afterLines="50"/>
        <w:ind w:firstLine="614" w:firstLineChars="192"/>
        <w:rPr>
          <w:rFonts w:ascii="Times New Roman" w:hAnsi="Times New Roman" w:eastAsia="楷体_GB2312"/>
          <w:sz w:val="32"/>
        </w:rPr>
      </w:pPr>
    </w:p>
    <w:p>
      <w:pPr>
        <w:ind w:firstLine="614" w:firstLineChars="192"/>
        <w:jc w:val="center"/>
        <w:rPr>
          <w:rFonts w:ascii="Times New Roman" w:hAnsi="Times New Roman" w:eastAsia="楷体_GB2312"/>
          <w:sz w:val="32"/>
        </w:rPr>
      </w:pPr>
    </w:p>
    <w:p>
      <w:pPr>
        <w:spacing w:line="600" w:lineRule="exact"/>
        <w:jc w:val="center"/>
        <w:rPr>
          <w:rFonts w:ascii="Times New Roman" w:hAnsi="Times New Roman" w:eastAsia="方正小标宋简体"/>
          <w:bCs/>
          <w:sz w:val="44"/>
          <w:szCs w:val="24"/>
        </w:rPr>
      </w:pPr>
      <w:r>
        <w:rPr>
          <w:rFonts w:ascii="Times New Roman" w:hAnsi="Times New Roman" w:eastAsia="楷体"/>
          <w:sz w:val="32"/>
        </w:rPr>
        <w:t xml:space="preserve">      202</w:t>
      </w:r>
      <w:r>
        <w:rPr>
          <w:rFonts w:hint="eastAsia" w:ascii="Times New Roman" w:hAnsi="Times New Roman" w:eastAsia="楷体"/>
          <w:sz w:val="32"/>
          <w:lang w:val="en-US" w:eastAsia="zh-CN"/>
        </w:rPr>
        <w:t>5</w:t>
      </w:r>
      <w:r>
        <w:rPr>
          <w:rFonts w:ascii="Times New Roman" w:hAnsi="Times New Roman" w:eastAsia="楷体_GB2312"/>
          <w:sz w:val="32"/>
        </w:rPr>
        <w:t>年</w:t>
      </w:r>
      <w:r>
        <w:rPr>
          <w:rFonts w:hint="eastAsia" w:ascii="Times New Roman" w:hAnsi="Times New Roman" w:eastAsia="楷体"/>
          <w:sz w:val="32"/>
          <w:lang w:val="en-US" w:eastAsia="zh-CN"/>
        </w:rPr>
        <w:t>3</w:t>
      </w:r>
      <w:r>
        <w:rPr>
          <w:rFonts w:ascii="Times New Roman" w:hAnsi="Times New Roman" w:eastAsia="楷体_GB2312"/>
          <w:sz w:val="32"/>
        </w:rPr>
        <w:t>月</w:t>
      </w:r>
      <w:r>
        <w:rPr>
          <w:rFonts w:ascii="Times New Roman" w:hAnsi="Times New Roman" w:eastAsia="楷体_GB2312"/>
          <w:sz w:val="32"/>
        </w:rPr>
        <w:br w:type="page"/>
      </w:r>
      <w:r>
        <w:rPr>
          <w:rFonts w:hint="eastAsia" w:ascii="Times New Roman" w:hAnsi="Times New Roman" w:eastAsia="方正小标宋简体"/>
          <w:bCs/>
          <w:sz w:val="44"/>
          <w:szCs w:val="24"/>
          <w:lang w:eastAsia="zh-CN"/>
        </w:rPr>
        <w:t>202</w:t>
      </w:r>
      <w:r>
        <w:rPr>
          <w:rFonts w:hint="eastAsia" w:ascii="Times New Roman" w:hAnsi="Times New Roman" w:eastAsia="方正小标宋简体"/>
          <w:bCs/>
          <w:sz w:val="44"/>
          <w:szCs w:val="24"/>
          <w:lang w:val="en-US" w:eastAsia="zh-CN"/>
        </w:rPr>
        <w:t>4</w:t>
      </w:r>
      <w:r>
        <w:rPr>
          <w:rFonts w:ascii="Times New Roman" w:hAnsi="Times New Roman" w:eastAsia="方正小标宋简体"/>
          <w:bCs/>
          <w:sz w:val="44"/>
          <w:szCs w:val="24"/>
        </w:rPr>
        <w:t>年</w:t>
      </w:r>
      <w:r>
        <w:rPr>
          <w:rFonts w:hint="eastAsia" w:ascii="Times New Roman" w:eastAsia="方正小标宋简体"/>
          <w:bCs/>
          <w:sz w:val="44"/>
          <w:szCs w:val="24"/>
        </w:rPr>
        <w:t>城乡居民基本医疗保险</w:t>
      </w:r>
      <w:r>
        <w:rPr>
          <w:rFonts w:ascii="Times New Roman" w:hAnsi="Times New Roman" w:eastAsia="方正小标宋简体"/>
          <w:bCs/>
          <w:sz w:val="44"/>
          <w:szCs w:val="24"/>
        </w:rPr>
        <w:t>项目</w:t>
      </w:r>
      <w:r>
        <w:rPr>
          <w:rFonts w:hint="eastAsia" w:ascii="Times New Roman" w:hAnsi="Times New Roman" w:eastAsia="方正小标宋简体"/>
          <w:bCs/>
          <w:sz w:val="44"/>
          <w:szCs w:val="24"/>
        </w:rPr>
        <w:t>部门评价</w:t>
      </w:r>
      <w:r>
        <w:rPr>
          <w:rFonts w:ascii="Times New Roman" w:hAnsi="Times New Roman" w:eastAsia="方正小标宋简体"/>
          <w:bCs/>
          <w:sz w:val="44"/>
          <w:szCs w:val="24"/>
        </w:rPr>
        <w:t>报告</w:t>
      </w:r>
    </w:p>
    <w:p>
      <w:pPr>
        <w:spacing w:line="580" w:lineRule="exact"/>
        <w:jc w:val="center"/>
        <w:rPr>
          <w:rFonts w:ascii="Times New Roman" w:hAnsi="Times New Roman" w:eastAsia="仿宋_GB2312"/>
          <w:bCs/>
          <w:sz w:val="32"/>
          <w:szCs w:val="32"/>
        </w:rPr>
      </w:pPr>
    </w:p>
    <w:p>
      <w:pPr>
        <w:widowControl/>
        <w:spacing w:line="560" w:lineRule="exact"/>
        <w:ind w:firstLine="640" w:firstLineChars="200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一、项目基本情况</w:t>
      </w:r>
    </w:p>
    <w:p>
      <w:pPr>
        <w:widowControl/>
        <w:spacing w:line="560" w:lineRule="exact"/>
        <w:ind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（一）项目概况</w:t>
      </w:r>
    </w:p>
    <w:p>
      <w:pPr>
        <w:widowControl/>
        <w:spacing w:line="560" w:lineRule="exact"/>
        <w:ind w:firstLine="640" w:firstLineChars="200"/>
        <w:rPr>
          <w:rFonts w:ascii="Times New Roman" w:hAnsi="Times New Roman" w:eastAsia="仿宋_GB2312"/>
          <w:snapToGrid w:val="0"/>
          <w:color w:val="000000"/>
          <w:sz w:val="32"/>
          <w:szCs w:val="32"/>
        </w:rPr>
      </w:pP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1.项目立项情况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2" w:firstLineChars="200"/>
        <w:jc w:val="left"/>
        <w:textAlignment w:val="auto"/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宋体" w:eastAsia="仿宋_GB2312" w:cs="仿宋_GB2312"/>
          <w:b/>
          <w:bCs/>
          <w:color w:val="000000"/>
          <w:kern w:val="0"/>
          <w:sz w:val="31"/>
          <w:szCs w:val="31"/>
          <w:lang w:val="en-US" w:eastAsia="zh-CN" w:bidi="ar"/>
        </w:rPr>
        <w:t>立项依据</w:t>
      </w: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>：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《合肥市基本医疗保险待遇保障实施细则》（</w:t>
      </w:r>
      <w:r>
        <w:rPr>
          <w:rFonts w:hint="eastAsia" w:eastAsia="仿宋_GB2312"/>
          <w:color w:val="000000"/>
          <w:sz w:val="32"/>
          <w:szCs w:val="32"/>
        </w:rPr>
        <w:t>合政</w:t>
      </w:r>
      <w:r>
        <w:rPr>
          <w:rFonts w:hint="eastAsia" w:eastAsia="仿宋_GB2312"/>
          <w:color w:val="000000"/>
          <w:sz w:val="32"/>
          <w:szCs w:val="32"/>
          <w:lang w:eastAsia="zh-CN"/>
        </w:rPr>
        <w:t>办</w:t>
      </w:r>
      <w:r>
        <w:rPr>
          <w:rFonts w:hint="eastAsia" w:eastAsia="仿宋_GB2312"/>
          <w:color w:val="000000"/>
          <w:sz w:val="32"/>
          <w:szCs w:val="32"/>
        </w:rPr>
        <w:t>〔</w:t>
      </w:r>
      <w:r>
        <w:rPr>
          <w:rFonts w:hint="eastAsia" w:eastAsia="仿宋_GB2312"/>
          <w:color w:val="000000"/>
          <w:sz w:val="32"/>
          <w:szCs w:val="32"/>
          <w:lang w:eastAsia="zh-CN"/>
        </w:rPr>
        <w:t>202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1</w:t>
      </w:r>
      <w:r>
        <w:rPr>
          <w:rFonts w:hint="eastAsia" w:eastAsia="仿宋_GB2312"/>
          <w:color w:val="000000"/>
          <w:sz w:val="32"/>
          <w:szCs w:val="32"/>
        </w:rPr>
        <w:t>〕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21</w:t>
      </w:r>
      <w:r>
        <w:rPr>
          <w:rFonts w:hint="eastAsia" w:eastAsia="仿宋_GB2312"/>
          <w:color w:val="000000"/>
          <w:sz w:val="32"/>
          <w:szCs w:val="32"/>
        </w:rPr>
        <w:t>号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）；《合肥市基本医疗保险办法》（</w:t>
      </w:r>
      <w:r>
        <w:rPr>
          <w:rFonts w:hint="eastAsia" w:eastAsia="仿宋_GB2312"/>
          <w:color w:val="000000"/>
          <w:sz w:val="32"/>
          <w:szCs w:val="32"/>
          <w:lang w:eastAsia="zh-CN"/>
        </w:rPr>
        <w:t>市政府第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223号修改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）；《合肥市2024年城乡居民参加基本医疗保险工作方案》（</w:t>
      </w:r>
      <w:r>
        <w:rPr>
          <w:rFonts w:hint="eastAsia" w:eastAsia="仿宋_GB2312"/>
          <w:color w:val="000000"/>
          <w:sz w:val="32"/>
          <w:szCs w:val="32"/>
        </w:rPr>
        <w:t>合</w:t>
      </w:r>
      <w:r>
        <w:rPr>
          <w:rFonts w:hint="eastAsia" w:eastAsia="仿宋_GB2312"/>
          <w:color w:val="000000"/>
          <w:sz w:val="32"/>
          <w:szCs w:val="32"/>
          <w:lang w:eastAsia="zh-CN"/>
        </w:rPr>
        <w:t>医保发</w:t>
      </w:r>
      <w:r>
        <w:rPr>
          <w:rFonts w:hint="eastAsia" w:eastAsia="仿宋_GB2312"/>
          <w:color w:val="000000"/>
          <w:sz w:val="32"/>
          <w:szCs w:val="32"/>
        </w:rPr>
        <w:t>〔</w:t>
      </w:r>
      <w:r>
        <w:rPr>
          <w:rFonts w:hint="eastAsia" w:eastAsia="仿宋_GB2312"/>
          <w:color w:val="000000"/>
          <w:sz w:val="32"/>
          <w:szCs w:val="32"/>
          <w:lang w:eastAsia="zh-CN"/>
        </w:rPr>
        <w:t>202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4</w:t>
      </w:r>
      <w:r>
        <w:rPr>
          <w:rFonts w:hint="eastAsia" w:eastAsia="仿宋_GB2312"/>
          <w:color w:val="000000"/>
          <w:sz w:val="32"/>
          <w:szCs w:val="32"/>
        </w:rPr>
        <w:t>〕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15</w:t>
      </w:r>
      <w:r>
        <w:rPr>
          <w:rFonts w:hint="eastAsia" w:eastAsia="仿宋_GB2312"/>
          <w:color w:val="000000"/>
          <w:sz w:val="32"/>
          <w:szCs w:val="32"/>
        </w:rPr>
        <w:t>号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）；《关于提高合肥市城乡居民基本医保财政补助标准有关事项的通知》（合医保发〔2022〕12号）。</w:t>
      </w:r>
    </w:p>
    <w:p>
      <w:pPr>
        <w:spacing w:line="560" w:lineRule="exact"/>
        <w:ind w:firstLine="646" w:firstLineChars="202"/>
        <w:rPr>
          <w:rFonts w:ascii="Times New Roman" w:hAnsi="Times New Roman" w:eastAsia="仿宋_GB2312"/>
          <w:snapToGrid w:val="0"/>
          <w:color w:val="000000"/>
          <w:sz w:val="32"/>
          <w:szCs w:val="32"/>
        </w:rPr>
      </w:pP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2.项目执行情况</w:t>
      </w:r>
    </w:p>
    <w:p>
      <w:pPr>
        <w:keepNext w:val="0"/>
        <w:keepLines w:val="0"/>
        <w:widowControl/>
        <w:suppressLineNumbers w:val="0"/>
        <w:ind w:firstLine="622" w:firstLineChars="200"/>
        <w:jc w:val="left"/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</w:pPr>
      <w:r>
        <w:rPr>
          <w:rFonts w:hint="eastAsia" w:ascii="仿宋_GB2312" w:hAnsi="宋体" w:eastAsia="仿宋_GB2312" w:cs="仿宋_GB2312"/>
          <w:b/>
          <w:bCs/>
          <w:color w:val="000000"/>
          <w:kern w:val="0"/>
          <w:sz w:val="31"/>
          <w:szCs w:val="31"/>
          <w:lang w:val="en-US" w:eastAsia="zh-CN" w:bidi="ar"/>
        </w:rPr>
        <w:t>主要内容：</w:t>
      </w: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>根据国家城乡居民医疗保险有关要求，通过个人缴费和财政补助筹集资金，用于对城乡参保居民发生的住院和门诊医疗费用进行合理补偿、城乡居民大病保险全覆盖，为实现病有所医提供保障。城乡</w:t>
      </w:r>
      <w:r>
        <w:rPr>
          <w:rFonts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>居民基本医疗保险按参保一人奖励</w:t>
      </w:r>
      <w:r>
        <w:rPr>
          <w:rFonts w:hint="default" w:ascii="Times New Roman" w:hAnsi="Times New Roman" w:eastAsia="宋体" w:cs="Times New Roman"/>
          <w:color w:val="000000"/>
          <w:kern w:val="0"/>
          <w:sz w:val="31"/>
          <w:szCs w:val="31"/>
          <w:lang w:val="en-US" w:eastAsia="zh-CN" w:bidi="ar"/>
        </w:rPr>
        <w:t>1</w:t>
      </w: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>元（市、区各承担</w:t>
      </w:r>
      <w:r>
        <w:rPr>
          <w:rFonts w:hint="default" w:ascii="Times New Roman" w:hAnsi="Times New Roman" w:eastAsia="宋体" w:cs="Times New Roman"/>
          <w:color w:val="000000"/>
          <w:kern w:val="0"/>
          <w:sz w:val="31"/>
          <w:szCs w:val="31"/>
          <w:lang w:val="en-US" w:eastAsia="zh-CN" w:bidi="ar"/>
        </w:rPr>
        <w:t>0.5</w:t>
      </w: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>元），给予基层镇街开发区、学校参保奖励。</w:t>
      </w:r>
    </w:p>
    <w:p>
      <w:pPr>
        <w:numPr>
          <w:ilvl w:val="0"/>
          <w:numId w:val="0"/>
        </w:numPr>
        <w:ind w:firstLine="622" w:firstLineChars="200"/>
      </w:pPr>
      <w:r>
        <w:rPr>
          <w:rFonts w:hint="eastAsia" w:ascii="仿宋_GB2312" w:hAnsi="宋体" w:eastAsia="仿宋_GB2312" w:cs="仿宋_GB2312"/>
          <w:b/>
          <w:bCs/>
          <w:color w:val="000000"/>
          <w:kern w:val="0"/>
          <w:sz w:val="31"/>
          <w:szCs w:val="31"/>
          <w:lang w:val="en-US" w:eastAsia="zh-CN" w:bidi="ar"/>
        </w:rPr>
        <w:t>资金总量</w:t>
      </w: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>：根据国家财政补助标准和各级财政分摊比例，2024年城乡居民基本医保区级补助资金约为670万元，申请预算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1115.5万元，</w:t>
      </w: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>申请追加49.17万元，2023年应补充资金上解5.67万元，共计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1164.67</w:t>
      </w: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>万元。参保工作奖励经费11.5万元，共预算安排</w:t>
      </w: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highlight w:val="none"/>
          <w:lang w:val="en-US" w:eastAsia="zh-CN" w:bidi="ar"/>
        </w:rPr>
        <w:t>1176.17</w:t>
      </w: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>万元。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2" w:firstLineChars="200"/>
        <w:jc w:val="left"/>
        <w:textAlignment w:val="auto"/>
      </w:pPr>
      <w:r>
        <w:rPr>
          <w:rFonts w:hint="eastAsia" w:ascii="仿宋_GB2312" w:hAnsi="宋体" w:eastAsia="仿宋_GB2312" w:cs="仿宋_GB2312"/>
          <w:b/>
          <w:bCs/>
          <w:color w:val="000000"/>
          <w:kern w:val="0"/>
          <w:sz w:val="31"/>
          <w:szCs w:val="31"/>
          <w:lang w:val="en-US" w:eastAsia="zh-CN" w:bidi="ar"/>
        </w:rPr>
        <w:t>资金类型</w:t>
      </w: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>：财政专项补助资金，民生类项目。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2" w:firstLineChars="200"/>
        <w:jc w:val="both"/>
        <w:textAlignment w:val="auto"/>
      </w:pPr>
      <w:r>
        <w:rPr>
          <w:rFonts w:hint="eastAsia" w:ascii="仿宋_GB2312" w:hAnsi="宋体" w:eastAsia="仿宋_GB2312" w:cs="仿宋_GB2312"/>
          <w:b/>
          <w:color w:val="000000"/>
          <w:kern w:val="0"/>
          <w:sz w:val="31"/>
          <w:szCs w:val="31"/>
          <w:lang w:val="en-US" w:eastAsia="zh-CN" w:bidi="ar"/>
        </w:rPr>
        <w:t>实施周期：</w:t>
      </w: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>2024年1月1日—2024年12月31日。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2" w:firstLineChars="200"/>
        <w:jc w:val="both"/>
        <w:textAlignment w:val="auto"/>
      </w:pPr>
      <w:r>
        <w:rPr>
          <w:rFonts w:hint="eastAsia" w:ascii="仿宋_GB2312" w:hAnsi="宋体" w:eastAsia="仿宋_GB2312" w:cs="仿宋_GB2312"/>
          <w:b/>
          <w:color w:val="000000"/>
          <w:kern w:val="0"/>
          <w:sz w:val="31"/>
          <w:szCs w:val="31"/>
          <w:lang w:val="en-US" w:eastAsia="zh-CN" w:bidi="ar"/>
        </w:rPr>
        <w:t>项目实施主管部门：</w:t>
      </w: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>合肥市瑶海区医疗保障局。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2" w:firstLineChars="200"/>
        <w:jc w:val="left"/>
        <w:textAlignment w:val="auto"/>
      </w:pPr>
      <w:r>
        <w:rPr>
          <w:rFonts w:hint="eastAsia" w:ascii="仿宋_GB2312" w:hAnsi="宋体" w:eastAsia="仿宋_GB2312" w:cs="仿宋_GB2312"/>
          <w:b/>
          <w:color w:val="000000"/>
          <w:kern w:val="0"/>
          <w:sz w:val="31"/>
          <w:szCs w:val="31"/>
          <w:lang w:val="en-US" w:eastAsia="zh-CN" w:bidi="ar"/>
        </w:rPr>
        <w:t>2.项目执行情况</w:t>
      </w:r>
      <w:r>
        <w:rPr>
          <w:rFonts w:hint="eastAsia" w:ascii="仿宋_GB2312" w:hAnsi="宋体" w:eastAsia="仿宋_GB2312" w:cs="仿宋_GB2312"/>
          <w:b/>
          <w:bCs/>
          <w:color w:val="000000"/>
          <w:kern w:val="0"/>
          <w:sz w:val="31"/>
          <w:szCs w:val="31"/>
          <w:lang w:val="en-US" w:eastAsia="zh-CN" w:bidi="ar"/>
        </w:rPr>
        <w:t>实施过程：</w:t>
      </w:r>
    </w:p>
    <w:p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</w:pPr>
      <w:r>
        <w:rPr>
          <w:rFonts w:hint="eastAsia" w:ascii="Times New Roman" w:hAnsi="Times New Roman" w:eastAsia="楷体" w:cs="Times New Roman"/>
          <w:b w:val="0"/>
          <w:bCs w:val="0"/>
          <w:sz w:val="32"/>
          <w:szCs w:val="32"/>
          <w:lang w:val="en-US" w:eastAsia="zh-CN"/>
        </w:rPr>
        <w:t>织密医疗保障网</w:t>
      </w:r>
      <w:r>
        <w:rPr>
          <w:rFonts w:hint="default" w:ascii="Times New Roman" w:hAnsi="Times New Roman" w:eastAsia="楷体_GB2312" w:cs="Times New Roman"/>
          <w:b w:val="0"/>
          <w:bCs w:val="0"/>
          <w:color w:val="000000"/>
          <w:spacing w:val="0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pacing w:val="0"/>
          <w:sz w:val="32"/>
          <w:szCs w:val="32"/>
          <w:lang w:eastAsia="zh-CN"/>
        </w:rPr>
        <w:t>深层次、广角度、全方位开展宣传活动，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color w:val="000000"/>
          <w:spacing w:val="0"/>
          <w:sz w:val="32"/>
          <w:szCs w:val="32"/>
          <w:lang w:eastAsia="zh-CN"/>
        </w:rPr>
        <w:t>引导居民积极参保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pacing w:val="0"/>
          <w:sz w:val="32"/>
          <w:szCs w:val="32"/>
          <w:lang w:eastAsia="zh-CN"/>
        </w:rPr>
        <w:t>；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pacing w:val="0"/>
          <w:sz w:val="32"/>
          <w:szCs w:val="32"/>
          <w:lang w:val="en-US" w:eastAsia="zh-CN"/>
        </w:rPr>
        <w:t>优化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pacing w:val="0"/>
          <w:sz w:val="32"/>
          <w:szCs w:val="32"/>
          <w:shd w:val="clear" w:color="auto" w:fill="FFFFFF"/>
          <w:lang w:eastAsia="zh-CN"/>
        </w:rPr>
        <w:t>流程，积极与区卫健、民政部门对接，确保数据准确无误，防止出现漏保、错保现象；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强化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pacing w:val="0"/>
          <w:sz w:val="32"/>
          <w:szCs w:val="32"/>
          <w:lang w:val="en-US" w:eastAsia="zh-CN"/>
        </w:rPr>
        <w:t>服务，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全力推进基本医保参保扩面工作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pacing w:val="0"/>
          <w:sz w:val="32"/>
          <w:szCs w:val="32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pacing w:val="0"/>
          <w:sz w:val="32"/>
          <w:szCs w:val="32"/>
          <w:lang w:eastAsia="zh-CN"/>
        </w:rPr>
        <w:t>做好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shd w:val="clear" w:color="auto" w:fill="auto"/>
          <w:lang w:eastAsia="zh-CN"/>
        </w:rPr>
        <w:t>集中参保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shd w:val="clear" w:color="auto" w:fill="auto"/>
          <w:lang w:val="en-US" w:eastAsia="zh-CN"/>
        </w:rPr>
        <w:t>延长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shd w:val="clear" w:color="auto" w:fill="auto"/>
          <w:lang w:eastAsia="zh-CN"/>
        </w:rPr>
        <w:t>期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shd w:val="clear" w:color="auto" w:fill="auto"/>
          <w:lang w:val="en-US" w:eastAsia="zh-CN"/>
        </w:rPr>
        <w:t>和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pacing w:val="0"/>
          <w:sz w:val="32"/>
          <w:szCs w:val="32"/>
          <w:lang w:eastAsia="zh-CN"/>
        </w:rPr>
        <w:t>非集中参保期补参保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pacing w:val="0"/>
          <w:sz w:val="32"/>
          <w:szCs w:val="32"/>
          <w:lang w:val="en-US" w:eastAsia="zh-CN"/>
        </w:rPr>
        <w:t>工作，2024年全区城乡居民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参保</w:t>
      </w: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>23.9万人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。</w:t>
      </w: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>根据参保人数和规定的标准，已完成专项配套资金的拨付。</w:t>
      </w:r>
    </w:p>
    <w:p>
      <w:pPr>
        <w:keepNext w:val="0"/>
        <w:keepLines w:val="0"/>
        <w:widowControl/>
        <w:suppressLineNumbers w:val="0"/>
        <w:ind w:firstLine="620" w:firstLineChars="200"/>
        <w:jc w:val="left"/>
        <w:rPr>
          <w:rFonts w:hint="default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</w:pP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>申请11.5万元，用于参保工作奖励经费，</w:t>
      </w:r>
      <w:r>
        <w:rPr>
          <w:rFonts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>已完成</w:t>
      </w: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>10.8万元绩效目标，达到预期效益。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0" w:firstLineChars="200"/>
        <w:jc w:val="left"/>
        <w:textAlignment w:val="auto"/>
      </w:pP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>使用情况：居民医保区级补助资金用于参保人员的医保费用、大病保险等相关医疗费用的支付。参保工作奖励经费用于</w:t>
      </w:r>
      <w:r>
        <w:rPr>
          <w:rFonts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>补助各</w:t>
      </w: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>街镇开发区和教体局，</w:t>
      </w:r>
      <w:r>
        <w:rPr>
          <w:rFonts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>用于参保登记、宣传</w:t>
      </w: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>等工作经费。</w:t>
      </w:r>
    </w:p>
    <w:p>
      <w:pPr>
        <w:widowControl/>
        <w:spacing w:line="560" w:lineRule="exact"/>
        <w:ind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（二）项目绩效目标</w:t>
      </w:r>
    </w:p>
    <w:p>
      <w:pPr>
        <w:spacing w:line="56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1.项目年度总体目标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0" w:firstLineChars="200"/>
        <w:jc w:val="left"/>
        <w:textAlignment w:val="auto"/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</w:pP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>按照国家统一规定的筹资标准，用于城乡居民基本医疗保险县级配套资金，确保足额落实筹资标准，居民能够按照规定及时享受医保待遇，为实现人人病有所医提供保障。</w:t>
      </w:r>
    </w:p>
    <w:p>
      <w:pPr>
        <w:spacing w:line="56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2.总体目标完成情况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0" w:firstLineChars="200"/>
        <w:jc w:val="left"/>
        <w:textAlignment w:val="auto"/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</w:pP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>2024年按照城乡居民医疗保险财政补助标准为670万元，申请预算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1115.5万元，</w:t>
      </w: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>申请追加49.17万元，2023年应补充资金上解5.67万元，共计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1164.67</w:t>
      </w: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>万元。确保足额落实筹资标准，居民能够按照规定及时享受医保待遇。</w:t>
      </w:r>
    </w:p>
    <w:p>
      <w:pPr>
        <w:spacing w:line="560" w:lineRule="exact"/>
        <w:ind w:firstLine="620" w:firstLineChars="200"/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</w:pP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>截至2024年6月底，完成参保任务数23.9万人，完成参保率107.5%。</w:t>
      </w:r>
    </w:p>
    <w:p>
      <w:pPr>
        <w:spacing w:line="56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二、绩效</w:t>
      </w:r>
      <w:r>
        <w:rPr>
          <w:rFonts w:hint="eastAsia" w:ascii="Times New Roman" w:hAnsi="Times New Roman" w:eastAsia="黑体"/>
          <w:color w:val="000000"/>
          <w:sz w:val="32"/>
          <w:szCs w:val="32"/>
        </w:rPr>
        <w:t>评价</w:t>
      </w:r>
      <w:r>
        <w:rPr>
          <w:rFonts w:ascii="Times New Roman" w:hAnsi="Times New Roman" w:eastAsia="黑体"/>
          <w:color w:val="000000"/>
          <w:sz w:val="32"/>
          <w:szCs w:val="32"/>
        </w:rPr>
        <w:t>结论</w:t>
      </w:r>
    </w:p>
    <w:p>
      <w:pPr>
        <w:widowControl/>
        <w:spacing w:line="560" w:lineRule="exact"/>
        <w:ind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（一）总体结论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0" w:firstLineChars="200"/>
        <w:jc w:val="left"/>
        <w:textAlignment w:val="auto"/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</w:pP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>2024年度，城乡居民基本医疗保险项目1164.67万元，已完成年初制定的绩效目标，达到预期效果。根据国家财政补助标准和各级财政承担比例，2024年城乡居民基本医保区级补助资金约为1164.67万元，有效为群众看病就医提供保障。</w:t>
      </w:r>
    </w:p>
    <w:p>
      <w:pPr>
        <w:keepNext w:val="0"/>
        <w:keepLines w:val="0"/>
        <w:widowControl/>
        <w:suppressLineNumbers w:val="0"/>
        <w:ind w:firstLine="620" w:firstLineChars="200"/>
        <w:jc w:val="left"/>
        <w:rPr>
          <w:rFonts w:hint="default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</w:pP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>申请11.5万元，用于参保工作奖励经费，</w:t>
      </w:r>
      <w:r>
        <w:rPr>
          <w:rFonts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>已完成</w:t>
      </w: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>10.8万元绩效目标，达到预期效益。</w:t>
      </w:r>
    </w:p>
    <w:p>
      <w:pPr>
        <w:widowControl/>
        <w:spacing w:line="600" w:lineRule="exact"/>
        <w:ind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（二）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</w:rPr>
        <w:t>评价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结果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/>
          <w:color w:val="auto"/>
          <w:sz w:val="32"/>
          <w:szCs w:val="32"/>
        </w:rPr>
      </w:pPr>
      <w:r>
        <w:rPr>
          <w:rFonts w:ascii="Times New Roman" w:hAnsi="Times New Roman" w:eastAsia="仿宋_GB2312"/>
          <w:color w:val="auto"/>
          <w:sz w:val="32"/>
          <w:szCs w:val="32"/>
        </w:rPr>
        <w:t>经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评价</w:t>
      </w:r>
      <w:r>
        <w:rPr>
          <w:rFonts w:ascii="Times New Roman" w:hAnsi="Times New Roman" w:eastAsia="仿宋_GB2312"/>
          <w:color w:val="auto"/>
          <w:sz w:val="32"/>
          <w:szCs w:val="32"/>
        </w:rPr>
        <w:t>，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eastAsia="zh-CN"/>
        </w:rPr>
        <w:t>202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4</w:t>
      </w:r>
      <w:r>
        <w:rPr>
          <w:rFonts w:ascii="Times New Roman" w:hAnsi="Times New Roman" w:eastAsia="仿宋_GB2312"/>
          <w:color w:val="auto"/>
          <w:sz w:val="32"/>
          <w:szCs w:val="32"/>
        </w:rPr>
        <w:t>年度</w:t>
      </w:r>
      <w:r>
        <w:rPr>
          <w:rFonts w:hint="eastAsia" w:ascii="仿宋_GB2312" w:hAnsi="宋体" w:eastAsia="仿宋_GB2312" w:cs="仿宋_GB2312"/>
          <w:b w:val="0"/>
          <w:bCs/>
          <w:color w:val="auto"/>
          <w:kern w:val="0"/>
          <w:sz w:val="31"/>
          <w:szCs w:val="31"/>
          <w:lang w:val="en-US" w:eastAsia="zh-CN" w:bidi="ar"/>
        </w:rPr>
        <w:t>城乡居民基本医疗保险</w:t>
      </w:r>
      <w:r>
        <w:rPr>
          <w:rFonts w:ascii="Times New Roman" w:hAnsi="Times New Roman" w:eastAsia="仿宋_GB2312"/>
          <w:color w:val="auto"/>
          <w:sz w:val="32"/>
          <w:szCs w:val="32"/>
        </w:rPr>
        <w:t>项目综合得分为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100</w:t>
      </w:r>
      <w:r>
        <w:rPr>
          <w:rFonts w:ascii="Times New Roman" w:hAnsi="Times New Roman" w:eastAsia="仿宋_GB2312"/>
          <w:color w:val="auto"/>
          <w:sz w:val="32"/>
          <w:szCs w:val="32"/>
        </w:rPr>
        <w:t>分，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评价</w:t>
      </w:r>
      <w:r>
        <w:rPr>
          <w:rFonts w:ascii="Times New Roman" w:hAnsi="Times New Roman" w:eastAsia="仿宋_GB2312"/>
          <w:color w:val="auto"/>
          <w:sz w:val="32"/>
          <w:szCs w:val="32"/>
        </w:rPr>
        <w:t>结果为“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eastAsia="zh-CN"/>
        </w:rPr>
        <w:t>优</w:t>
      </w:r>
      <w:r>
        <w:rPr>
          <w:rFonts w:ascii="Times New Roman" w:hAnsi="Times New Roman" w:eastAsia="仿宋_GB2312"/>
          <w:color w:val="auto"/>
          <w:sz w:val="32"/>
          <w:szCs w:val="32"/>
        </w:rPr>
        <w:t>”。</w:t>
      </w:r>
    </w:p>
    <w:p>
      <w:pPr>
        <w:spacing w:line="60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三、指标分析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/>
          <w:color w:val="auto"/>
          <w:sz w:val="32"/>
          <w:szCs w:val="32"/>
        </w:rPr>
      </w:pPr>
      <w:r>
        <w:rPr>
          <w:rFonts w:hint="eastAsia" w:ascii="Times New Roman" w:hAnsi="Times New Roman" w:eastAsia="仿宋_GB2312"/>
          <w:color w:val="auto"/>
          <w:sz w:val="32"/>
          <w:szCs w:val="32"/>
          <w:lang w:eastAsia="zh-CN"/>
        </w:rPr>
        <w:t>202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4</w:t>
      </w:r>
      <w:r>
        <w:rPr>
          <w:rFonts w:ascii="Times New Roman" w:hAnsi="Times New Roman" w:eastAsia="仿宋_GB2312"/>
          <w:color w:val="auto"/>
          <w:sz w:val="32"/>
          <w:szCs w:val="32"/>
        </w:rPr>
        <w:t>年度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城乡居民基本医疗保险</w:t>
      </w:r>
      <w:r>
        <w:rPr>
          <w:rFonts w:ascii="Times New Roman" w:hAnsi="Times New Roman" w:eastAsia="仿宋_GB2312"/>
          <w:color w:val="auto"/>
          <w:sz w:val="32"/>
          <w:szCs w:val="32"/>
        </w:rPr>
        <w:t>项目绩效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评价</w:t>
      </w:r>
      <w:r>
        <w:rPr>
          <w:rFonts w:ascii="Times New Roman" w:hAnsi="Times New Roman" w:eastAsia="仿宋_GB2312"/>
          <w:color w:val="auto"/>
          <w:sz w:val="32"/>
          <w:szCs w:val="32"/>
        </w:rPr>
        <w:t>指标体系设置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eastAsia="zh-CN"/>
        </w:rPr>
        <w:t>预算执行率和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3</w:t>
      </w:r>
      <w:r>
        <w:rPr>
          <w:rFonts w:ascii="Times New Roman" w:hAnsi="Times New Roman" w:eastAsia="仿宋_GB2312"/>
          <w:color w:val="auto"/>
          <w:sz w:val="32"/>
          <w:szCs w:val="32"/>
        </w:rPr>
        <w:t>个一级指标，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8</w:t>
      </w:r>
      <w:r>
        <w:rPr>
          <w:rFonts w:ascii="Times New Roman" w:hAnsi="Times New Roman" w:eastAsia="仿宋_GB2312"/>
          <w:color w:val="auto"/>
          <w:sz w:val="32"/>
          <w:szCs w:val="32"/>
        </w:rPr>
        <w:t>个二级指标，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8</w:t>
      </w:r>
      <w:r>
        <w:rPr>
          <w:rFonts w:ascii="Times New Roman" w:hAnsi="Times New Roman" w:eastAsia="仿宋_GB2312"/>
          <w:color w:val="auto"/>
          <w:sz w:val="32"/>
          <w:szCs w:val="32"/>
        </w:rPr>
        <w:t>个三级指标，各项指标评分情况分析如下：</w:t>
      </w:r>
    </w:p>
    <w:p>
      <w:pPr>
        <w:spacing w:line="592" w:lineRule="exact"/>
        <w:ind w:firstLine="643" w:firstLineChars="200"/>
        <w:rPr>
          <w:rFonts w:ascii="Times New Roman" w:hAnsi="Times New Roman" w:eastAsia="楷体_GB2312"/>
          <w:b/>
          <w:bCs/>
          <w:sz w:val="32"/>
        </w:rPr>
      </w:pPr>
      <w:r>
        <w:rPr>
          <w:rFonts w:ascii="Times New Roman" w:hAnsi="Times New Roman" w:eastAsia="楷体_GB2312"/>
          <w:b/>
          <w:bCs/>
          <w:sz w:val="32"/>
        </w:rPr>
        <w:t>（一）预算执行率（满分10分，实得</w:t>
      </w:r>
      <w:r>
        <w:rPr>
          <w:rFonts w:hint="eastAsia" w:ascii="Times New Roman" w:hAnsi="Times New Roman" w:eastAsia="楷体_GB2312"/>
          <w:b/>
          <w:bCs/>
          <w:sz w:val="32"/>
          <w:lang w:val="en-US" w:eastAsia="zh-CN"/>
        </w:rPr>
        <w:t>10</w:t>
      </w:r>
      <w:r>
        <w:rPr>
          <w:rFonts w:ascii="Times New Roman" w:hAnsi="Times New Roman" w:eastAsia="楷体_GB2312"/>
          <w:b/>
          <w:bCs/>
          <w:sz w:val="32"/>
        </w:rPr>
        <w:t>分）</w:t>
      </w:r>
    </w:p>
    <w:p>
      <w:pPr>
        <w:spacing w:line="592" w:lineRule="exact"/>
        <w:ind w:right="-283" w:firstLine="640" w:firstLineChars="200"/>
        <w:rPr>
          <w:rFonts w:ascii="Times New Roman" w:hAnsi="Times New Roman" w:eastAsia="仿宋_GB2312"/>
          <w:color w:val="auto"/>
          <w:sz w:val="32"/>
          <w:szCs w:val="32"/>
        </w:rPr>
      </w:pPr>
      <w:r>
        <w:rPr>
          <w:rFonts w:hint="eastAsia" w:ascii="Times New Roman" w:hAnsi="Times New Roman" w:eastAsia="仿宋_GB2312"/>
          <w:color w:val="auto"/>
          <w:sz w:val="32"/>
          <w:szCs w:val="32"/>
          <w:lang w:eastAsia="zh-CN"/>
        </w:rPr>
        <w:t>202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4</w:t>
      </w:r>
      <w:r>
        <w:rPr>
          <w:rFonts w:ascii="Times New Roman" w:hAnsi="Times New Roman" w:eastAsia="仿宋_GB2312"/>
          <w:color w:val="auto"/>
          <w:sz w:val="32"/>
          <w:szCs w:val="32"/>
        </w:rPr>
        <w:t>年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城乡居民基本医疗保险</w:t>
      </w:r>
      <w:r>
        <w:rPr>
          <w:rFonts w:ascii="Times New Roman" w:hAnsi="Times New Roman" w:eastAsia="仿宋_GB2312"/>
          <w:color w:val="auto"/>
          <w:sz w:val="32"/>
          <w:szCs w:val="32"/>
        </w:rPr>
        <w:t>项目全年预算安排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1127</w:t>
      </w:r>
      <w:r>
        <w:rPr>
          <w:rFonts w:ascii="Times New Roman" w:hAnsi="Times New Roman" w:eastAsia="仿宋_GB2312"/>
          <w:color w:val="auto"/>
          <w:sz w:val="32"/>
          <w:szCs w:val="32"/>
        </w:rPr>
        <w:t>万元，全年执行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1175.56</w:t>
      </w:r>
      <w:r>
        <w:rPr>
          <w:rFonts w:ascii="Times New Roman" w:hAnsi="Times New Roman" w:eastAsia="仿宋_GB2312"/>
          <w:color w:val="auto"/>
          <w:sz w:val="32"/>
          <w:szCs w:val="32"/>
        </w:rPr>
        <w:t>万元，预算执行率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100</w:t>
      </w:r>
      <w:r>
        <w:rPr>
          <w:rFonts w:ascii="Times New Roman" w:hAnsi="Times New Roman" w:eastAsia="仿宋_GB2312"/>
          <w:color w:val="auto"/>
          <w:sz w:val="32"/>
          <w:szCs w:val="32"/>
        </w:rPr>
        <w:t>%，得分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auto"/>
          <w:sz w:val="32"/>
          <w:szCs w:val="32"/>
        </w:rPr>
        <w:t>分。</w:t>
      </w:r>
    </w:p>
    <w:p>
      <w:pPr>
        <w:widowControl/>
        <w:spacing w:line="600" w:lineRule="exact"/>
        <w:ind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eastAsia="zh-CN"/>
        </w:rPr>
        <w:t>二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）产出指标（满分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val="en-US" w:eastAsia="zh-CN"/>
        </w:rPr>
        <w:t>50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val="en-US" w:eastAsia="zh-CN"/>
        </w:rPr>
        <w:t>50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分）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1.数量指标（满分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20</w:t>
      </w:r>
      <w:r>
        <w:rPr>
          <w:rFonts w:ascii="Times New Roman" w:hAnsi="Times New Roman" w:eastAsia="仿宋_GB2312"/>
          <w:sz w:val="32"/>
          <w:szCs w:val="32"/>
        </w:rPr>
        <w:t>分，</w:t>
      </w:r>
      <w:r>
        <w:rPr>
          <w:rFonts w:ascii="Times New Roman" w:hAnsi="Times New Roman" w:eastAsia="仿宋_GB2312"/>
          <w:color w:val="000000"/>
          <w:sz w:val="32"/>
          <w:szCs w:val="32"/>
        </w:rPr>
        <w:t>实得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20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/>
          <w:color w:val="auto"/>
          <w:sz w:val="32"/>
          <w:szCs w:val="32"/>
          <w:lang w:eastAsia="zh-CN"/>
        </w:rPr>
      </w:pPr>
      <w:r>
        <w:rPr>
          <w:rFonts w:ascii="Times New Roman" w:hAnsi="Times New Roman" w:eastAsia="仿宋_GB2312"/>
          <w:color w:val="auto"/>
          <w:sz w:val="32"/>
          <w:szCs w:val="32"/>
        </w:rPr>
        <w:t>年度设定的数量指标为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eastAsia="zh-CN"/>
        </w:rPr>
        <w:t>年度参保人数大于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23万人</w:t>
      </w:r>
      <w:r>
        <w:rPr>
          <w:rFonts w:ascii="Times New Roman" w:hAnsi="Times New Roman" w:eastAsia="仿宋_GB2312"/>
          <w:color w:val="auto"/>
          <w:sz w:val="32"/>
          <w:szCs w:val="32"/>
        </w:rPr>
        <w:t>；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完成参保任务数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23.9万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人，</w:t>
      </w:r>
      <w:r>
        <w:rPr>
          <w:rFonts w:ascii="Times New Roman" w:hAnsi="Times New Roman" w:eastAsia="仿宋_GB2312"/>
          <w:color w:val="auto"/>
          <w:sz w:val="32"/>
          <w:szCs w:val="32"/>
        </w:rPr>
        <w:t>完成值高于指标值较多的主要原因是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eastAsia="zh-CN"/>
        </w:rPr>
        <w:t>工作措施有力，动员更多居民参保，</w:t>
      </w:r>
      <w:r>
        <w:rPr>
          <w:rFonts w:ascii="Times New Roman" w:hAnsi="Times New Roman" w:eastAsia="仿宋_GB2312"/>
          <w:color w:val="auto"/>
          <w:sz w:val="32"/>
          <w:szCs w:val="32"/>
        </w:rPr>
        <w:t>得分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auto"/>
          <w:sz w:val="32"/>
          <w:szCs w:val="32"/>
        </w:rPr>
        <w:t>分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eastAsia="zh-CN"/>
        </w:rPr>
        <w:t>。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2</w:t>
      </w:r>
      <w:r>
        <w:rPr>
          <w:rFonts w:ascii="Times New Roman" w:hAnsi="Times New Roman" w:eastAsia="仿宋_GB2312"/>
          <w:color w:val="000000"/>
          <w:sz w:val="32"/>
          <w:szCs w:val="32"/>
        </w:rPr>
        <w:t>.质量指标（满分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</w:rPr>
        <w:t>202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4年度，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以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2023年23万参保人数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为基础计算的基本医保综合参保率为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107.57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%，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已完成年度指标值，</w:t>
      </w:r>
      <w:r>
        <w:rPr>
          <w:rFonts w:ascii="Times New Roman" w:hAnsi="Times New Roman" w:eastAsia="仿宋_GB2312"/>
          <w:color w:val="000000"/>
          <w:sz w:val="32"/>
          <w:szCs w:val="32"/>
        </w:rPr>
        <w:t>得分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。</w:t>
      </w:r>
      <w:r>
        <w:rPr>
          <w:rFonts w:ascii="Times New Roman" w:hAnsi="Times New Roman" w:eastAsia="仿宋_GB2312"/>
          <w:color w:val="000000"/>
          <w:sz w:val="32"/>
          <w:szCs w:val="32"/>
        </w:rPr>
        <w:t>完成值高于指标值较多的主要原因是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工作措施有力，动员更多居民参保</w:t>
      </w:r>
      <w:r>
        <w:rPr>
          <w:rFonts w:ascii="Times New Roman" w:hAnsi="Times New Roman" w:eastAsia="仿宋_GB2312"/>
          <w:color w:val="000000"/>
          <w:sz w:val="32"/>
          <w:szCs w:val="32"/>
        </w:rPr>
        <w:t>。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3</w:t>
      </w:r>
      <w:r>
        <w:rPr>
          <w:rFonts w:ascii="Times New Roman" w:hAnsi="Times New Roman" w:eastAsia="仿宋_GB2312"/>
          <w:color w:val="000000"/>
          <w:sz w:val="32"/>
          <w:szCs w:val="32"/>
        </w:rPr>
        <w:t>.时效指标（满分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宋体"/>
          <w:color w:val="000000"/>
          <w:sz w:val="32"/>
          <w:szCs w:val="32"/>
          <w:lang w:val="en-US" w:eastAsia="zh-CN"/>
        </w:rPr>
        <w:t>本项目按上级要求，将各级补助资金拨付（上解）100%及时到位，及时结算各项医疗费用，保证了年度内项目良好进行，</w:t>
      </w:r>
      <w:r>
        <w:rPr>
          <w:rFonts w:ascii="Times New Roman" w:hAnsi="Times New Roman" w:eastAsia="仿宋_GB2312"/>
          <w:color w:val="000000"/>
          <w:sz w:val="32"/>
          <w:szCs w:val="32"/>
        </w:rPr>
        <w:t>得分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。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/>
          <w:color w:val="auto"/>
          <w:sz w:val="32"/>
          <w:szCs w:val="32"/>
        </w:rPr>
      </w:pPr>
      <w:r>
        <w:rPr>
          <w:rFonts w:ascii="Times New Roman" w:hAnsi="Times New Roman" w:eastAsia="仿宋_GB2312"/>
          <w:color w:val="auto"/>
          <w:sz w:val="32"/>
          <w:szCs w:val="32"/>
        </w:rPr>
        <w:t>4.成本指标（满分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auto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auto"/>
          <w:sz w:val="32"/>
          <w:szCs w:val="32"/>
        </w:rPr>
        <w:t>分）</w:t>
      </w:r>
      <w:r>
        <w:rPr>
          <w:rFonts w:ascii="Times New Roman" w:hAnsi="Times New Roman" w:eastAsia="仿宋_GB2312"/>
          <w:color w:val="auto"/>
          <w:sz w:val="32"/>
          <w:szCs w:val="32"/>
        </w:rPr>
        <w:tab/>
      </w:r>
    </w:p>
    <w:p>
      <w:pPr>
        <w:spacing w:line="600" w:lineRule="exact"/>
        <w:ind w:right="-283" w:firstLine="640" w:firstLineChars="200"/>
        <w:rPr>
          <w:rFonts w:ascii="Times New Roman" w:hAnsi="Times New Roman" w:eastAsia="仿宋_GB2312"/>
          <w:color w:val="auto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年度设定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的年初预算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670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元/人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和</w:t>
      </w: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>11.5万元奖励经费，共计1127万元，</w:t>
      </w:r>
      <w:r>
        <w:rPr>
          <w:rFonts w:ascii="Times New Roman" w:hAnsi="Times New Roman" w:eastAsia="仿宋_GB2312"/>
          <w:color w:val="000000"/>
          <w:sz w:val="32"/>
          <w:szCs w:val="32"/>
        </w:rPr>
        <w:t>完成值高于指标值较多的主要原因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是</w:t>
      </w: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>2024年按照城乡居民医疗保险财政补助标准为670元，其中区级配套48.5元/人。按照市区目前参保人数23.9万人，应配套资金1159万元，2023年应补充上解金额5.67万元，合计需上解1164.67万元，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得到有效落实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，</w:t>
      </w:r>
      <w:r>
        <w:rPr>
          <w:rFonts w:ascii="Times New Roman" w:hAnsi="Times New Roman" w:eastAsia="仿宋_GB2312"/>
          <w:color w:val="auto"/>
          <w:sz w:val="32"/>
          <w:szCs w:val="32"/>
        </w:rPr>
        <w:t>得分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auto"/>
          <w:sz w:val="32"/>
          <w:szCs w:val="32"/>
        </w:rPr>
        <w:t>分。</w:t>
      </w:r>
    </w:p>
    <w:p>
      <w:pPr>
        <w:widowControl/>
        <w:spacing w:line="600" w:lineRule="exact"/>
        <w:ind w:right="-283"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eastAsia="zh-CN"/>
        </w:rPr>
        <w:t>三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）效益指标（满分30分，实得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val="en-US" w:eastAsia="zh-CN"/>
        </w:rPr>
        <w:t>30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分）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1.经济效益指标（满分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本指标不适合此项目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2.社会效益指标（满分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15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15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，有效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减轻参保人员就医经济负担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，达到预期指标，得分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15分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3.生态效益指标（满分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本指标不适合此项目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4.可持续影响指标（满分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15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15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减轻城乡居民就医负担，促进社会和谐稳定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，得分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15分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。</w:t>
      </w:r>
    </w:p>
    <w:p>
      <w:pPr>
        <w:spacing w:line="600" w:lineRule="exact"/>
        <w:ind w:right="-283" w:firstLine="643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eastAsia="zh-CN"/>
        </w:rPr>
        <w:t>四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）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eastAsia="zh-CN"/>
        </w:rPr>
        <w:t>满意度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指标（满分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分）</w:t>
      </w:r>
    </w:p>
    <w:p>
      <w:pPr>
        <w:spacing w:line="600" w:lineRule="exact"/>
        <w:ind w:right="-283"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坚持以人为本，全心服务参保群众，尽量提高参保对象的满意度，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通过</w:t>
      </w:r>
      <w:r>
        <w:rPr>
          <w:rFonts w:ascii="Times New Roman" w:hAnsi="Times New Roman" w:eastAsia="仿宋_GB2312" w:cs="Times New Roman"/>
          <w:sz w:val="32"/>
          <w:szCs w:val="32"/>
        </w:rPr>
        <w:t>社会公众或服务（受益）对象满意度问卷调查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群众满意度100%好评。</w:t>
      </w:r>
    </w:p>
    <w:p>
      <w:pPr>
        <w:spacing w:line="60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四、存在问题</w:t>
      </w:r>
    </w:p>
    <w:p>
      <w:pPr>
        <w:spacing w:line="600" w:lineRule="exact"/>
        <w:ind w:right="-283" w:firstLine="640" w:firstLineChars="200"/>
        <w:rPr>
          <w:rFonts w:hint="eastAsia"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通过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评价</w:t>
      </w:r>
      <w:r>
        <w:rPr>
          <w:rFonts w:ascii="Times New Roman" w:hAnsi="Times New Roman" w:eastAsia="仿宋_GB2312"/>
          <w:color w:val="000000"/>
          <w:sz w:val="32"/>
          <w:szCs w:val="32"/>
        </w:rPr>
        <w:t>发现，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202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4</w:t>
      </w:r>
      <w:r>
        <w:rPr>
          <w:rFonts w:ascii="Times New Roman" w:hAnsi="Times New Roman" w:eastAsia="仿宋_GB2312"/>
          <w:color w:val="000000"/>
          <w:sz w:val="32"/>
          <w:szCs w:val="32"/>
        </w:rPr>
        <w:t>年度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城乡居民基本医疗保险</w:t>
      </w:r>
      <w:r>
        <w:rPr>
          <w:rFonts w:ascii="Times New Roman" w:hAnsi="Times New Roman" w:eastAsia="仿宋_GB2312"/>
          <w:color w:val="000000"/>
          <w:sz w:val="32"/>
          <w:szCs w:val="32"/>
        </w:rPr>
        <w:t>项目实施虽取得了一定的成效，但还存在一些问题和不足，主要表现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在：</w:t>
      </w:r>
    </w:p>
    <w:p>
      <w:pPr>
        <w:spacing w:line="600" w:lineRule="exact"/>
        <w:ind w:right="-283" w:firstLine="640" w:firstLineChars="20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一是医保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政策宣传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力度不够。部分参保群众对医保政策了解不够全面，影响其参保积极性和政策受益面</w:t>
      </w:r>
    </w:p>
    <w:p>
      <w:pPr>
        <w:spacing w:line="600" w:lineRule="exact"/>
        <w:ind w:right="-283" w:firstLine="640" w:firstLineChars="200"/>
        <w:rPr>
          <w:rFonts w:ascii="Times New Roman" w:hAnsi="Times New Roman" w:eastAsia="仿宋_GB2312" w:cs="Times New Roman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二是预算编</w:t>
      </w:r>
      <w:r>
        <w:rPr>
          <w:rFonts w:ascii="Times New Roman" w:hAnsi="Times New Roman" w:eastAsia="仿宋_GB2312" w:cs="Times New Roman"/>
          <w:color w:val="000000"/>
          <w:kern w:val="2"/>
          <w:sz w:val="32"/>
          <w:szCs w:val="32"/>
          <w:lang w:val="en-US" w:eastAsia="zh-CN" w:bidi="ar-SA"/>
        </w:rPr>
        <w:t>制不够精准科学</w:t>
      </w:r>
      <w:r>
        <w:rPr>
          <w:rFonts w:hint="eastAsia" w:ascii="Times New Roman" w:hAnsi="Times New Roman" w:eastAsia="仿宋_GB2312" w:cs="Times New Roman"/>
          <w:color w:val="000000"/>
          <w:kern w:val="2"/>
          <w:sz w:val="32"/>
          <w:szCs w:val="32"/>
          <w:lang w:val="en-US" w:eastAsia="zh-CN" w:bidi="ar-SA"/>
        </w:rPr>
        <w:t>。</w:t>
      </w:r>
      <w:r>
        <w:rPr>
          <w:rFonts w:hint="default" w:ascii="Times New Roman" w:hAnsi="Times New Roman" w:eastAsia="仿宋_GB2312" w:cs="Times New Roman"/>
          <w:color w:val="000000"/>
          <w:kern w:val="2"/>
          <w:sz w:val="32"/>
          <w:szCs w:val="32"/>
          <w:lang w:val="en-US" w:eastAsia="zh-CN" w:bidi="ar-SA"/>
        </w:rPr>
        <w:t> 在编制城乡居民医保基金预算时，对参保人数、缴费标准、医疗费用增长等因素预测不够准确，导致预算与实际执行存在较大偏差，影响资金使用效率。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1" w:after="0" w:afterAutospacing="1"/>
        <w:ind w:left="1440" w:hanging="360"/>
        <w:rPr>
          <w:rFonts w:ascii="Times New Roman" w:hAnsi="Times New Roman" w:eastAsia="仿宋_GB2312" w:cs="Times New Roman"/>
          <w:color w:val="000000"/>
          <w:kern w:val="2"/>
          <w:sz w:val="32"/>
          <w:szCs w:val="32"/>
          <w:lang w:val="en-US" w:eastAsia="zh-CN" w:bidi="ar-SA"/>
        </w:rPr>
      </w:pPr>
    </w:p>
    <w:p>
      <w:pPr>
        <w:pStyle w:val="11"/>
        <w:keepNext w:val="0"/>
        <w:keepLines w:val="0"/>
        <w:widowControl/>
        <w:suppressLineNumbers w:val="0"/>
        <w:ind w:left="0" w:firstLine="0"/>
        <w:rPr>
          <w:rFonts w:hint="default" w:ascii="Segoe UI" w:hAnsi="Segoe UI" w:eastAsia="Segoe UI" w:cs="Segoe UI"/>
          <w:i w:val="0"/>
          <w:iCs w:val="0"/>
          <w:caps w:val="0"/>
          <w:color w:val="404040"/>
          <w:spacing w:val="0"/>
          <w:sz w:val="24"/>
          <w:szCs w:val="24"/>
        </w:rPr>
      </w:pPr>
    </w:p>
    <w:p>
      <w:pPr>
        <w:widowControl/>
        <w:spacing w:line="60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五、意见和建议</w:t>
      </w:r>
    </w:p>
    <w:p>
      <w:pPr>
        <w:widowControl/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为进一步提高专项资金使用效益，针对存在的问题，提出如下建议：</w:t>
      </w:r>
    </w:p>
    <w:p>
      <w:pPr>
        <w:ind w:firstLine="643" w:firstLineChars="200"/>
        <w:rPr>
          <w:rFonts w:hint="eastAsia"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b/>
          <w:color w:val="000000"/>
          <w:sz w:val="32"/>
          <w:szCs w:val="32"/>
        </w:rPr>
        <w:t>一要</w:t>
      </w:r>
      <w:r>
        <w:rPr>
          <w:rFonts w:hint="default" w:ascii="Times New Roman" w:hAnsi="Times New Roman" w:eastAsia="仿宋_GB2312"/>
          <w:color w:val="000000"/>
          <w:sz w:val="32"/>
          <w:szCs w:val="32"/>
        </w:rPr>
        <w:t>创新政策宣传方式，实现宣传全覆盖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。</w:t>
      </w:r>
      <w:r>
        <w:rPr>
          <w:rFonts w:hint="default" w:ascii="Times New Roman" w:hAnsi="Times New Roman" w:eastAsia="仿宋_GB2312"/>
          <w:color w:val="000000"/>
          <w:sz w:val="32"/>
          <w:szCs w:val="32"/>
        </w:rPr>
        <w:t>构建"线上+线下"立体化宣传网络。线上依托政务服务平台、微信公众号等新媒体渠道，线下通过设立政策宣传点、组织专题宣讲会等方式，确保政策宣传无死角。特别要加强对基层干部的政策培训，提升政策解读和落实能力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。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/>
          <w:b/>
          <w:color w:val="000000"/>
          <w:sz w:val="32"/>
          <w:szCs w:val="32"/>
          <w:lang w:eastAsia="zh-CN"/>
        </w:rPr>
        <w:t>二</w:t>
      </w:r>
      <w:r>
        <w:rPr>
          <w:rFonts w:ascii="Times New Roman" w:hAnsi="Times New Roman" w:eastAsia="仿宋_GB2312"/>
          <w:b/>
          <w:color w:val="000000"/>
          <w:sz w:val="32"/>
          <w:szCs w:val="32"/>
        </w:rPr>
        <w:t>要</w:t>
      </w:r>
      <w:r>
        <w:rPr>
          <w:rFonts w:hint="eastAsia" w:ascii="仿宋_GB2312" w:hAnsi="仿宋_GB2312" w:eastAsia="仿宋_GB2312" w:cs="仿宋_GB2312"/>
          <w:sz w:val="32"/>
          <w:szCs w:val="32"/>
        </w:rPr>
        <w:t>加强项目资金的预决算管理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根据各相关科室工作内容，享受政策人数等情况，对项目资金进行科学分配，确保项目资金用好，发挥出最大效益。</w:t>
      </w:r>
    </w:p>
    <w:p>
      <w:pPr>
        <w:widowControl/>
        <w:spacing w:line="60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七、附件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1.</w:t>
      </w:r>
      <w:r>
        <w:rPr>
          <w:rFonts w:ascii="Times New Roman" w:hAnsi="Times New Roman" w:eastAsia="仿宋_GB2312"/>
          <w:color w:val="000000"/>
          <w:sz w:val="32"/>
          <w:szCs w:val="32"/>
        </w:rPr>
        <w:t>项目支出绩效自评表（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从一体化系统导出</w:t>
      </w:r>
      <w:r>
        <w:rPr>
          <w:rFonts w:ascii="Times New Roman" w:hAnsi="Times New Roman" w:eastAsia="仿宋_GB2312"/>
          <w:color w:val="000000"/>
          <w:sz w:val="32"/>
          <w:szCs w:val="32"/>
        </w:rPr>
        <w:t>）</w:t>
      </w:r>
    </w:p>
    <w:tbl>
      <w:tblPr>
        <w:tblW w:w="8330" w:type="dxa"/>
        <w:tblInd w:w="0" w:type="dxa"/>
        <w:shd w:val="clea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57"/>
        <w:gridCol w:w="332"/>
        <w:gridCol w:w="472"/>
        <w:gridCol w:w="651"/>
        <w:gridCol w:w="393"/>
        <w:gridCol w:w="742"/>
        <w:gridCol w:w="845"/>
        <w:gridCol w:w="742"/>
        <w:gridCol w:w="334"/>
        <w:gridCol w:w="742"/>
        <w:gridCol w:w="2520"/>
      </w:tblGrid>
      <w:tr>
        <w:tblPrEx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atLeast"/>
        </w:trPr>
        <w:tc>
          <w:tcPr>
            <w:tcW w:w="833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bdr w:val="none" w:color="auto" w:sz="0" w:space="0"/>
                <w:lang w:val="en-US" w:eastAsia="zh-CN" w:bidi="ar"/>
              </w:rPr>
              <w:t xml:space="preserve">       项目支出绩效自评表 </w:t>
            </w:r>
          </w:p>
        </w:tc>
      </w:tr>
      <w:tr>
        <w:tblPrEx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833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（2024年度）</w:t>
            </w:r>
          </w:p>
        </w:tc>
      </w:tr>
      <w:tr>
        <w:tblPrEx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" w:hRule="atLeast"/>
        </w:trPr>
        <w:tc>
          <w:tcPr>
            <w:tcW w:w="557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72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3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4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2" w:hRule="atLeast"/>
        </w:trPr>
        <w:tc>
          <w:tcPr>
            <w:tcW w:w="136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项目名称</w:t>
            </w:r>
          </w:p>
        </w:tc>
        <w:tc>
          <w:tcPr>
            <w:tcW w:w="6969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2024_城乡居民基本医疗保险</w:t>
            </w:r>
          </w:p>
        </w:tc>
      </w:tr>
      <w:tr>
        <w:tblPrEx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2" w:hRule="atLeast"/>
        </w:trPr>
        <w:tc>
          <w:tcPr>
            <w:tcW w:w="136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主管部门</w:t>
            </w:r>
          </w:p>
        </w:tc>
        <w:tc>
          <w:tcPr>
            <w:tcW w:w="263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077-合肥市瑶海区医疗保障局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实施单位</w:t>
            </w:r>
          </w:p>
        </w:tc>
        <w:tc>
          <w:tcPr>
            <w:tcW w:w="359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077001-合肥市瑶海区医疗保障局</w:t>
            </w:r>
          </w:p>
        </w:tc>
      </w:tr>
      <w:tr>
        <w:tblPrEx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2" w:hRule="atLeast"/>
        </w:trPr>
        <w:tc>
          <w:tcPr>
            <w:tcW w:w="1361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项目资金                    （万元）</w:t>
            </w:r>
          </w:p>
        </w:tc>
        <w:tc>
          <w:tcPr>
            <w:tcW w:w="10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年初预算数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全年预算数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全年执行数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分值 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执行率</w:t>
            </w:r>
          </w:p>
        </w:tc>
        <w:tc>
          <w:tcPr>
            <w:tcW w:w="2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得分</w:t>
            </w:r>
          </w:p>
        </w:tc>
      </w:tr>
      <w:tr>
        <w:tblPrEx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2" w:hRule="atLeast"/>
        </w:trPr>
        <w:tc>
          <w:tcPr>
            <w:tcW w:w="1361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年度资金总额：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1127.00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1175.56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1175.56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100.00%</w:t>
            </w:r>
          </w:p>
        </w:tc>
        <w:tc>
          <w:tcPr>
            <w:tcW w:w="2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10.00</w:t>
            </w:r>
          </w:p>
        </w:tc>
      </w:tr>
      <w:tr>
        <w:tblPrEx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2" w:hRule="atLeast"/>
        </w:trPr>
        <w:tc>
          <w:tcPr>
            <w:tcW w:w="1361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其中：本年财政拨款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1127.00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1175.56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1175.56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—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2" w:hRule="atLeast"/>
        </w:trPr>
        <w:tc>
          <w:tcPr>
            <w:tcW w:w="1361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上年结转资金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0.00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0.00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0.00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—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2" w:hRule="atLeast"/>
        </w:trPr>
        <w:tc>
          <w:tcPr>
            <w:tcW w:w="1361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44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         其他资金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0.00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0.00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0.00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—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2" w:hRule="atLeast"/>
        </w:trPr>
        <w:tc>
          <w:tcPr>
            <w:tcW w:w="55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textDirection w:val="tbRlV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年度总体目标</w:t>
            </w:r>
          </w:p>
        </w:tc>
        <w:tc>
          <w:tcPr>
            <w:tcW w:w="343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预期目标</w:t>
            </w:r>
          </w:p>
        </w:tc>
        <w:tc>
          <w:tcPr>
            <w:tcW w:w="433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实际完成情况</w:t>
            </w:r>
          </w:p>
        </w:tc>
      </w:tr>
      <w:tr>
        <w:tblPrEx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2" w:hRule="atLeast"/>
        </w:trPr>
        <w:tc>
          <w:tcPr>
            <w:tcW w:w="5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3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项目长期实施，申请1127万元财政资金，主要用于城乡居民基本医疗保险补助资金到位及时，确保城乡居民医保工作顺利开展，进一步扩大参保面，提升居民健康水平。</w:t>
            </w:r>
          </w:p>
        </w:tc>
        <w:tc>
          <w:tcPr>
            <w:tcW w:w="433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扎实做好城乡居民医保参保工作，去年9月集中参保期以来，区医保局多措并举推进参保宣传工作。一是加强组织，广角度、全方位开展宣传活动，引导居民积极参保；二是积极与卫健、民政、乡村振兴等部门对接，细致做好资助参保对象参保工作，防止出现漏保、错保问题。在集中参保期延长后，重点做好基本医疗保险未参保人员宣传动员工作，努力实现“应保尽保”。截至6月，完成参保任务数23.9万人，完成参保率107.57%。</w:t>
            </w:r>
          </w:p>
        </w:tc>
      </w:tr>
      <w:tr>
        <w:tblPrEx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55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textDirection w:val="tbRlV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绩效指标</w:t>
            </w:r>
          </w:p>
        </w:tc>
        <w:tc>
          <w:tcPr>
            <w:tcW w:w="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一级指标</w:t>
            </w:r>
          </w:p>
        </w:tc>
        <w:tc>
          <w:tcPr>
            <w:tcW w:w="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二级指标</w:t>
            </w:r>
          </w:p>
        </w:tc>
        <w:tc>
          <w:tcPr>
            <w:tcW w:w="178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三级指标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年度指标值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实际完成值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分值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得分</w:t>
            </w:r>
          </w:p>
        </w:tc>
        <w:tc>
          <w:tcPr>
            <w:tcW w:w="2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偏差原因分析及改进措施</w:t>
            </w:r>
          </w:p>
        </w:tc>
      </w:tr>
      <w:tr>
        <w:tblPrEx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2" w:hRule="atLeast"/>
        </w:trPr>
        <w:tc>
          <w:tcPr>
            <w:tcW w:w="5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3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产出指标(50分)</w:t>
            </w:r>
          </w:p>
        </w:tc>
        <w:tc>
          <w:tcPr>
            <w:tcW w:w="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数量指标</w:t>
            </w:r>
          </w:p>
        </w:tc>
        <w:tc>
          <w:tcPr>
            <w:tcW w:w="178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城乡居民医疗保险参保人数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≥23万人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23.9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2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城乡居民参保人数根据当年居民参保变动</w:t>
            </w:r>
          </w:p>
        </w:tc>
      </w:tr>
      <w:tr>
        <w:tblPrEx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5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3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7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质量指标</w:t>
            </w:r>
          </w:p>
        </w:tc>
        <w:tc>
          <w:tcPr>
            <w:tcW w:w="178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城乡居民医疗保险参保率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＝100%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100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2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5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3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7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时效指标</w:t>
            </w:r>
          </w:p>
        </w:tc>
        <w:tc>
          <w:tcPr>
            <w:tcW w:w="178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资金支出时效性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2024年12月前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达成预期指标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2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5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3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7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成本指标</w:t>
            </w:r>
          </w:p>
        </w:tc>
        <w:tc>
          <w:tcPr>
            <w:tcW w:w="178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项目总成本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≤11270000元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1175.56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2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区级财政补助48.5元/人，参保工作奖励经费0.5元/人</w:t>
            </w:r>
          </w:p>
        </w:tc>
      </w:tr>
      <w:tr>
        <w:tblPrEx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2" w:hRule="atLeast"/>
        </w:trPr>
        <w:tc>
          <w:tcPr>
            <w:tcW w:w="5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3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效益指标(30分)</w:t>
            </w:r>
          </w:p>
        </w:tc>
        <w:tc>
          <w:tcPr>
            <w:tcW w:w="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经济效益指标</w:t>
            </w:r>
          </w:p>
        </w:tc>
        <w:tc>
          <w:tcPr>
            <w:tcW w:w="178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本指标不适用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不适用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不适用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2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5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3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7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社会效益指标</w:t>
            </w:r>
          </w:p>
        </w:tc>
        <w:tc>
          <w:tcPr>
            <w:tcW w:w="178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减轻参保人员就医经济负担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程度较高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达成预期指标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2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5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3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7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生态效益指标</w:t>
            </w:r>
          </w:p>
        </w:tc>
        <w:tc>
          <w:tcPr>
            <w:tcW w:w="178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本指标不适用此项目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不适用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达成预期指标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2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5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3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7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可持续影响指标</w:t>
            </w:r>
          </w:p>
        </w:tc>
        <w:tc>
          <w:tcPr>
            <w:tcW w:w="178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减轻城乡居民就医负担，促进社会和谐稳定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效果 明显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达成预期指标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2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2" w:hRule="atLeast"/>
        </w:trPr>
        <w:tc>
          <w:tcPr>
            <w:tcW w:w="5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满意度指标(10分)</w:t>
            </w:r>
          </w:p>
        </w:tc>
        <w:tc>
          <w:tcPr>
            <w:tcW w:w="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满意度指标</w:t>
            </w:r>
          </w:p>
        </w:tc>
        <w:tc>
          <w:tcPr>
            <w:tcW w:w="178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服务对象满意度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≥90百分比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92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2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</w:trPr>
        <w:tc>
          <w:tcPr>
            <w:tcW w:w="3992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总分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100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100.00</w:t>
            </w:r>
          </w:p>
        </w:tc>
        <w:tc>
          <w:tcPr>
            <w:tcW w:w="2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</w:tbl>
    <w:p>
      <w:pPr>
        <w:pStyle w:val="2"/>
      </w:pPr>
    </w:p>
    <w:p>
      <w:pPr>
        <w:pStyle w:val="2"/>
      </w:pPr>
      <w:r>
        <w:rPr>
          <w:rFonts w:ascii="Times New Roman" w:hAnsi="Times New Roman" w:eastAsia="仿宋_GB2312"/>
          <w:color w:val="000000"/>
          <w:sz w:val="32"/>
          <w:szCs w:val="32"/>
        </w:rPr>
        <w:t>2.服务对象满意度调查问卷统计分析表</w:t>
      </w:r>
    </w:p>
    <w:p>
      <w:pPr>
        <w:pStyle w:val="2"/>
      </w:pPr>
    </w:p>
    <w:tbl>
      <w:tblPr>
        <w:tblW w:w="8330" w:type="dxa"/>
        <w:tblInd w:w="0" w:type="dxa"/>
        <w:shd w:val="clea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755"/>
        <w:gridCol w:w="526"/>
        <w:gridCol w:w="526"/>
        <w:gridCol w:w="742"/>
        <w:gridCol w:w="781"/>
      </w:tblGrid>
      <w:tr>
        <w:tblPrEx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575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40" w:hRule="atLeast"/>
        </w:trPr>
        <w:tc>
          <w:tcPr>
            <w:tcW w:w="833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i w:val="0"/>
                <w:color w:val="000000"/>
                <w:sz w:val="40"/>
                <w:szCs w:val="40"/>
                <w:u w:val="none"/>
              </w:rPr>
            </w:pPr>
            <w:r>
              <w:rPr>
                <w:rStyle w:val="29"/>
                <w:bdr w:val="none" w:color="auto" w:sz="0" w:space="0"/>
                <w:lang w:val="en-US" w:eastAsia="zh-CN" w:bidi="ar"/>
              </w:rPr>
              <w:t>合肥市</w:t>
            </w:r>
            <w:r>
              <w:rPr>
                <w:rStyle w:val="30"/>
                <w:rFonts w:eastAsia="方正小标宋简体"/>
                <w:bdr w:val="none" w:color="auto" w:sz="0" w:space="0"/>
                <w:lang w:val="en-US" w:eastAsia="zh-CN" w:bidi="ar"/>
              </w:rPr>
              <w:t>2024</w:t>
            </w:r>
            <w:r>
              <w:rPr>
                <w:rStyle w:val="29"/>
                <w:bdr w:val="none" w:color="auto" w:sz="0" w:space="0"/>
                <w:lang w:val="en-US" w:eastAsia="zh-CN" w:bidi="ar"/>
              </w:rPr>
              <w:t>年城乡居民基本医疗保险项目满意度调查问卷</w:t>
            </w:r>
            <w:r>
              <w:rPr>
                <w:rStyle w:val="30"/>
                <w:rFonts w:eastAsia="方正小标宋简体"/>
                <w:bdr w:val="none" w:color="auto" w:sz="0" w:space="0"/>
                <w:lang w:val="en-US" w:eastAsia="zh-CN" w:bidi="ar"/>
              </w:rPr>
              <w:t xml:space="preserve"> 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5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31"/>
                <w:bdr w:val="none" w:color="auto" w:sz="0" w:space="0"/>
                <w:lang w:val="en-US" w:eastAsia="zh-CN" w:bidi="ar"/>
              </w:rPr>
              <w:t>问题</w:t>
            </w:r>
          </w:p>
        </w:tc>
        <w:tc>
          <w:tcPr>
            <w:tcW w:w="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32"/>
                <w:bdr w:val="none" w:color="auto" w:sz="0" w:space="0"/>
                <w:lang w:val="en-US" w:eastAsia="zh-CN" w:bidi="ar"/>
              </w:rPr>
              <w:t>回答小计</w:t>
            </w:r>
          </w:p>
        </w:tc>
        <w:tc>
          <w:tcPr>
            <w:tcW w:w="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32"/>
                <w:bdr w:val="none" w:color="auto" w:sz="0" w:space="0"/>
                <w:lang w:val="en-US" w:eastAsia="zh-CN" w:bidi="ar"/>
              </w:rPr>
              <w:t>权重得分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32"/>
                <w:bdr w:val="none" w:color="auto" w:sz="0" w:space="0"/>
                <w:lang w:val="en-US" w:eastAsia="zh-CN" w:bidi="ar"/>
              </w:rPr>
              <w:t>单项满意度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32"/>
                <w:bdr w:val="none" w:color="auto" w:sz="0" w:space="0"/>
                <w:lang w:val="en-US" w:eastAsia="zh-CN" w:bidi="ar"/>
              </w:rPr>
              <w:t>综合满</w:t>
            </w:r>
            <w:bookmarkStart w:id="0" w:name="_GoBack"/>
            <w:bookmarkEnd w:id="0"/>
            <w:r>
              <w:rPr>
                <w:rStyle w:val="32"/>
                <w:bdr w:val="none" w:color="auto" w:sz="0" w:space="0"/>
                <w:lang w:val="en-US" w:eastAsia="zh-CN" w:bidi="ar"/>
              </w:rPr>
              <w:t>意度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5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31"/>
                <w:bdr w:val="none" w:color="auto" w:sz="0" w:space="0"/>
                <w:lang w:val="en-US" w:eastAsia="zh-CN" w:bidi="ar"/>
              </w:rPr>
              <w:t>问卷分数</w:t>
            </w:r>
          </w:p>
        </w:tc>
        <w:tc>
          <w:tcPr>
            <w:tcW w:w="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35</w:t>
            </w:r>
          </w:p>
        </w:tc>
        <w:tc>
          <w:tcPr>
            <w:tcW w:w="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92.00%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5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33"/>
                <w:rFonts w:eastAsia="宋体"/>
                <w:bdr w:val="none" w:color="auto" w:sz="0" w:space="0"/>
                <w:lang w:val="en-US" w:eastAsia="zh-CN" w:bidi="ar"/>
              </w:rPr>
              <w:t>1</w:t>
            </w:r>
            <w:r>
              <w:rPr>
                <w:rStyle w:val="34"/>
                <w:bdr w:val="none" w:color="auto" w:sz="0" w:space="0"/>
                <w:lang w:val="en-US" w:eastAsia="zh-CN" w:bidi="ar"/>
              </w:rPr>
              <w:t>、您是否了解城乡居民每年医疗保险基金中个人缴费额度是多少?</w:t>
            </w:r>
          </w:p>
        </w:tc>
        <w:tc>
          <w:tcPr>
            <w:tcW w:w="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5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33"/>
                <w:rFonts w:eastAsia="宋体"/>
                <w:bdr w:val="none" w:color="auto" w:sz="0" w:space="0"/>
                <w:lang w:val="en-US" w:eastAsia="zh-CN" w:bidi="ar"/>
              </w:rPr>
              <w:t>A</w:t>
            </w:r>
            <w:r>
              <w:rPr>
                <w:rStyle w:val="34"/>
                <w:bdr w:val="none" w:color="auto" w:sz="0" w:space="0"/>
                <w:lang w:val="en-US" w:eastAsia="zh-CN" w:bidi="ar"/>
              </w:rPr>
              <w:t>、非常了解</w:t>
            </w:r>
          </w:p>
        </w:tc>
        <w:tc>
          <w:tcPr>
            <w:tcW w:w="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27</w:t>
            </w:r>
          </w:p>
        </w:tc>
        <w:tc>
          <w:tcPr>
            <w:tcW w:w="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27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93.40%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5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33"/>
                <w:rFonts w:eastAsia="宋体"/>
                <w:bdr w:val="none" w:color="auto" w:sz="0" w:space="0"/>
                <w:lang w:val="en-US" w:eastAsia="zh-CN" w:bidi="ar"/>
              </w:rPr>
              <w:t>B</w:t>
            </w:r>
            <w:r>
              <w:rPr>
                <w:rStyle w:val="34"/>
                <w:bdr w:val="none" w:color="auto" w:sz="0" w:space="0"/>
                <w:lang w:val="en-US" w:eastAsia="zh-CN" w:bidi="ar"/>
              </w:rPr>
              <w:t>、了解</w:t>
            </w:r>
          </w:p>
        </w:tc>
        <w:tc>
          <w:tcPr>
            <w:tcW w:w="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5.25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5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33"/>
                <w:rFonts w:eastAsia="宋体"/>
                <w:bdr w:val="none" w:color="auto" w:sz="0" w:space="0"/>
                <w:lang w:val="en-US" w:eastAsia="zh-CN" w:bidi="ar"/>
              </w:rPr>
              <w:t>C</w:t>
            </w:r>
            <w:r>
              <w:rPr>
                <w:rStyle w:val="34"/>
                <w:bdr w:val="none" w:color="auto" w:sz="0" w:space="0"/>
                <w:lang w:val="en-US" w:eastAsia="zh-CN" w:bidi="ar"/>
              </w:rPr>
              <w:t>、不了解</w:t>
            </w:r>
          </w:p>
        </w:tc>
        <w:tc>
          <w:tcPr>
            <w:tcW w:w="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0.5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5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33"/>
                <w:rFonts w:eastAsia="宋体"/>
                <w:bdr w:val="none" w:color="auto" w:sz="0" w:space="0"/>
                <w:lang w:val="en-US" w:eastAsia="zh-CN" w:bidi="ar"/>
              </w:rPr>
              <w:t>2</w:t>
            </w:r>
            <w:r>
              <w:rPr>
                <w:rStyle w:val="34"/>
                <w:bdr w:val="none" w:color="auto" w:sz="0" w:space="0"/>
                <w:lang w:val="en-US" w:eastAsia="zh-CN" w:bidi="ar"/>
              </w:rPr>
              <w:t>、您觉得您对城乡居民基本医疗保险政策知道多少？</w:t>
            </w:r>
          </w:p>
        </w:tc>
        <w:tc>
          <w:tcPr>
            <w:tcW w:w="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5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33"/>
                <w:rFonts w:eastAsia="宋体"/>
                <w:bdr w:val="none" w:color="auto" w:sz="0" w:space="0"/>
                <w:lang w:val="en-US" w:eastAsia="zh-CN" w:bidi="ar"/>
              </w:rPr>
              <w:t>A</w:t>
            </w:r>
            <w:r>
              <w:rPr>
                <w:rStyle w:val="34"/>
                <w:bdr w:val="none" w:color="auto" w:sz="0" w:space="0"/>
                <w:lang w:val="en-US" w:eastAsia="zh-CN" w:bidi="ar"/>
              </w:rPr>
              <w:t>、很了解</w:t>
            </w:r>
          </w:p>
        </w:tc>
        <w:tc>
          <w:tcPr>
            <w:tcW w:w="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27</w:t>
            </w:r>
          </w:p>
        </w:tc>
        <w:tc>
          <w:tcPr>
            <w:tcW w:w="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27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94.30%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5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33"/>
                <w:rFonts w:eastAsia="宋体"/>
                <w:bdr w:val="none" w:color="auto" w:sz="0" w:space="0"/>
                <w:lang w:val="en-US" w:eastAsia="zh-CN" w:bidi="ar"/>
              </w:rPr>
              <w:t>B</w:t>
            </w:r>
            <w:r>
              <w:rPr>
                <w:rStyle w:val="34"/>
                <w:bdr w:val="none" w:color="auto" w:sz="0" w:space="0"/>
                <w:lang w:val="en-US" w:eastAsia="zh-CN" w:bidi="ar"/>
              </w:rPr>
              <w:t>、听说过一点</w:t>
            </w:r>
          </w:p>
        </w:tc>
        <w:tc>
          <w:tcPr>
            <w:tcW w:w="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5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33"/>
                <w:rFonts w:eastAsia="宋体"/>
                <w:bdr w:val="none" w:color="auto" w:sz="0" w:space="0"/>
                <w:lang w:val="en-US" w:eastAsia="zh-CN" w:bidi="ar"/>
              </w:rPr>
              <w:t>C</w:t>
            </w:r>
            <w:r>
              <w:rPr>
                <w:rStyle w:val="34"/>
                <w:bdr w:val="none" w:color="auto" w:sz="0" w:space="0"/>
                <w:lang w:val="en-US" w:eastAsia="zh-CN" w:bidi="ar"/>
              </w:rPr>
              <w:t>、不了解</w:t>
            </w:r>
          </w:p>
        </w:tc>
        <w:tc>
          <w:tcPr>
            <w:tcW w:w="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5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33"/>
                <w:rFonts w:eastAsia="宋体"/>
                <w:bdr w:val="none" w:color="auto" w:sz="0" w:space="0"/>
                <w:lang w:val="en-US" w:eastAsia="zh-CN" w:bidi="ar"/>
              </w:rPr>
              <w:t>3</w:t>
            </w:r>
            <w:r>
              <w:rPr>
                <w:rStyle w:val="34"/>
                <w:bdr w:val="none" w:color="auto" w:sz="0" w:space="0"/>
                <w:lang w:val="en-US" w:eastAsia="zh-CN" w:bidi="ar"/>
              </w:rPr>
              <w:t>、您参加医保缴费的方式是？</w:t>
            </w:r>
          </w:p>
        </w:tc>
        <w:tc>
          <w:tcPr>
            <w:tcW w:w="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5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33"/>
                <w:rFonts w:eastAsia="宋体"/>
                <w:bdr w:val="none" w:color="auto" w:sz="0" w:space="0"/>
                <w:lang w:val="en-US" w:eastAsia="zh-CN" w:bidi="ar"/>
              </w:rPr>
              <w:t>A</w:t>
            </w:r>
            <w:r>
              <w:rPr>
                <w:rStyle w:val="34"/>
                <w:bdr w:val="none" w:color="auto" w:sz="0" w:space="0"/>
                <w:lang w:val="en-US" w:eastAsia="zh-CN" w:bidi="ar"/>
              </w:rPr>
              <w:t>、主要由个人缴费</w:t>
            </w:r>
          </w:p>
        </w:tc>
        <w:tc>
          <w:tcPr>
            <w:tcW w:w="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</w:t>
            </w:r>
          </w:p>
        </w:tc>
        <w:tc>
          <w:tcPr>
            <w:tcW w:w="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88.60%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5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33"/>
                <w:rFonts w:eastAsia="宋体"/>
                <w:bdr w:val="none" w:color="auto" w:sz="0" w:space="0"/>
                <w:lang w:val="en-US" w:eastAsia="zh-CN" w:bidi="ar"/>
              </w:rPr>
              <w:t>B</w:t>
            </w:r>
            <w:r>
              <w:rPr>
                <w:rStyle w:val="34"/>
                <w:bdr w:val="none" w:color="auto" w:sz="0" w:space="0"/>
                <w:lang w:val="en-US" w:eastAsia="zh-CN" w:bidi="ar"/>
              </w:rPr>
              <w:t>、财政补贴和个人共同缴费</w:t>
            </w:r>
          </w:p>
        </w:tc>
        <w:tc>
          <w:tcPr>
            <w:tcW w:w="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</w:t>
            </w:r>
          </w:p>
        </w:tc>
        <w:tc>
          <w:tcPr>
            <w:tcW w:w="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5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33"/>
                <w:rFonts w:eastAsia="宋体"/>
                <w:bdr w:val="none" w:color="auto" w:sz="0" w:space="0"/>
                <w:lang w:val="en-US" w:eastAsia="zh-CN" w:bidi="ar"/>
              </w:rPr>
              <w:t>C</w:t>
            </w:r>
            <w:r>
              <w:rPr>
                <w:rStyle w:val="34"/>
                <w:bdr w:val="none" w:color="auto" w:sz="0" w:space="0"/>
                <w:lang w:val="en-US" w:eastAsia="zh-CN" w:bidi="ar"/>
              </w:rPr>
              <w:t>、全部由财政补贴</w:t>
            </w:r>
          </w:p>
        </w:tc>
        <w:tc>
          <w:tcPr>
            <w:tcW w:w="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5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33"/>
                <w:rFonts w:eastAsia="宋体"/>
                <w:bdr w:val="none" w:color="auto" w:sz="0" w:space="0"/>
                <w:lang w:val="en-US" w:eastAsia="zh-CN" w:bidi="ar"/>
              </w:rPr>
              <w:t>4</w:t>
            </w:r>
            <w:r>
              <w:rPr>
                <w:rStyle w:val="34"/>
                <w:bdr w:val="none" w:color="auto" w:sz="0" w:space="0"/>
                <w:lang w:val="en-US" w:eastAsia="zh-CN" w:bidi="ar"/>
              </w:rPr>
              <w:t>、您认为医疗保险报销费用时是否方便</w:t>
            </w:r>
          </w:p>
        </w:tc>
        <w:tc>
          <w:tcPr>
            <w:tcW w:w="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5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33"/>
                <w:rFonts w:eastAsia="宋体"/>
                <w:bdr w:val="none" w:color="auto" w:sz="0" w:space="0"/>
                <w:lang w:val="en-US" w:eastAsia="zh-CN" w:bidi="ar"/>
              </w:rPr>
              <w:t>A</w:t>
            </w:r>
            <w:r>
              <w:rPr>
                <w:rStyle w:val="34"/>
                <w:bdr w:val="none" w:color="auto" w:sz="0" w:space="0"/>
                <w:lang w:val="en-US" w:eastAsia="zh-CN" w:bidi="ar"/>
              </w:rPr>
              <w:t>、非常方便</w:t>
            </w:r>
          </w:p>
        </w:tc>
        <w:tc>
          <w:tcPr>
            <w:tcW w:w="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</w:t>
            </w:r>
          </w:p>
        </w:tc>
        <w:tc>
          <w:tcPr>
            <w:tcW w:w="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95.00%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5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33"/>
                <w:rFonts w:eastAsia="宋体"/>
                <w:bdr w:val="none" w:color="auto" w:sz="0" w:space="0"/>
                <w:lang w:val="en-US" w:eastAsia="zh-CN" w:bidi="ar"/>
              </w:rPr>
              <w:t>B</w:t>
            </w:r>
            <w:r>
              <w:rPr>
                <w:rStyle w:val="34"/>
                <w:bdr w:val="none" w:color="auto" w:sz="0" w:space="0"/>
                <w:lang w:val="en-US" w:eastAsia="zh-CN" w:bidi="ar"/>
              </w:rPr>
              <w:t>、</w:t>
            </w:r>
            <w:r>
              <w:rPr>
                <w:rStyle w:val="33"/>
                <w:rFonts w:eastAsia="宋体"/>
                <w:bdr w:val="none" w:color="auto" w:sz="0" w:space="0"/>
                <w:lang w:val="en-US" w:eastAsia="zh-CN" w:bidi="ar"/>
              </w:rPr>
              <w:t xml:space="preserve"> </w:t>
            </w:r>
            <w:r>
              <w:rPr>
                <w:rStyle w:val="34"/>
                <w:bdr w:val="none" w:color="auto" w:sz="0" w:space="0"/>
                <w:lang w:val="en-US" w:eastAsia="zh-CN" w:bidi="ar"/>
              </w:rPr>
              <w:t>一般</w:t>
            </w:r>
          </w:p>
        </w:tc>
        <w:tc>
          <w:tcPr>
            <w:tcW w:w="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2.25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5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33"/>
                <w:rFonts w:eastAsia="宋体"/>
                <w:bdr w:val="none" w:color="auto" w:sz="0" w:space="0"/>
                <w:lang w:val="en-US" w:eastAsia="zh-CN" w:bidi="ar"/>
              </w:rPr>
              <w:t>C</w:t>
            </w:r>
            <w:r>
              <w:rPr>
                <w:rStyle w:val="34"/>
                <w:bdr w:val="none" w:color="auto" w:sz="0" w:space="0"/>
                <w:lang w:val="en-US" w:eastAsia="zh-CN" w:bidi="ar"/>
              </w:rPr>
              <w:t>、不太方便</w:t>
            </w:r>
          </w:p>
        </w:tc>
        <w:tc>
          <w:tcPr>
            <w:tcW w:w="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5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33"/>
                <w:rFonts w:eastAsia="宋体"/>
                <w:bdr w:val="none" w:color="auto" w:sz="0" w:space="0"/>
                <w:lang w:val="en-US" w:eastAsia="zh-CN" w:bidi="ar"/>
              </w:rPr>
              <w:t>5</w:t>
            </w:r>
            <w:r>
              <w:rPr>
                <w:rStyle w:val="34"/>
                <w:bdr w:val="none" w:color="auto" w:sz="0" w:space="0"/>
                <w:lang w:val="en-US" w:eastAsia="zh-CN" w:bidi="ar"/>
              </w:rPr>
              <w:t>、您是否了解资助参保政策?</w:t>
            </w:r>
          </w:p>
        </w:tc>
        <w:tc>
          <w:tcPr>
            <w:tcW w:w="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5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33"/>
                <w:rFonts w:eastAsia="宋体"/>
                <w:bdr w:val="none" w:color="auto" w:sz="0" w:space="0"/>
                <w:lang w:val="en-US" w:eastAsia="zh-CN" w:bidi="ar"/>
              </w:rPr>
              <w:t>A</w:t>
            </w:r>
            <w:r>
              <w:rPr>
                <w:rStyle w:val="34"/>
                <w:bdr w:val="none" w:color="auto" w:sz="0" w:space="0"/>
                <w:lang w:val="en-US" w:eastAsia="zh-CN" w:bidi="ar"/>
              </w:rPr>
              <w:t>、非常了解</w:t>
            </w:r>
          </w:p>
        </w:tc>
        <w:tc>
          <w:tcPr>
            <w:tcW w:w="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</w:t>
            </w:r>
          </w:p>
        </w:tc>
        <w:tc>
          <w:tcPr>
            <w:tcW w:w="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88.60%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5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33"/>
                <w:rFonts w:eastAsia="宋体"/>
                <w:bdr w:val="none" w:color="auto" w:sz="0" w:space="0"/>
                <w:lang w:val="en-US" w:eastAsia="zh-CN" w:bidi="ar"/>
              </w:rPr>
              <w:t>B</w:t>
            </w:r>
            <w:r>
              <w:rPr>
                <w:rStyle w:val="34"/>
                <w:bdr w:val="none" w:color="auto" w:sz="0" w:space="0"/>
                <w:lang w:val="en-US" w:eastAsia="zh-CN" w:bidi="ar"/>
              </w:rPr>
              <w:t>、一般</w:t>
            </w:r>
          </w:p>
        </w:tc>
        <w:tc>
          <w:tcPr>
            <w:tcW w:w="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</w:t>
            </w:r>
          </w:p>
        </w:tc>
        <w:tc>
          <w:tcPr>
            <w:tcW w:w="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5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33"/>
                <w:rFonts w:eastAsia="宋体"/>
                <w:bdr w:val="none" w:color="auto" w:sz="0" w:space="0"/>
                <w:lang w:val="en-US" w:eastAsia="zh-CN" w:bidi="ar"/>
              </w:rPr>
              <w:t>C</w:t>
            </w:r>
            <w:r>
              <w:rPr>
                <w:rStyle w:val="34"/>
                <w:bdr w:val="none" w:color="auto" w:sz="0" w:space="0"/>
                <w:lang w:val="en-US" w:eastAsia="zh-CN" w:bidi="ar"/>
              </w:rPr>
              <w:t>、不理解</w:t>
            </w:r>
          </w:p>
        </w:tc>
        <w:tc>
          <w:tcPr>
            <w:tcW w:w="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5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33"/>
                <w:rFonts w:eastAsia="宋体"/>
                <w:bdr w:val="none" w:color="auto" w:sz="0" w:space="0"/>
                <w:lang w:val="en-US" w:eastAsia="zh-CN" w:bidi="ar"/>
              </w:rPr>
              <w:t>6</w:t>
            </w:r>
            <w:r>
              <w:rPr>
                <w:rStyle w:val="34"/>
                <w:bdr w:val="none" w:color="auto" w:sz="0" w:space="0"/>
                <w:lang w:val="en-US" w:eastAsia="zh-CN" w:bidi="ar"/>
              </w:rPr>
              <w:t>、您对医保政策及经办机构的总体评价是？</w:t>
            </w:r>
          </w:p>
        </w:tc>
        <w:tc>
          <w:tcPr>
            <w:tcW w:w="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5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33"/>
                <w:rFonts w:eastAsia="宋体"/>
                <w:bdr w:val="none" w:color="auto" w:sz="0" w:space="0"/>
                <w:lang w:val="en-US" w:eastAsia="zh-CN" w:bidi="ar"/>
              </w:rPr>
              <w:t>A</w:t>
            </w:r>
            <w:r>
              <w:rPr>
                <w:rStyle w:val="34"/>
                <w:bdr w:val="none" w:color="auto" w:sz="0" w:space="0"/>
                <w:lang w:val="en-US" w:eastAsia="zh-CN" w:bidi="ar"/>
              </w:rPr>
              <w:t>、</w:t>
            </w:r>
            <w:r>
              <w:rPr>
                <w:rStyle w:val="33"/>
                <w:rFonts w:eastAsia="宋体"/>
                <w:bdr w:val="none" w:color="auto" w:sz="0" w:space="0"/>
                <w:lang w:val="en-US" w:eastAsia="zh-CN" w:bidi="ar"/>
              </w:rPr>
              <w:t xml:space="preserve"> </w:t>
            </w:r>
            <w:r>
              <w:rPr>
                <w:rStyle w:val="34"/>
                <w:bdr w:val="none" w:color="auto" w:sz="0" w:space="0"/>
                <w:lang w:val="en-US" w:eastAsia="zh-CN" w:bidi="ar"/>
              </w:rPr>
              <w:t>满意</w:t>
            </w:r>
          </w:p>
        </w:tc>
        <w:tc>
          <w:tcPr>
            <w:tcW w:w="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</w:t>
            </w:r>
          </w:p>
        </w:tc>
        <w:tc>
          <w:tcPr>
            <w:tcW w:w="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96.40%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5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33"/>
                <w:rFonts w:eastAsia="宋体"/>
                <w:bdr w:val="none" w:color="auto" w:sz="0" w:space="0"/>
                <w:lang w:val="en-US" w:eastAsia="zh-CN" w:bidi="ar"/>
              </w:rPr>
              <w:t>B</w:t>
            </w:r>
            <w:r>
              <w:rPr>
                <w:rStyle w:val="34"/>
                <w:bdr w:val="none" w:color="auto" w:sz="0" w:space="0"/>
                <w:lang w:val="en-US" w:eastAsia="zh-CN" w:bidi="ar"/>
              </w:rPr>
              <w:t>、基本满意</w:t>
            </w:r>
          </w:p>
        </w:tc>
        <w:tc>
          <w:tcPr>
            <w:tcW w:w="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3.75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5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33"/>
                <w:rFonts w:eastAsia="宋体"/>
                <w:bdr w:val="none" w:color="auto" w:sz="0" w:space="0"/>
                <w:lang w:val="en-US" w:eastAsia="zh-CN" w:bidi="ar"/>
              </w:rPr>
              <w:t>C</w:t>
            </w:r>
            <w:r>
              <w:rPr>
                <w:rStyle w:val="34"/>
                <w:bdr w:val="none" w:color="auto" w:sz="0" w:space="0"/>
                <w:lang w:val="en-US" w:eastAsia="zh-CN" w:bidi="ar"/>
              </w:rPr>
              <w:t>、不满意</w:t>
            </w:r>
          </w:p>
        </w:tc>
        <w:tc>
          <w:tcPr>
            <w:tcW w:w="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</w:tbl>
    <w:p>
      <w:pPr>
        <w:widowControl/>
        <w:jc w:val="left"/>
      </w:pPr>
    </w:p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S Gothic">
    <w:panose1 w:val="020B0609070205080204"/>
    <w:charset w:val="80"/>
    <w:family w:val="modern"/>
    <w:pitch w:val="default"/>
    <w:sig w:usb0="E00002FF" w:usb1="6AC7FDFB" w:usb2="00000012" w:usb3="00000000" w:csb0="4002009F" w:csb1="DFD7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楷体">
    <w:altName w:val="楷体_GB2312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Segoe UI">
    <w:panose1 w:val="020B0502040204020203"/>
    <w:charset w:val="00"/>
    <w:family w:val="auto"/>
    <w:pitch w:val="default"/>
    <w:sig w:usb0="E10022FF" w:usb1="C000E47F" w:usb2="00000029" w:usb3="00000000" w:csb0="200001DF" w:csb1="2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ind w:right="280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</w:t>
    </w:r>
    <w:r>
      <w:rPr>
        <w:rFonts w:ascii="宋体" w:hAnsi="宋体"/>
        <w:sz w:val="28"/>
        <w:szCs w:val="28"/>
      </w:rPr>
      <w:fldChar w:fldCharType="end"/>
    </w:r>
  </w:p>
  <w:p>
    <w:pPr>
      <w:pStyle w:val="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rPr>
        <w:rFonts w:ascii="宋体" w:hAnsi="宋体"/>
        <w:sz w:val="28"/>
        <w:szCs w:val="28"/>
      </w:rPr>
    </w:pPr>
    <w:r>
      <w:rPr>
        <w:rFonts w:hint="eastAsia" w:ascii="宋体" w:hAnsi="宋体"/>
        <w:sz w:val="28"/>
        <w:szCs w:val="28"/>
      </w:rPr>
      <w:t xml:space="preserve"> </w:t>
    </w: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-</w:t>
    </w:r>
    <w:r>
      <w:rPr>
        <w:rFonts w:ascii="宋体" w:hAnsi="宋体"/>
        <w:sz w:val="28"/>
        <w:szCs w:val="28"/>
      </w:rPr>
      <w:t xml:space="preserve"> 4 -</w:t>
    </w:r>
    <w:r>
      <w:rPr>
        <w:rFonts w:ascii="宋体" w:hAnsi="宋体"/>
        <w:sz w:val="28"/>
        <w:szCs w:val="28"/>
      </w:rPr>
      <w:fldChar w:fldCharType="end"/>
    </w:r>
  </w:p>
  <w:p>
    <w:pPr>
      <w:pStyle w:val="8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6D0690"/>
    <w:multiLevelType w:val="multilevel"/>
    <w:tmpl w:val="356D0690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1NjcxNmUxNjVlZTNkMTc1NDcxYzc5YTEzNWYyMDYifQ=="/>
  </w:docVars>
  <w:rsids>
    <w:rsidRoot w:val="00192156"/>
    <w:rsid w:val="0000272A"/>
    <w:rsid w:val="000074DB"/>
    <w:rsid w:val="000101D3"/>
    <w:rsid w:val="000215E7"/>
    <w:rsid w:val="00024B78"/>
    <w:rsid w:val="000333B7"/>
    <w:rsid w:val="000369D0"/>
    <w:rsid w:val="00045A25"/>
    <w:rsid w:val="000466BE"/>
    <w:rsid w:val="00050B99"/>
    <w:rsid w:val="000521A2"/>
    <w:rsid w:val="00060E82"/>
    <w:rsid w:val="000618D5"/>
    <w:rsid w:val="00071A73"/>
    <w:rsid w:val="00087AD9"/>
    <w:rsid w:val="000921B9"/>
    <w:rsid w:val="00094DDF"/>
    <w:rsid w:val="00096024"/>
    <w:rsid w:val="00096BEA"/>
    <w:rsid w:val="000A060D"/>
    <w:rsid w:val="000A0BD2"/>
    <w:rsid w:val="000A2B01"/>
    <w:rsid w:val="000A3270"/>
    <w:rsid w:val="000B05BB"/>
    <w:rsid w:val="000B24DC"/>
    <w:rsid w:val="000C07BA"/>
    <w:rsid w:val="000C3815"/>
    <w:rsid w:val="000C3EFC"/>
    <w:rsid w:val="000C6717"/>
    <w:rsid w:val="000D56B4"/>
    <w:rsid w:val="000E18F6"/>
    <w:rsid w:val="000F77CE"/>
    <w:rsid w:val="001004CC"/>
    <w:rsid w:val="00100BCA"/>
    <w:rsid w:val="001018B2"/>
    <w:rsid w:val="00110A25"/>
    <w:rsid w:val="00111B1D"/>
    <w:rsid w:val="00125A14"/>
    <w:rsid w:val="00130D97"/>
    <w:rsid w:val="00136701"/>
    <w:rsid w:val="00136886"/>
    <w:rsid w:val="001415D0"/>
    <w:rsid w:val="00142159"/>
    <w:rsid w:val="00150D36"/>
    <w:rsid w:val="001536B6"/>
    <w:rsid w:val="001620B3"/>
    <w:rsid w:val="00165688"/>
    <w:rsid w:val="00170D4C"/>
    <w:rsid w:val="001734CA"/>
    <w:rsid w:val="00174CDA"/>
    <w:rsid w:val="0017600E"/>
    <w:rsid w:val="00181564"/>
    <w:rsid w:val="00181FC4"/>
    <w:rsid w:val="00184AD9"/>
    <w:rsid w:val="0019017C"/>
    <w:rsid w:val="00191913"/>
    <w:rsid w:val="00191969"/>
    <w:rsid w:val="00192156"/>
    <w:rsid w:val="00192ACC"/>
    <w:rsid w:val="001940C5"/>
    <w:rsid w:val="001A0A5F"/>
    <w:rsid w:val="001A0D99"/>
    <w:rsid w:val="001A3CC7"/>
    <w:rsid w:val="001A58CB"/>
    <w:rsid w:val="001A5C8B"/>
    <w:rsid w:val="001A694B"/>
    <w:rsid w:val="001C4318"/>
    <w:rsid w:val="001D1E4C"/>
    <w:rsid w:val="001D3226"/>
    <w:rsid w:val="001D4994"/>
    <w:rsid w:val="001D5615"/>
    <w:rsid w:val="001D6B55"/>
    <w:rsid w:val="001E02D9"/>
    <w:rsid w:val="001F1D49"/>
    <w:rsid w:val="001F43A9"/>
    <w:rsid w:val="00204E47"/>
    <w:rsid w:val="002124CD"/>
    <w:rsid w:val="00220B48"/>
    <w:rsid w:val="00225F36"/>
    <w:rsid w:val="00234311"/>
    <w:rsid w:val="00235D77"/>
    <w:rsid w:val="002366F3"/>
    <w:rsid w:val="00237881"/>
    <w:rsid w:val="002422EF"/>
    <w:rsid w:val="00242E8D"/>
    <w:rsid w:val="002508AE"/>
    <w:rsid w:val="002604CF"/>
    <w:rsid w:val="00261501"/>
    <w:rsid w:val="002744D0"/>
    <w:rsid w:val="0029361A"/>
    <w:rsid w:val="002A178C"/>
    <w:rsid w:val="002A2144"/>
    <w:rsid w:val="002B369A"/>
    <w:rsid w:val="002B4F16"/>
    <w:rsid w:val="002C668E"/>
    <w:rsid w:val="002C7793"/>
    <w:rsid w:val="002D275C"/>
    <w:rsid w:val="002D4264"/>
    <w:rsid w:val="002D42FC"/>
    <w:rsid w:val="002D706D"/>
    <w:rsid w:val="002E0890"/>
    <w:rsid w:val="002E0C00"/>
    <w:rsid w:val="002E385F"/>
    <w:rsid w:val="002E5523"/>
    <w:rsid w:val="002F127F"/>
    <w:rsid w:val="003035A5"/>
    <w:rsid w:val="00312D71"/>
    <w:rsid w:val="00313C97"/>
    <w:rsid w:val="003146B2"/>
    <w:rsid w:val="003156F3"/>
    <w:rsid w:val="00315762"/>
    <w:rsid w:val="00320D45"/>
    <w:rsid w:val="00340B74"/>
    <w:rsid w:val="003531EE"/>
    <w:rsid w:val="00361095"/>
    <w:rsid w:val="00363B11"/>
    <w:rsid w:val="003675A0"/>
    <w:rsid w:val="003678D7"/>
    <w:rsid w:val="00371894"/>
    <w:rsid w:val="00371DFA"/>
    <w:rsid w:val="00372401"/>
    <w:rsid w:val="00380174"/>
    <w:rsid w:val="003856EB"/>
    <w:rsid w:val="00387B35"/>
    <w:rsid w:val="003901E3"/>
    <w:rsid w:val="00392656"/>
    <w:rsid w:val="003A49CC"/>
    <w:rsid w:val="003B02B9"/>
    <w:rsid w:val="003B5B2B"/>
    <w:rsid w:val="003B6E6D"/>
    <w:rsid w:val="003B756F"/>
    <w:rsid w:val="003C18CB"/>
    <w:rsid w:val="003C5226"/>
    <w:rsid w:val="003C6FDE"/>
    <w:rsid w:val="003D2AE8"/>
    <w:rsid w:val="003D2CB7"/>
    <w:rsid w:val="003D485F"/>
    <w:rsid w:val="003D4A34"/>
    <w:rsid w:val="003E0F29"/>
    <w:rsid w:val="003E4174"/>
    <w:rsid w:val="003F4B38"/>
    <w:rsid w:val="003F6BFC"/>
    <w:rsid w:val="00404086"/>
    <w:rsid w:val="004076F9"/>
    <w:rsid w:val="00414837"/>
    <w:rsid w:val="004174E4"/>
    <w:rsid w:val="00424B8B"/>
    <w:rsid w:val="00435926"/>
    <w:rsid w:val="004359DB"/>
    <w:rsid w:val="00440DEA"/>
    <w:rsid w:val="00440F97"/>
    <w:rsid w:val="004419E1"/>
    <w:rsid w:val="0044342B"/>
    <w:rsid w:val="004454AB"/>
    <w:rsid w:val="00446658"/>
    <w:rsid w:val="00447963"/>
    <w:rsid w:val="00451915"/>
    <w:rsid w:val="0045354D"/>
    <w:rsid w:val="00454634"/>
    <w:rsid w:val="00454DAA"/>
    <w:rsid w:val="00472677"/>
    <w:rsid w:val="00485168"/>
    <w:rsid w:val="004856D4"/>
    <w:rsid w:val="00495C77"/>
    <w:rsid w:val="004973DF"/>
    <w:rsid w:val="004A0BD6"/>
    <w:rsid w:val="004A1978"/>
    <w:rsid w:val="004A4078"/>
    <w:rsid w:val="004A4AF4"/>
    <w:rsid w:val="004A7640"/>
    <w:rsid w:val="004B1709"/>
    <w:rsid w:val="004B4FEE"/>
    <w:rsid w:val="004B5493"/>
    <w:rsid w:val="004C3A42"/>
    <w:rsid w:val="004D1ABC"/>
    <w:rsid w:val="004D26B9"/>
    <w:rsid w:val="004D40A5"/>
    <w:rsid w:val="004D6527"/>
    <w:rsid w:val="004E1C52"/>
    <w:rsid w:val="004E4A47"/>
    <w:rsid w:val="004E4C61"/>
    <w:rsid w:val="004F4190"/>
    <w:rsid w:val="0051355C"/>
    <w:rsid w:val="00515190"/>
    <w:rsid w:val="005171A0"/>
    <w:rsid w:val="00522049"/>
    <w:rsid w:val="005345A9"/>
    <w:rsid w:val="00535F35"/>
    <w:rsid w:val="005442AC"/>
    <w:rsid w:val="00553264"/>
    <w:rsid w:val="00557D02"/>
    <w:rsid w:val="00560675"/>
    <w:rsid w:val="00560F97"/>
    <w:rsid w:val="00564E0E"/>
    <w:rsid w:val="00570AB0"/>
    <w:rsid w:val="00571627"/>
    <w:rsid w:val="005772D9"/>
    <w:rsid w:val="005848DF"/>
    <w:rsid w:val="0058504B"/>
    <w:rsid w:val="00585324"/>
    <w:rsid w:val="00594322"/>
    <w:rsid w:val="005968DC"/>
    <w:rsid w:val="00597164"/>
    <w:rsid w:val="005A1497"/>
    <w:rsid w:val="005A3389"/>
    <w:rsid w:val="005A3705"/>
    <w:rsid w:val="005B31B8"/>
    <w:rsid w:val="005B6FBE"/>
    <w:rsid w:val="005C40B9"/>
    <w:rsid w:val="005C57DA"/>
    <w:rsid w:val="005D0437"/>
    <w:rsid w:val="005D2B08"/>
    <w:rsid w:val="005D40C0"/>
    <w:rsid w:val="005D654E"/>
    <w:rsid w:val="005D6859"/>
    <w:rsid w:val="005D68D6"/>
    <w:rsid w:val="005E125C"/>
    <w:rsid w:val="005E4262"/>
    <w:rsid w:val="005E55E1"/>
    <w:rsid w:val="005F3419"/>
    <w:rsid w:val="005F3CBA"/>
    <w:rsid w:val="005F5137"/>
    <w:rsid w:val="006355FE"/>
    <w:rsid w:val="00662F34"/>
    <w:rsid w:val="00663774"/>
    <w:rsid w:val="00677348"/>
    <w:rsid w:val="00677646"/>
    <w:rsid w:val="00677834"/>
    <w:rsid w:val="006831EE"/>
    <w:rsid w:val="00685395"/>
    <w:rsid w:val="006948E0"/>
    <w:rsid w:val="006965E7"/>
    <w:rsid w:val="00697520"/>
    <w:rsid w:val="006A14C4"/>
    <w:rsid w:val="006A3FD5"/>
    <w:rsid w:val="006A4236"/>
    <w:rsid w:val="006A45AC"/>
    <w:rsid w:val="006B3063"/>
    <w:rsid w:val="006B46ED"/>
    <w:rsid w:val="006B79CA"/>
    <w:rsid w:val="006B7B07"/>
    <w:rsid w:val="006C0B18"/>
    <w:rsid w:val="006C19E0"/>
    <w:rsid w:val="006C3746"/>
    <w:rsid w:val="006C4310"/>
    <w:rsid w:val="006D502B"/>
    <w:rsid w:val="006D7757"/>
    <w:rsid w:val="006E02E2"/>
    <w:rsid w:val="006E038A"/>
    <w:rsid w:val="006E0AD0"/>
    <w:rsid w:val="006E26BC"/>
    <w:rsid w:val="006E4B18"/>
    <w:rsid w:val="006F22E5"/>
    <w:rsid w:val="006F51A9"/>
    <w:rsid w:val="006F58EC"/>
    <w:rsid w:val="006F695F"/>
    <w:rsid w:val="006F7CAD"/>
    <w:rsid w:val="007000CC"/>
    <w:rsid w:val="00701870"/>
    <w:rsid w:val="00722E7A"/>
    <w:rsid w:val="00735BB1"/>
    <w:rsid w:val="007402AB"/>
    <w:rsid w:val="0074108F"/>
    <w:rsid w:val="00752C25"/>
    <w:rsid w:val="00754E89"/>
    <w:rsid w:val="0075594B"/>
    <w:rsid w:val="00761524"/>
    <w:rsid w:val="00761D96"/>
    <w:rsid w:val="00761E26"/>
    <w:rsid w:val="00767873"/>
    <w:rsid w:val="00767FE9"/>
    <w:rsid w:val="00770481"/>
    <w:rsid w:val="007707B8"/>
    <w:rsid w:val="00776D2C"/>
    <w:rsid w:val="00780B10"/>
    <w:rsid w:val="0078356B"/>
    <w:rsid w:val="00784FB4"/>
    <w:rsid w:val="0079117B"/>
    <w:rsid w:val="0079327B"/>
    <w:rsid w:val="0079799B"/>
    <w:rsid w:val="007A06D9"/>
    <w:rsid w:val="007A090C"/>
    <w:rsid w:val="007A102C"/>
    <w:rsid w:val="007A32A4"/>
    <w:rsid w:val="007A5CDE"/>
    <w:rsid w:val="007A5E2F"/>
    <w:rsid w:val="007B23E7"/>
    <w:rsid w:val="007B4F28"/>
    <w:rsid w:val="007B718E"/>
    <w:rsid w:val="007B7D9A"/>
    <w:rsid w:val="007C2C6A"/>
    <w:rsid w:val="007C3293"/>
    <w:rsid w:val="007C414E"/>
    <w:rsid w:val="007C78D7"/>
    <w:rsid w:val="007D1928"/>
    <w:rsid w:val="007D54F8"/>
    <w:rsid w:val="007D78C2"/>
    <w:rsid w:val="007E2AE4"/>
    <w:rsid w:val="007E67F8"/>
    <w:rsid w:val="007E7F05"/>
    <w:rsid w:val="007F2134"/>
    <w:rsid w:val="007F2698"/>
    <w:rsid w:val="007F5F7E"/>
    <w:rsid w:val="0080213C"/>
    <w:rsid w:val="008031B2"/>
    <w:rsid w:val="00806E3D"/>
    <w:rsid w:val="00807923"/>
    <w:rsid w:val="008134B8"/>
    <w:rsid w:val="008177FE"/>
    <w:rsid w:val="008205EA"/>
    <w:rsid w:val="00820E94"/>
    <w:rsid w:val="00823B83"/>
    <w:rsid w:val="00824785"/>
    <w:rsid w:val="00832AB1"/>
    <w:rsid w:val="00835200"/>
    <w:rsid w:val="00835705"/>
    <w:rsid w:val="00842350"/>
    <w:rsid w:val="00845612"/>
    <w:rsid w:val="00853410"/>
    <w:rsid w:val="00856E3F"/>
    <w:rsid w:val="00857795"/>
    <w:rsid w:val="00867CFD"/>
    <w:rsid w:val="00873446"/>
    <w:rsid w:val="00876C69"/>
    <w:rsid w:val="00881C34"/>
    <w:rsid w:val="00881C4F"/>
    <w:rsid w:val="00890C89"/>
    <w:rsid w:val="008A0412"/>
    <w:rsid w:val="008A10FF"/>
    <w:rsid w:val="008A5F56"/>
    <w:rsid w:val="008B05BA"/>
    <w:rsid w:val="008B24DA"/>
    <w:rsid w:val="008B4131"/>
    <w:rsid w:val="008B4B5B"/>
    <w:rsid w:val="008C59DC"/>
    <w:rsid w:val="008D0D42"/>
    <w:rsid w:val="008D28BC"/>
    <w:rsid w:val="008D5B68"/>
    <w:rsid w:val="008D7C61"/>
    <w:rsid w:val="008E1FE0"/>
    <w:rsid w:val="008E495C"/>
    <w:rsid w:val="008F48A2"/>
    <w:rsid w:val="009065BE"/>
    <w:rsid w:val="00907379"/>
    <w:rsid w:val="00907AA8"/>
    <w:rsid w:val="00910BC3"/>
    <w:rsid w:val="0091165E"/>
    <w:rsid w:val="00911A94"/>
    <w:rsid w:val="009130CE"/>
    <w:rsid w:val="00924F87"/>
    <w:rsid w:val="00927967"/>
    <w:rsid w:val="00931F35"/>
    <w:rsid w:val="00932F06"/>
    <w:rsid w:val="00934E8E"/>
    <w:rsid w:val="00935C4C"/>
    <w:rsid w:val="00936045"/>
    <w:rsid w:val="0094070D"/>
    <w:rsid w:val="00944814"/>
    <w:rsid w:val="0094537C"/>
    <w:rsid w:val="00947C62"/>
    <w:rsid w:val="00951B0E"/>
    <w:rsid w:val="0095617D"/>
    <w:rsid w:val="00957C1C"/>
    <w:rsid w:val="00962DFE"/>
    <w:rsid w:val="0096782D"/>
    <w:rsid w:val="0097214E"/>
    <w:rsid w:val="00977AAC"/>
    <w:rsid w:val="00977C29"/>
    <w:rsid w:val="00983B74"/>
    <w:rsid w:val="009861E0"/>
    <w:rsid w:val="009969DA"/>
    <w:rsid w:val="009A3615"/>
    <w:rsid w:val="009A365D"/>
    <w:rsid w:val="009A77F1"/>
    <w:rsid w:val="009B1385"/>
    <w:rsid w:val="009B1866"/>
    <w:rsid w:val="009C2658"/>
    <w:rsid w:val="009C27D3"/>
    <w:rsid w:val="009C2F66"/>
    <w:rsid w:val="009C3BD3"/>
    <w:rsid w:val="009C7648"/>
    <w:rsid w:val="009D4128"/>
    <w:rsid w:val="009D76CB"/>
    <w:rsid w:val="009F2544"/>
    <w:rsid w:val="009F32A9"/>
    <w:rsid w:val="009F35ED"/>
    <w:rsid w:val="009F4C85"/>
    <w:rsid w:val="009F72A7"/>
    <w:rsid w:val="00A01EE0"/>
    <w:rsid w:val="00A051B8"/>
    <w:rsid w:val="00A06889"/>
    <w:rsid w:val="00A11B4B"/>
    <w:rsid w:val="00A11DD2"/>
    <w:rsid w:val="00A17ADE"/>
    <w:rsid w:val="00A20AEF"/>
    <w:rsid w:val="00A21E90"/>
    <w:rsid w:val="00A2377B"/>
    <w:rsid w:val="00A40563"/>
    <w:rsid w:val="00A42F87"/>
    <w:rsid w:val="00A47824"/>
    <w:rsid w:val="00A54D46"/>
    <w:rsid w:val="00A62D7B"/>
    <w:rsid w:val="00A652B8"/>
    <w:rsid w:val="00A65E7A"/>
    <w:rsid w:val="00A66374"/>
    <w:rsid w:val="00A72594"/>
    <w:rsid w:val="00A760E9"/>
    <w:rsid w:val="00A81393"/>
    <w:rsid w:val="00A843D0"/>
    <w:rsid w:val="00AB036A"/>
    <w:rsid w:val="00AB3763"/>
    <w:rsid w:val="00AD6367"/>
    <w:rsid w:val="00AE0561"/>
    <w:rsid w:val="00AE2143"/>
    <w:rsid w:val="00AE49CA"/>
    <w:rsid w:val="00AE6ADC"/>
    <w:rsid w:val="00AE7672"/>
    <w:rsid w:val="00AF7D29"/>
    <w:rsid w:val="00B042D2"/>
    <w:rsid w:val="00B052BA"/>
    <w:rsid w:val="00B14E30"/>
    <w:rsid w:val="00B161F6"/>
    <w:rsid w:val="00B21D9F"/>
    <w:rsid w:val="00B300D2"/>
    <w:rsid w:val="00B433D1"/>
    <w:rsid w:val="00B45278"/>
    <w:rsid w:val="00B47BE4"/>
    <w:rsid w:val="00B5185E"/>
    <w:rsid w:val="00B607B6"/>
    <w:rsid w:val="00B666F5"/>
    <w:rsid w:val="00B734FE"/>
    <w:rsid w:val="00B76AC0"/>
    <w:rsid w:val="00B8253B"/>
    <w:rsid w:val="00B8783F"/>
    <w:rsid w:val="00B87C65"/>
    <w:rsid w:val="00B91337"/>
    <w:rsid w:val="00B97927"/>
    <w:rsid w:val="00B97CEE"/>
    <w:rsid w:val="00BA5279"/>
    <w:rsid w:val="00BA76C2"/>
    <w:rsid w:val="00BB1245"/>
    <w:rsid w:val="00BB298E"/>
    <w:rsid w:val="00BB73C4"/>
    <w:rsid w:val="00BC24BB"/>
    <w:rsid w:val="00BC6CCB"/>
    <w:rsid w:val="00BC7AA8"/>
    <w:rsid w:val="00BD0690"/>
    <w:rsid w:val="00BD158F"/>
    <w:rsid w:val="00BD3423"/>
    <w:rsid w:val="00BD3BDF"/>
    <w:rsid w:val="00BD710A"/>
    <w:rsid w:val="00BE2410"/>
    <w:rsid w:val="00BE34E9"/>
    <w:rsid w:val="00BE483F"/>
    <w:rsid w:val="00BE61EF"/>
    <w:rsid w:val="00BE6DD0"/>
    <w:rsid w:val="00BE7D69"/>
    <w:rsid w:val="00BF5A3E"/>
    <w:rsid w:val="00C01D7E"/>
    <w:rsid w:val="00C026C4"/>
    <w:rsid w:val="00C04BD1"/>
    <w:rsid w:val="00C06DCA"/>
    <w:rsid w:val="00C1163A"/>
    <w:rsid w:val="00C14858"/>
    <w:rsid w:val="00C17E10"/>
    <w:rsid w:val="00C25820"/>
    <w:rsid w:val="00C36AEA"/>
    <w:rsid w:val="00C50A56"/>
    <w:rsid w:val="00C64664"/>
    <w:rsid w:val="00C666BF"/>
    <w:rsid w:val="00C67850"/>
    <w:rsid w:val="00C7077F"/>
    <w:rsid w:val="00C81FD2"/>
    <w:rsid w:val="00C8454B"/>
    <w:rsid w:val="00C87B9F"/>
    <w:rsid w:val="00C9306D"/>
    <w:rsid w:val="00CB0E8B"/>
    <w:rsid w:val="00CB0FE6"/>
    <w:rsid w:val="00CB2CB4"/>
    <w:rsid w:val="00CB7AAF"/>
    <w:rsid w:val="00CC3CB9"/>
    <w:rsid w:val="00CD48DE"/>
    <w:rsid w:val="00CE385C"/>
    <w:rsid w:val="00CE57DC"/>
    <w:rsid w:val="00CE72E4"/>
    <w:rsid w:val="00CF2D06"/>
    <w:rsid w:val="00CF414E"/>
    <w:rsid w:val="00CF645D"/>
    <w:rsid w:val="00D00BB2"/>
    <w:rsid w:val="00D01D8C"/>
    <w:rsid w:val="00D04DEB"/>
    <w:rsid w:val="00D058E5"/>
    <w:rsid w:val="00D1016B"/>
    <w:rsid w:val="00D131B6"/>
    <w:rsid w:val="00D13985"/>
    <w:rsid w:val="00D163A5"/>
    <w:rsid w:val="00D16413"/>
    <w:rsid w:val="00D204AE"/>
    <w:rsid w:val="00D24532"/>
    <w:rsid w:val="00D24BD9"/>
    <w:rsid w:val="00D355DA"/>
    <w:rsid w:val="00D41C31"/>
    <w:rsid w:val="00D4335B"/>
    <w:rsid w:val="00D462B4"/>
    <w:rsid w:val="00D468DD"/>
    <w:rsid w:val="00D471E3"/>
    <w:rsid w:val="00D47347"/>
    <w:rsid w:val="00D4775B"/>
    <w:rsid w:val="00D525E0"/>
    <w:rsid w:val="00D547F2"/>
    <w:rsid w:val="00D6134E"/>
    <w:rsid w:val="00D65E96"/>
    <w:rsid w:val="00D66E4B"/>
    <w:rsid w:val="00D71FA2"/>
    <w:rsid w:val="00D7444C"/>
    <w:rsid w:val="00D769DD"/>
    <w:rsid w:val="00D83E63"/>
    <w:rsid w:val="00D8556B"/>
    <w:rsid w:val="00D85EEF"/>
    <w:rsid w:val="00D86643"/>
    <w:rsid w:val="00D918E0"/>
    <w:rsid w:val="00D9492B"/>
    <w:rsid w:val="00D94C8F"/>
    <w:rsid w:val="00DA00B7"/>
    <w:rsid w:val="00DA0B12"/>
    <w:rsid w:val="00DA2DB4"/>
    <w:rsid w:val="00DA4411"/>
    <w:rsid w:val="00DA4CDC"/>
    <w:rsid w:val="00DA6DFB"/>
    <w:rsid w:val="00DB028F"/>
    <w:rsid w:val="00DC2FB6"/>
    <w:rsid w:val="00DD0035"/>
    <w:rsid w:val="00DD1FB9"/>
    <w:rsid w:val="00DD515E"/>
    <w:rsid w:val="00DE358A"/>
    <w:rsid w:val="00DF0606"/>
    <w:rsid w:val="00DF2A89"/>
    <w:rsid w:val="00DF42D7"/>
    <w:rsid w:val="00E03BEA"/>
    <w:rsid w:val="00E1797D"/>
    <w:rsid w:val="00E21407"/>
    <w:rsid w:val="00E216D3"/>
    <w:rsid w:val="00E21D70"/>
    <w:rsid w:val="00E24B64"/>
    <w:rsid w:val="00E360E7"/>
    <w:rsid w:val="00E3787E"/>
    <w:rsid w:val="00E43C5C"/>
    <w:rsid w:val="00E46AB6"/>
    <w:rsid w:val="00E54696"/>
    <w:rsid w:val="00E550F4"/>
    <w:rsid w:val="00E56F20"/>
    <w:rsid w:val="00E675BC"/>
    <w:rsid w:val="00E67788"/>
    <w:rsid w:val="00E72083"/>
    <w:rsid w:val="00E735AC"/>
    <w:rsid w:val="00E9257E"/>
    <w:rsid w:val="00E95998"/>
    <w:rsid w:val="00EA06A4"/>
    <w:rsid w:val="00EB77C9"/>
    <w:rsid w:val="00EC7E99"/>
    <w:rsid w:val="00ED5B06"/>
    <w:rsid w:val="00EE003E"/>
    <w:rsid w:val="00EE180A"/>
    <w:rsid w:val="00EE242C"/>
    <w:rsid w:val="00EE301D"/>
    <w:rsid w:val="00EE4D22"/>
    <w:rsid w:val="00EF78BC"/>
    <w:rsid w:val="00F031B3"/>
    <w:rsid w:val="00F068E0"/>
    <w:rsid w:val="00F11311"/>
    <w:rsid w:val="00F12AC9"/>
    <w:rsid w:val="00F13DB6"/>
    <w:rsid w:val="00F168DE"/>
    <w:rsid w:val="00F16DF3"/>
    <w:rsid w:val="00F27FBA"/>
    <w:rsid w:val="00F33D0D"/>
    <w:rsid w:val="00F42C4A"/>
    <w:rsid w:val="00F4495A"/>
    <w:rsid w:val="00F46070"/>
    <w:rsid w:val="00F47D94"/>
    <w:rsid w:val="00F53E48"/>
    <w:rsid w:val="00F61B60"/>
    <w:rsid w:val="00F62210"/>
    <w:rsid w:val="00F67DCF"/>
    <w:rsid w:val="00F835A3"/>
    <w:rsid w:val="00F8480F"/>
    <w:rsid w:val="00FA133C"/>
    <w:rsid w:val="00FA1C4B"/>
    <w:rsid w:val="00FB08F6"/>
    <w:rsid w:val="00FC23C7"/>
    <w:rsid w:val="00FC7560"/>
    <w:rsid w:val="00FD5131"/>
    <w:rsid w:val="00FD5EB9"/>
    <w:rsid w:val="00FE02A9"/>
    <w:rsid w:val="00FE2DAA"/>
    <w:rsid w:val="00FE4D3A"/>
    <w:rsid w:val="00FE721E"/>
    <w:rsid w:val="00FF13A9"/>
    <w:rsid w:val="00FF1A73"/>
    <w:rsid w:val="00FF4300"/>
    <w:rsid w:val="01192C1F"/>
    <w:rsid w:val="01306371"/>
    <w:rsid w:val="013F4189"/>
    <w:rsid w:val="0473553C"/>
    <w:rsid w:val="049F168E"/>
    <w:rsid w:val="04F84B98"/>
    <w:rsid w:val="06BA3E29"/>
    <w:rsid w:val="07B21C22"/>
    <w:rsid w:val="0D014B4C"/>
    <w:rsid w:val="0D133B47"/>
    <w:rsid w:val="110831BA"/>
    <w:rsid w:val="13E4128A"/>
    <w:rsid w:val="14254DE1"/>
    <w:rsid w:val="146D4ED5"/>
    <w:rsid w:val="15051E29"/>
    <w:rsid w:val="1580063C"/>
    <w:rsid w:val="15CA0768"/>
    <w:rsid w:val="15DE3E4D"/>
    <w:rsid w:val="16F716AA"/>
    <w:rsid w:val="17A428C0"/>
    <w:rsid w:val="1AFB0E3B"/>
    <w:rsid w:val="1BD792BA"/>
    <w:rsid w:val="1C4E7164"/>
    <w:rsid w:val="1F1745F6"/>
    <w:rsid w:val="20C41DED"/>
    <w:rsid w:val="20E424AA"/>
    <w:rsid w:val="23DD1433"/>
    <w:rsid w:val="246B4C91"/>
    <w:rsid w:val="26567DF3"/>
    <w:rsid w:val="27FA6A3D"/>
    <w:rsid w:val="28403593"/>
    <w:rsid w:val="28E3573D"/>
    <w:rsid w:val="297B38E0"/>
    <w:rsid w:val="2B404781"/>
    <w:rsid w:val="2B886795"/>
    <w:rsid w:val="2F1B4A9E"/>
    <w:rsid w:val="2FC40521"/>
    <w:rsid w:val="2FFC4CEE"/>
    <w:rsid w:val="327B210D"/>
    <w:rsid w:val="32A40648"/>
    <w:rsid w:val="33B43F5E"/>
    <w:rsid w:val="34AA5361"/>
    <w:rsid w:val="35556599"/>
    <w:rsid w:val="357331BF"/>
    <w:rsid w:val="36E50873"/>
    <w:rsid w:val="399A59A4"/>
    <w:rsid w:val="39EC3A8B"/>
    <w:rsid w:val="3A555125"/>
    <w:rsid w:val="3B194449"/>
    <w:rsid w:val="3BDB3226"/>
    <w:rsid w:val="3CB74ABF"/>
    <w:rsid w:val="3CFE57A8"/>
    <w:rsid w:val="3D17003D"/>
    <w:rsid w:val="3D6563A7"/>
    <w:rsid w:val="3E66679D"/>
    <w:rsid w:val="3EB75BFF"/>
    <w:rsid w:val="3ECF4342"/>
    <w:rsid w:val="40C0244C"/>
    <w:rsid w:val="40E37C31"/>
    <w:rsid w:val="410305B7"/>
    <w:rsid w:val="41BA3250"/>
    <w:rsid w:val="41FF10FA"/>
    <w:rsid w:val="43707776"/>
    <w:rsid w:val="44444E8A"/>
    <w:rsid w:val="44C06BEE"/>
    <w:rsid w:val="44CF2979"/>
    <w:rsid w:val="469C1979"/>
    <w:rsid w:val="478278C8"/>
    <w:rsid w:val="47C93C70"/>
    <w:rsid w:val="496C1C2B"/>
    <w:rsid w:val="49AD38A4"/>
    <w:rsid w:val="4A5751EC"/>
    <w:rsid w:val="4A68578C"/>
    <w:rsid w:val="4AB8212E"/>
    <w:rsid w:val="4C437C7F"/>
    <w:rsid w:val="4C9359B0"/>
    <w:rsid w:val="4EDB5E9F"/>
    <w:rsid w:val="4FC20464"/>
    <w:rsid w:val="51121E6C"/>
    <w:rsid w:val="51E15998"/>
    <w:rsid w:val="525C5A95"/>
    <w:rsid w:val="526037D7"/>
    <w:rsid w:val="53AB7FDC"/>
    <w:rsid w:val="54316F16"/>
    <w:rsid w:val="54AB3C68"/>
    <w:rsid w:val="566716E3"/>
    <w:rsid w:val="569F0646"/>
    <w:rsid w:val="58242DA9"/>
    <w:rsid w:val="58B31C49"/>
    <w:rsid w:val="59D746B8"/>
    <w:rsid w:val="5B2737C9"/>
    <w:rsid w:val="5B3965B8"/>
    <w:rsid w:val="5C182A2D"/>
    <w:rsid w:val="5C736320"/>
    <w:rsid w:val="5E8F794D"/>
    <w:rsid w:val="5F895B70"/>
    <w:rsid w:val="5F9C8719"/>
    <w:rsid w:val="5FF43F05"/>
    <w:rsid w:val="61A811DF"/>
    <w:rsid w:val="6329551F"/>
    <w:rsid w:val="63B401A2"/>
    <w:rsid w:val="64266808"/>
    <w:rsid w:val="64950B2B"/>
    <w:rsid w:val="65C854C3"/>
    <w:rsid w:val="667E2026"/>
    <w:rsid w:val="66B861BB"/>
    <w:rsid w:val="674C7A59"/>
    <w:rsid w:val="6B394E64"/>
    <w:rsid w:val="6D0D5EB2"/>
    <w:rsid w:val="6D3026B2"/>
    <w:rsid w:val="6D562079"/>
    <w:rsid w:val="6DF8D820"/>
    <w:rsid w:val="6E2733A8"/>
    <w:rsid w:val="6F3239AE"/>
    <w:rsid w:val="6FED328C"/>
    <w:rsid w:val="6FF40828"/>
    <w:rsid w:val="70510247"/>
    <w:rsid w:val="70627164"/>
    <w:rsid w:val="71033854"/>
    <w:rsid w:val="71373859"/>
    <w:rsid w:val="732453BC"/>
    <w:rsid w:val="753051A7"/>
    <w:rsid w:val="75AA41AF"/>
    <w:rsid w:val="76A17EFF"/>
    <w:rsid w:val="778E3A71"/>
    <w:rsid w:val="779BD1C3"/>
    <w:rsid w:val="77CD6E7D"/>
    <w:rsid w:val="78CD678B"/>
    <w:rsid w:val="7AC06311"/>
    <w:rsid w:val="7B777E4F"/>
    <w:rsid w:val="7BBCDE22"/>
    <w:rsid w:val="7C11619D"/>
    <w:rsid w:val="7CE60EA2"/>
    <w:rsid w:val="7D105286"/>
    <w:rsid w:val="7DA43CC8"/>
    <w:rsid w:val="7E196CC7"/>
    <w:rsid w:val="7E851B39"/>
    <w:rsid w:val="7F20091F"/>
    <w:rsid w:val="7F7D9BD7"/>
    <w:rsid w:val="7FE375D3"/>
    <w:rsid w:val="7FFE9D0A"/>
    <w:rsid w:val="7FFFD1BD"/>
    <w:rsid w:val="9AFFE7AB"/>
    <w:rsid w:val="A3B3654A"/>
    <w:rsid w:val="AFFFF606"/>
    <w:rsid w:val="B7DF99F3"/>
    <w:rsid w:val="D3FF4F83"/>
    <w:rsid w:val="D6C765C5"/>
    <w:rsid w:val="DE7B9CEE"/>
    <w:rsid w:val="F35C17EF"/>
    <w:rsid w:val="F3DEDF06"/>
    <w:rsid w:val="F589066F"/>
    <w:rsid w:val="F5C7AFFE"/>
    <w:rsid w:val="F7CE0DBF"/>
    <w:rsid w:val="FD75544E"/>
    <w:rsid w:val="FDDA0E1A"/>
    <w:rsid w:val="FF5BABE2"/>
    <w:rsid w:val="FFC670E8"/>
    <w:rsid w:val="FFD6E599"/>
    <w:rsid w:val="FFDF5F2A"/>
    <w:rsid w:val="FFF31F54"/>
    <w:rsid w:val="FFFF6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semiHidden="0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link w:val="18"/>
    <w:qFormat/>
    <w:uiPriority w:val="0"/>
    <w:pPr>
      <w:keepNext/>
      <w:keepLines/>
      <w:spacing w:before="340" w:after="330" w:line="578" w:lineRule="auto"/>
      <w:outlineLvl w:val="0"/>
    </w:pPr>
    <w:rPr>
      <w:rFonts w:ascii="Times New Roman" w:hAnsi="Times New Roman" w:eastAsia="MS Gothic"/>
      <w:b/>
      <w:bCs/>
      <w:kern w:val="44"/>
      <w:sz w:val="44"/>
      <w:szCs w:val="44"/>
      <w:lang w:val="zh-CN" w:eastAsia="zh-CN"/>
    </w:rPr>
  </w:style>
  <w:style w:type="paragraph" w:styleId="4">
    <w:name w:val="heading 2"/>
    <w:basedOn w:val="1"/>
    <w:next w:val="1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_Style 2"/>
    <w:basedOn w:val="1"/>
    <w:qFormat/>
    <w:uiPriority w:val="99"/>
    <w:pPr>
      <w:spacing w:line="351" w:lineRule="atLeast"/>
      <w:ind w:firstLine="623"/>
      <w:textAlignment w:val="baseline"/>
    </w:pPr>
    <w:rPr>
      <w:rFonts w:eastAsia="仿宋_GB2312"/>
      <w:color w:val="000000"/>
      <w:sz w:val="31"/>
      <w:szCs w:val="31"/>
    </w:rPr>
  </w:style>
  <w:style w:type="paragraph" w:styleId="5">
    <w:name w:val="Normal Indent"/>
    <w:basedOn w:val="1"/>
    <w:link w:val="22"/>
    <w:qFormat/>
    <w:uiPriority w:val="0"/>
    <w:pPr>
      <w:spacing w:line="560" w:lineRule="atLeast"/>
      <w:ind w:firstLine="567"/>
    </w:pPr>
    <w:rPr>
      <w:rFonts w:asciiTheme="minorHAnsi" w:hAnsiTheme="minorHAnsi" w:eastAsiaTheme="minorEastAsia" w:cstheme="minorBidi"/>
      <w:sz w:val="28"/>
    </w:rPr>
  </w:style>
  <w:style w:type="paragraph" w:styleId="6">
    <w:name w:val="Date"/>
    <w:basedOn w:val="1"/>
    <w:next w:val="1"/>
    <w:link w:val="27"/>
    <w:qFormat/>
    <w:uiPriority w:val="0"/>
    <w:pPr>
      <w:ind w:left="100" w:leftChars="2500"/>
    </w:pPr>
    <w:rPr>
      <w:rFonts w:ascii="Times New Roman" w:hAnsi="Times New Roman"/>
      <w:szCs w:val="24"/>
    </w:rPr>
  </w:style>
  <w:style w:type="paragraph" w:styleId="7">
    <w:name w:val="Balloon Text"/>
    <w:basedOn w:val="1"/>
    <w:link w:val="26"/>
    <w:unhideWhenUsed/>
    <w:qFormat/>
    <w:uiPriority w:val="99"/>
    <w:rPr>
      <w:rFonts w:ascii="Times New Roman" w:hAnsi="Times New Roman"/>
      <w:sz w:val="18"/>
      <w:szCs w:val="18"/>
      <w:lang w:val="zh-CN" w:eastAsia="zh-CN"/>
    </w:rPr>
  </w:style>
  <w:style w:type="paragraph" w:styleId="8">
    <w:name w:val="footer"/>
    <w:basedOn w:val="1"/>
    <w:link w:val="19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sz w:val="18"/>
      <w:szCs w:val="18"/>
    </w:rPr>
  </w:style>
  <w:style w:type="paragraph" w:styleId="9">
    <w:name w:val="header"/>
    <w:basedOn w:val="1"/>
    <w:link w:val="2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/>
      <w:sz w:val="18"/>
      <w:szCs w:val="18"/>
    </w:rPr>
  </w:style>
  <w:style w:type="paragraph" w:styleId="10">
    <w:name w:val="toc 1"/>
    <w:basedOn w:val="1"/>
    <w:next w:val="1"/>
    <w:qFormat/>
    <w:uiPriority w:val="0"/>
    <w:pPr>
      <w:tabs>
        <w:tab w:val="right" w:leader="dot" w:pos="9135"/>
      </w:tabs>
      <w:spacing w:line="480" w:lineRule="auto"/>
      <w:ind w:left="105" w:leftChars="50"/>
      <w:jc w:val="center"/>
    </w:pPr>
    <w:rPr>
      <w:rFonts w:ascii="黑体" w:hAnsi="宋体" w:eastAsia="黑体" w:cs="宋体"/>
      <w:color w:val="000000"/>
      <w:kern w:val="0"/>
      <w:sz w:val="32"/>
      <w:szCs w:val="32"/>
    </w:rPr>
  </w:style>
  <w:style w:type="paragraph" w:styleId="11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13">
    <w:name w:val="Table Grid"/>
    <w:basedOn w:val="12"/>
    <w:qFormat/>
    <w:uiPriority w:val="59"/>
    <w:rPr>
      <w:rFonts w:ascii="Calibri" w:hAnsi="Calibri" w:eastAsia="Times New Roman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15">
    <w:name w:val="Strong"/>
    <w:basedOn w:val="14"/>
    <w:qFormat/>
    <w:uiPriority w:val="22"/>
    <w:rPr>
      <w:b/>
    </w:rPr>
  </w:style>
  <w:style w:type="character" w:styleId="16">
    <w:name w:val="page number"/>
    <w:basedOn w:val="14"/>
    <w:qFormat/>
    <w:uiPriority w:val="0"/>
  </w:style>
  <w:style w:type="character" w:styleId="17">
    <w:name w:val="Hyperlink"/>
    <w:qFormat/>
    <w:uiPriority w:val="0"/>
    <w:rPr>
      <w:color w:val="0000FF"/>
      <w:u w:val="single"/>
    </w:rPr>
  </w:style>
  <w:style w:type="character" w:customStyle="1" w:styleId="18">
    <w:name w:val="标题 1 Char"/>
    <w:basedOn w:val="14"/>
    <w:link w:val="3"/>
    <w:qFormat/>
    <w:uiPriority w:val="0"/>
    <w:rPr>
      <w:rFonts w:ascii="Times New Roman" w:hAnsi="Times New Roman" w:eastAsia="MS Gothic" w:cs="Times New Roman"/>
      <w:b/>
      <w:bCs/>
      <w:kern w:val="44"/>
      <w:sz w:val="44"/>
      <w:szCs w:val="44"/>
      <w:lang w:val="zh-CN" w:eastAsia="zh-CN"/>
    </w:rPr>
  </w:style>
  <w:style w:type="character" w:customStyle="1" w:styleId="19">
    <w:name w:val="页脚 Char"/>
    <w:basedOn w:val="14"/>
    <w:link w:val="8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0">
    <w:name w:val="页眉 Char"/>
    <w:basedOn w:val="14"/>
    <w:link w:val="9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21">
    <w:name w:val="页脚 Char Char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22">
    <w:name w:val="正文缩进 Char"/>
    <w:link w:val="5"/>
    <w:qFormat/>
    <w:uiPriority w:val="0"/>
    <w:rPr>
      <w:sz w:val="28"/>
    </w:rPr>
  </w:style>
  <w:style w:type="character" w:customStyle="1" w:styleId="23">
    <w:name w:val="正文啊 Char Char"/>
    <w:link w:val="24"/>
    <w:qFormat/>
    <w:uiPriority w:val="0"/>
    <w:rPr>
      <w:rFonts w:ascii="仿宋_GB2312" w:hAnsi="宋体" w:eastAsia="仿宋_GB2312"/>
      <w:bCs/>
      <w:sz w:val="30"/>
      <w:szCs w:val="30"/>
    </w:rPr>
  </w:style>
  <w:style w:type="paragraph" w:customStyle="1" w:styleId="24">
    <w:name w:val="正文啊"/>
    <w:basedOn w:val="1"/>
    <w:link w:val="23"/>
    <w:qFormat/>
    <w:uiPriority w:val="0"/>
    <w:pPr>
      <w:spacing w:line="560" w:lineRule="exact"/>
      <w:ind w:firstLine="600" w:firstLineChars="200"/>
    </w:pPr>
    <w:rPr>
      <w:rFonts w:ascii="仿宋_GB2312" w:hAnsi="宋体" w:eastAsia="仿宋_GB2312" w:cstheme="minorBidi"/>
      <w:bCs/>
      <w:sz w:val="30"/>
      <w:szCs w:val="30"/>
    </w:rPr>
  </w:style>
  <w:style w:type="paragraph" w:customStyle="1" w:styleId="25">
    <w:name w:val="Char"/>
    <w:basedOn w:val="1"/>
    <w:next w:val="1"/>
    <w:qFormat/>
    <w:uiPriority w:val="0"/>
    <w:pPr>
      <w:widowControl/>
      <w:spacing w:line="360" w:lineRule="auto"/>
      <w:jc w:val="left"/>
    </w:pPr>
    <w:rPr>
      <w:rFonts w:ascii="Times New Roman" w:hAnsi="Times New Roman"/>
      <w:kern w:val="0"/>
      <w:szCs w:val="20"/>
      <w:lang w:eastAsia="en-US"/>
    </w:rPr>
  </w:style>
  <w:style w:type="character" w:customStyle="1" w:styleId="26">
    <w:name w:val="批注框文本 Char"/>
    <w:basedOn w:val="14"/>
    <w:link w:val="7"/>
    <w:qFormat/>
    <w:uiPriority w:val="99"/>
    <w:rPr>
      <w:rFonts w:ascii="Times New Roman" w:hAnsi="Times New Roman" w:eastAsia="宋体" w:cs="Times New Roman"/>
      <w:sz w:val="18"/>
      <w:szCs w:val="18"/>
      <w:lang w:val="zh-CN" w:eastAsia="zh-CN"/>
    </w:rPr>
  </w:style>
  <w:style w:type="character" w:customStyle="1" w:styleId="27">
    <w:name w:val="日期 Char"/>
    <w:basedOn w:val="14"/>
    <w:link w:val="6"/>
    <w:qFormat/>
    <w:uiPriority w:val="0"/>
    <w:rPr>
      <w:rFonts w:ascii="Times New Roman" w:hAnsi="Times New Roman" w:eastAsia="宋体" w:cs="Times New Roman"/>
      <w:szCs w:val="24"/>
    </w:rPr>
  </w:style>
  <w:style w:type="paragraph" w:customStyle="1" w:styleId="28">
    <w:name w:val="Default Paragraph Char Char Char Char"/>
    <w:basedOn w:val="1"/>
    <w:next w:val="1"/>
    <w:qFormat/>
    <w:uiPriority w:val="0"/>
    <w:pPr>
      <w:widowControl/>
      <w:spacing w:line="360" w:lineRule="auto"/>
      <w:jc w:val="center"/>
    </w:pPr>
    <w:rPr>
      <w:rFonts w:ascii="Times New Roman" w:hAnsi="Times New Roman" w:eastAsia="方正小标宋简体"/>
      <w:kern w:val="0"/>
      <w:sz w:val="44"/>
      <w:szCs w:val="20"/>
      <w:lang w:eastAsia="en-US"/>
    </w:rPr>
  </w:style>
  <w:style w:type="character" w:customStyle="1" w:styleId="29">
    <w:name w:val="font11"/>
    <w:basedOn w:val="14"/>
    <w:uiPriority w:val="0"/>
    <w:rPr>
      <w:rFonts w:hint="eastAsia" w:ascii="方正小标宋简体" w:hAnsi="方正小标宋简体" w:eastAsia="方正小标宋简体" w:cs="方正小标宋简体"/>
      <w:color w:val="000000"/>
      <w:sz w:val="40"/>
      <w:szCs w:val="40"/>
      <w:u w:val="none"/>
    </w:rPr>
  </w:style>
  <w:style w:type="character" w:customStyle="1" w:styleId="30">
    <w:name w:val="font71"/>
    <w:basedOn w:val="14"/>
    <w:uiPriority w:val="0"/>
    <w:rPr>
      <w:rFonts w:hint="default" w:ascii="Times New Roman" w:hAnsi="Times New Roman" w:cs="Times New Roman"/>
      <w:color w:val="000000"/>
      <w:sz w:val="40"/>
      <w:szCs w:val="40"/>
      <w:u w:val="none"/>
    </w:rPr>
  </w:style>
  <w:style w:type="character" w:customStyle="1" w:styleId="31">
    <w:name w:val="font41"/>
    <w:basedOn w:val="14"/>
    <w:uiPriority w:val="0"/>
    <w:rPr>
      <w:rFonts w:hint="eastAsia" w:ascii="宋体" w:hAnsi="宋体" w:eastAsia="宋体" w:cs="宋体"/>
      <w:b/>
      <w:color w:val="000000"/>
      <w:sz w:val="24"/>
      <w:szCs w:val="24"/>
      <w:u w:val="none"/>
    </w:rPr>
  </w:style>
  <w:style w:type="character" w:customStyle="1" w:styleId="32">
    <w:name w:val="font101"/>
    <w:basedOn w:val="14"/>
    <w:uiPriority w:val="0"/>
    <w:rPr>
      <w:rFonts w:hint="eastAsia" w:ascii="宋体" w:hAnsi="宋体" w:eastAsia="宋体" w:cs="宋体"/>
      <w:b/>
      <w:color w:val="000000"/>
      <w:sz w:val="24"/>
      <w:szCs w:val="24"/>
      <w:u w:val="none"/>
    </w:rPr>
  </w:style>
  <w:style w:type="character" w:customStyle="1" w:styleId="33">
    <w:name w:val="font31"/>
    <w:basedOn w:val="14"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34">
    <w:name w:val="font51"/>
    <w:basedOn w:val="14"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2322</Words>
  <Characters>2594</Characters>
  <Lines>102</Lines>
  <Paragraphs>28</Paragraphs>
  <TotalTime>1</TotalTime>
  <ScaleCrop>false</ScaleCrop>
  <LinksUpToDate>false</LinksUpToDate>
  <CharactersWithSpaces>2731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2020-12-26T02:41:00Z</dcterms:created>
  <dc:creator>王焱</dc:creator>
  <cp:lastModifiedBy>Administrator</cp:lastModifiedBy>
  <cp:lastPrinted>2024-05-27T07:08:00Z</cp:lastPrinted>
  <dcterms:modified xsi:type="dcterms:W3CDTF">2025-09-08T07:21:25Z</dcterms:modified>
  <cp:revision>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4CE5706D5E444D3CAEEFC2E03CD3A633_13</vt:lpwstr>
  </property>
  <property fmtid="{D5CDD505-2E9C-101B-9397-08002B2CF9AE}" pid="4" name="KSOTemplateDocerSaveRecord">
    <vt:lpwstr>eyJoZGlkIjoiMTlkNDNhOWVhODE3ZjNhMzhlZWQ3ZmJjYzVkMGYxNDgiLCJ1c2VySWQiOiI3NDIwNDIwODQifQ==</vt:lpwstr>
  </property>
</Properties>
</file>