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jc w:val="center"/>
        <w:rPr>
          <w:rFonts w:ascii="Times New Roman" w:hAnsi="Times New Roman" w:eastAsia="楷体_GB2312"/>
          <w:b/>
          <w:bCs/>
          <w:sz w:val="32"/>
        </w:rPr>
      </w:pPr>
    </w:p>
    <w:p>
      <w:pPr>
        <w:jc w:val="center"/>
        <w:rPr>
          <w:rFonts w:ascii="Times New Roman" w:hAnsi="Times New Roman" w:eastAsia="楷体_GB2312"/>
          <w:b/>
          <w:bCs/>
          <w:sz w:val="32"/>
        </w:rPr>
      </w:pP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hint="default" w:ascii="Times New Roman" w:hAnsi="Times New Roman" w:eastAsia="楷体_GB2312"/>
          <w:sz w:val="32"/>
          <w:u w:val="single"/>
          <w:lang w:val="en-US" w:eastAsia="zh-CN"/>
        </w:rPr>
      </w:pPr>
      <w:r>
        <w:rPr>
          <w:rFonts w:ascii="Times New Roman" w:hAnsi="Times New Roman" w:eastAsia="楷体_GB2312"/>
          <w:sz w:val="32"/>
        </w:rPr>
        <w:t>项   目   名   称 ：</w:t>
      </w:r>
      <w:r>
        <w:rPr>
          <w:rFonts w:hint="eastAsia" w:ascii="Times New Roman" w:hAnsi="Times New Roman" w:eastAsia="楷体_GB2312"/>
          <w:sz w:val="32"/>
          <w:u w:val="single"/>
          <w:lang w:eastAsia="zh-CN"/>
        </w:rPr>
        <w:t>城乡医疗救助项目</w:t>
      </w:r>
      <w:r>
        <w:rPr>
          <w:rFonts w:hint="eastAsia" w:ascii="Times New Roman" w:hAnsi="Times New Roman" w:eastAsia="楷体_GB2312"/>
          <w:sz w:val="32"/>
          <w:u w:val="single"/>
          <w:lang w:val="en-US" w:eastAsia="zh-CN"/>
        </w:rPr>
        <w:t xml:space="preserve">    </w:t>
      </w:r>
    </w:p>
    <w:p>
      <w:pPr>
        <w:spacing w:before="156" w:beforeLines="50" w:after="156" w:afterLines="50"/>
        <w:ind w:left="1887" w:leftChars="289" w:hanging="1280" w:hangingChars="400"/>
        <w:rPr>
          <w:rFonts w:hint="default" w:ascii="Times New Roman" w:hAnsi="Times New Roman" w:eastAsia="楷体_GB2312"/>
          <w:sz w:val="32"/>
          <w:u w:val="single"/>
          <w:lang w:val="en-US" w:eastAsia="zh-CN"/>
        </w:rPr>
      </w:pPr>
      <w:r>
        <w:rPr>
          <w:rFonts w:ascii="Times New Roman" w:hAnsi="Times New Roman" w:eastAsia="楷体_GB2312"/>
          <w:sz w:val="32"/>
        </w:rPr>
        <w:t>项   目   单   位 ：</w:t>
      </w:r>
      <w:r>
        <w:rPr>
          <w:rFonts w:hint="eastAsia" w:ascii="Times New Roman" w:hAnsi="Times New Roman" w:eastAsia="楷体_GB2312"/>
          <w:sz w:val="32"/>
          <w:u w:val="single"/>
          <w:lang w:eastAsia="zh-CN"/>
        </w:rPr>
        <w:t>瑶海区医疗保障局</w:t>
      </w:r>
      <w:r>
        <w:rPr>
          <w:rFonts w:hint="eastAsia" w:ascii="Times New Roman" w:hAnsi="Times New Roman" w:eastAsia="楷体_GB2312"/>
          <w:sz w:val="32"/>
          <w:u w:val="single"/>
          <w:lang w:val="en-US" w:eastAsia="zh-CN"/>
        </w:rPr>
        <w:t xml:space="preserve">    </w:t>
      </w:r>
    </w:p>
    <w:p>
      <w:pPr>
        <w:spacing w:before="156" w:beforeLines="50" w:after="156" w:afterLines="50"/>
        <w:ind w:left="1887" w:leftChars="289" w:hanging="1280" w:hangingChars="400"/>
        <w:rPr>
          <w:rFonts w:hint="default" w:ascii="Times New Roman" w:hAnsi="Times New Roman" w:eastAsia="楷体_GB2312"/>
          <w:sz w:val="32"/>
          <w:u w:val="single"/>
          <w:lang w:val="en-US" w:eastAsia="zh-CN"/>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p>
    <w:p>
      <w:pPr>
        <w:spacing w:before="156" w:beforeLines="50" w:after="156" w:afterLines="50"/>
        <w:ind w:left="1887" w:leftChars="289" w:hanging="1280" w:hangingChars="400"/>
        <w:rPr>
          <w:rFonts w:hint="default" w:ascii="Times New Roman" w:hAnsi="Times New Roman" w:eastAsia="楷体_GB2312"/>
          <w:sz w:val="32"/>
          <w:u w:val="single"/>
          <w:lang w:val="en-US" w:eastAsia="zh-CN"/>
        </w:rPr>
      </w:pPr>
      <w:r>
        <w:rPr>
          <w:rFonts w:ascii="Times New Roman" w:hAnsi="Times New Roman" w:eastAsia="楷体_GB2312"/>
          <w:sz w:val="32"/>
        </w:rPr>
        <w:t>主 管 部 门（盖章）：</w:t>
      </w:r>
      <w:r>
        <w:rPr>
          <w:rFonts w:hint="eastAsia" w:ascii="Times New Roman" w:hAnsi="Times New Roman" w:eastAsia="楷体_GB2312"/>
          <w:sz w:val="32"/>
          <w:u w:val="single"/>
          <w:lang w:eastAsia="zh-CN"/>
        </w:rPr>
        <w:t>瑶海区医疗保障局</w:t>
      </w:r>
      <w:r>
        <w:rPr>
          <w:rFonts w:hint="eastAsia" w:ascii="Times New Roman" w:hAnsi="Times New Roman" w:eastAsia="楷体_GB2312"/>
          <w:sz w:val="32"/>
          <w:u w:val="single"/>
          <w:lang w:val="en-US" w:eastAsia="zh-CN"/>
        </w:rPr>
        <w:t xml:space="preserve">   </w:t>
      </w:r>
    </w:p>
    <w:p>
      <w:pPr>
        <w:spacing w:before="156" w:beforeLines="50" w:after="156" w:afterLines="50"/>
        <w:ind w:firstLine="614" w:firstLineChars="192"/>
        <w:rPr>
          <w:rFonts w:ascii="Times New Roman" w:hAnsi="Times New Roman" w:eastAsia="楷体_GB2312"/>
          <w:sz w:val="32"/>
          <w:u w:val="single"/>
        </w:rPr>
      </w:pP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val="0"/>
          <w:sz w:val="32"/>
          <w:szCs w:val="32"/>
          <w:lang w:eastAsia="zh-CN"/>
        </w:rPr>
      </w:pPr>
      <w:r>
        <w:rPr>
          <w:rFonts w:hint="eastAsia" w:ascii="方正小标宋简体" w:hAnsi="方正小标宋简体" w:eastAsia="方正小标宋简体" w:cs="方正小标宋简体"/>
          <w:sz w:val="44"/>
          <w:szCs w:val="44"/>
          <w:lang w:eastAsia="zh-CN"/>
        </w:rPr>
        <w:t>城乡医疗救助</w:t>
      </w:r>
      <w:r>
        <w:rPr>
          <w:rFonts w:hint="eastAsia" w:ascii="方正小标宋简体" w:hAnsi="方正小标宋简体" w:eastAsia="方正小标宋简体" w:cs="方正小标宋简体"/>
          <w:sz w:val="44"/>
          <w:szCs w:val="44"/>
        </w:rPr>
        <w:t>项目支出绩效自评报告</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2024年</w:t>
      </w:r>
      <w:r>
        <w:rPr>
          <w:rFonts w:hint="eastAsia" w:ascii="楷体_GB2312" w:hAnsi="楷体_GB2312" w:eastAsia="楷体_GB2312" w:cs="楷体_GB2312"/>
          <w:b w:val="0"/>
          <w:bCs w:val="0"/>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黑体" w:hAnsi="宋体" w:eastAsia="黑体" w:cs="黑体"/>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pPr>
      <w:r>
        <w:rPr>
          <w:rFonts w:ascii="黑体" w:hAnsi="宋体" w:eastAsia="黑体" w:cs="黑体"/>
          <w:color w:val="000000"/>
          <w:kern w:val="0"/>
          <w:sz w:val="31"/>
          <w:szCs w:val="31"/>
          <w:lang w:val="en-US" w:eastAsia="zh-CN" w:bidi="ar"/>
        </w:rPr>
        <w:t xml:space="preserve">一、项目基本情况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left"/>
        <w:textAlignment w:val="auto"/>
      </w:pPr>
      <w:r>
        <w:rPr>
          <w:rFonts w:ascii="仿宋_GB2312" w:hAnsi="宋体" w:eastAsia="仿宋_GB2312" w:cs="仿宋_GB2312"/>
          <w:b/>
          <w:color w:val="000000"/>
          <w:kern w:val="0"/>
          <w:sz w:val="31"/>
          <w:szCs w:val="31"/>
          <w:lang w:val="en-US" w:eastAsia="zh-CN" w:bidi="ar"/>
        </w:rPr>
        <w:t xml:space="preserve">（一）项目概况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left"/>
        <w:textAlignment w:val="auto"/>
      </w:pPr>
      <w:r>
        <w:rPr>
          <w:rFonts w:hint="eastAsia" w:ascii="仿宋_GB2312" w:hAnsi="宋体" w:eastAsia="仿宋_GB2312" w:cs="仿宋_GB2312"/>
          <w:b/>
          <w:bCs/>
          <w:color w:val="000000"/>
          <w:kern w:val="0"/>
          <w:sz w:val="31"/>
          <w:szCs w:val="31"/>
          <w:lang w:val="en-US" w:eastAsia="zh-CN" w:bidi="ar"/>
        </w:rPr>
        <w:t>1.项目立项情况</w:t>
      </w:r>
      <w:r>
        <w:rPr>
          <w:rFonts w:hint="eastAsia" w:ascii="仿宋_GB2312" w:hAnsi="宋体"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仿宋_GB2312" w:hAnsi="宋体" w:eastAsia="仿宋_GB2312" w:cs="仿宋_GB2312"/>
          <w:b/>
          <w:bCs/>
          <w:color w:val="000000"/>
          <w:kern w:val="0"/>
          <w:sz w:val="31"/>
          <w:szCs w:val="31"/>
          <w:lang w:val="en-US" w:eastAsia="zh-CN" w:bidi="ar"/>
        </w:rPr>
        <w:t>立项依据</w:t>
      </w:r>
      <w:r>
        <w:rPr>
          <w:rFonts w:hint="eastAsia" w:ascii="仿宋_GB2312" w:hAnsi="宋体"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2"/>
          <w:szCs w:val="32"/>
          <w:lang w:val="en-US" w:eastAsia="zh-CN" w:bidi="ar"/>
        </w:rPr>
        <w:t>《合肥市人民政府办公室关于印发合肥市重特大疾病医疗保险和救助实施办法的通知（合政办〔2022〕35号）》《关于印发《合肥市城乡医疗救助基金市级统筹管理办法》的通知（合医保发〔2024〕18号）》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2" w:firstLineChars="200"/>
        <w:jc w:val="both"/>
        <w:textAlignment w:val="auto"/>
        <w:rPr>
          <w:rFonts w:hint="eastAsia" w:ascii="仿宋_GB2312" w:hAnsi="仿宋_GB2312" w:eastAsia="仿宋_GB2312" w:cs="仿宋_GB2312"/>
          <w:color w:val="000000"/>
          <w:sz w:val="32"/>
          <w:szCs w:val="32"/>
        </w:rPr>
      </w:pPr>
      <w:r>
        <w:rPr>
          <w:rFonts w:hint="eastAsia" w:ascii="仿宋_GB2312" w:hAnsi="宋体" w:eastAsia="仿宋_GB2312" w:cs="仿宋_GB2312"/>
          <w:b/>
          <w:bCs/>
          <w:color w:val="000000"/>
          <w:kern w:val="0"/>
          <w:sz w:val="31"/>
          <w:szCs w:val="31"/>
          <w:lang w:val="en-US" w:eastAsia="zh-CN" w:bidi="ar"/>
        </w:rPr>
        <w:t>主要内容：</w:t>
      </w:r>
      <w:r>
        <w:rPr>
          <w:rFonts w:hint="eastAsia" w:ascii="仿宋_GB2312" w:hAnsi="仿宋_GB2312" w:eastAsia="仿宋_GB2312" w:cs="仿宋_GB2312"/>
          <w:color w:val="000000"/>
          <w:sz w:val="32"/>
          <w:szCs w:val="32"/>
        </w:rPr>
        <w:t>医疗救助资金对困难群众参加城乡居民基本医疗保险个人缴费部分实行分类资助，其中特困人员给予全额资助，低保对象给予90%定额资助，返贫致贫人口给予80%定额资助，防止返贫监测对象给予50%定额资助。</w:t>
      </w:r>
      <w:r>
        <w:rPr>
          <w:rFonts w:hint="eastAsia" w:ascii="仿宋_GB2312" w:hAnsi="仿宋_GB2312" w:eastAsia="仿宋_GB2312" w:cs="仿宋_GB2312"/>
          <w:b w:val="0"/>
          <w:bCs/>
          <w:color w:val="000000"/>
          <w:kern w:val="0"/>
          <w:sz w:val="32"/>
          <w:szCs w:val="32"/>
          <w:lang w:val="en-US" w:eastAsia="zh-CN" w:bidi="ar"/>
        </w:rPr>
        <w:t>对</w:t>
      </w:r>
      <w:r>
        <w:rPr>
          <w:rFonts w:hint="eastAsia" w:ascii="仿宋_GB2312" w:hAnsi="仿宋_GB2312" w:eastAsia="仿宋_GB2312" w:cs="仿宋_GB2312"/>
          <w:color w:val="000000"/>
          <w:sz w:val="32"/>
          <w:szCs w:val="32"/>
        </w:rPr>
        <w:t>一个年度内救助对象在我市定点医疗机构或规范转诊异地就医的住院及慢性病、特殊病门诊费用，经基本医保、大病保险报销后个人自付部分（含起付费用）纳入医疗救助范围。规范转诊且在省内就医的，经基本医保、大病保险报销和医疗救助保障后，个人负担仍然较重的给予倾斜救助。</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both"/>
        <w:textAlignment w:val="auto"/>
      </w:pPr>
      <w:r>
        <w:rPr>
          <w:rFonts w:hint="eastAsia" w:ascii="仿宋_GB2312" w:hAnsi="宋体" w:eastAsia="仿宋_GB2312" w:cs="仿宋_GB2312"/>
          <w:b/>
          <w:color w:val="000000"/>
          <w:kern w:val="0"/>
          <w:sz w:val="31"/>
          <w:szCs w:val="31"/>
          <w:lang w:val="en-US" w:eastAsia="zh-CN" w:bidi="ar"/>
        </w:rPr>
        <w:t>资金总量：</w:t>
      </w:r>
      <w:r>
        <w:rPr>
          <w:rFonts w:hint="eastAsia" w:ascii="Times New Roman" w:hAnsi="Times New Roman" w:eastAsia="宋体" w:cs="Times New Roman"/>
          <w:color w:val="000000"/>
          <w:kern w:val="0"/>
          <w:sz w:val="31"/>
          <w:szCs w:val="31"/>
          <w:lang w:val="en-US" w:eastAsia="zh-CN" w:bidi="ar"/>
        </w:rPr>
        <w:t>2024</w:t>
      </w:r>
      <w:r>
        <w:rPr>
          <w:rFonts w:hint="eastAsia" w:ascii="仿宋_GB2312" w:hAnsi="宋体" w:eastAsia="仿宋_GB2312" w:cs="仿宋_GB2312"/>
          <w:color w:val="000000"/>
          <w:kern w:val="0"/>
          <w:sz w:val="31"/>
          <w:szCs w:val="31"/>
          <w:lang w:val="en-US" w:eastAsia="zh-CN" w:bidi="ar"/>
        </w:rPr>
        <w:t>年区级配套400万元。</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both"/>
        <w:textAlignment w:val="auto"/>
      </w:pPr>
      <w:r>
        <w:rPr>
          <w:rFonts w:hint="eastAsia" w:ascii="仿宋_GB2312" w:hAnsi="宋体" w:eastAsia="仿宋_GB2312" w:cs="仿宋_GB2312"/>
          <w:b/>
          <w:color w:val="000000"/>
          <w:kern w:val="0"/>
          <w:sz w:val="31"/>
          <w:szCs w:val="31"/>
          <w:lang w:val="en-US" w:eastAsia="zh-CN" w:bidi="ar"/>
        </w:rPr>
        <w:t>资金类型：</w:t>
      </w:r>
      <w:r>
        <w:rPr>
          <w:rFonts w:hint="eastAsia" w:ascii="仿宋_GB2312" w:hAnsi="宋体" w:eastAsia="仿宋_GB2312" w:cs="仿宋_GB2312"/>
          <w:color w:val="000000"/>
          <w:kern w:val="0"/>
          <w:sz w:val="31"/>
          <w:szCs w:val="31"/>
          <w:lang w:val="en-US" w:eastAsia="zh-CN" w:bidi="ar"/>
        </w:rPr>
        <w:t>财政专项补助资金，民生类项目。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both"/>
        <w:textAlignment w:val="auto"/>
      </w:pPr>
      <w:r>
        <w:rPr>
          <w:rFonts w:hint="eastAsia" w:ascii="仿宋_GB2312" w:hAnsi="宋体" w:eastAsia="仿宋_GB2312" w:cs="仿宋_GB2312"/>
          <w:b/>
          <w:color w:val="000000"/>
          <w:kern w:val="0"/>
          <w:sz w:val="31"/>
          <w:szCs w:val="31"/>
          <w:lang w:val="en-US" w:eastAsia="zh-CN" w:bidi="ar"/>
        </w:rPr>
        <w:t>实施周期：</w:t>
      </w:r>
      <w:r>
        <w:rPr>
          <w:rFonts w:hint="eastAsia" w:ascii="仿宋_GB2312" w:hAnsi="宋体" w:eastAsia="仿宋_GB2312" w:cs="仿宋_GB2312"/>
          <w:color w:val="000000"/>
          <w:kern w:val="0"/>
          <w:sz w:val="31"/>
          <w:szCs w:val="31"/>
          <w:lang w:val="en-US" w:eastAsia="zh-CN" w:bidi="ar"/>
        </w:rPr>
        <w:t>2024年1月1日—2024年12月31日。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both"/>
        <w:textAlignment w:val="auto"/>
      </w:pPr>
      <w:r>
        <w:rPr>
          <w:rFonts w:hint="eastAsia" w:ascii="仿宋_GB2312" w:hAnsi="宋体" w:eastAsia="仿宋_GB2312" w:cs="仿宋_GB2312"/>
          <w:b/>
          <w:color w:val="000000"/>
          <w:kern w:val="0"/>
          <w:sz w:val="31"/>
          <w:szCs w:val="31"/>
          <w:lang w:val="en-US" w:eastAsia="zh-CN" w:bidi="ar"/>
        </w:rPr>
        <w:t>项目实施主管部门：</w:t>
      </w:r>
      <w:r>
        <w:rPr>
          <w:rFonts w:hint="eastAsia" w:ascii="仿宋_GB2312" w:hAnsi="宋体" w:eastAsia="仿宋_GB2312" w:cs="仿宋_GB2312"/>
          <w:color w:val="000000"/>
          <w:kern w:val="0"/>
          <w:sz w:val="31"/>
          <w:szCs w:val="31"/>
          <w:lang w:val="en-US" w:eastAsia="zh-CN" w:bidi="ar"/>
        </w:rPr>
        <w:t>合肥市瑶海区医疗保障局。</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left"/>
        <w:textAlignment w:val="auto"/>
      </w:pPr>
      <w:r>
        <w:rPr>
          <w:rFonts w:hint="eastAsia" w:ascii="仿宋_GB2312" w:hAnsi="宋体" w:eastAsia="仿宋_GB2312" w:cs="仿宋_GB2312"/>
          <w:b/>
          <w:color w:val="000000"/>
          <w:kern w:val="0"/>
          <w:sz w:val="31"/>
          <w:szCs w:val="31"/>
          <w:lang w:val="en-US" w:eastAsia="zh-CN" w:bidi="ar"/>
        </w:rPr>
        <w:t>2.项目执行情况</w:t>
      </w:r>
      <w:r>
        <w:rPr>
          <w:rFonts w:hint="eastAsia" w:ascii="仿宋_GB2312" w:hAnsi="宋体" w:eastAsia="仿宋_GB2312" w:cs="仿宋_GB2312"/>
          <w:b/>
          <w:bCs/>
          <w:color w:val="000000"/>
          <w:kern w:val="0"/>
          <w:sz w:val="31"/>
          <w:szCs w:val="31"/>
          <w:lang w:val="en-US" w:eastAsia="zh-CN" w:bidi="ar"/>
        </w:rPr>
        <w:t>实施过程：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全区城乡医疗救助共支出1569.37万元，其中医疗救助1.8万人次，医疗救助基金支出1449.1万元；资助参保3511人，资助金额120.27万元。完善监测机制和回访机制，组织开展未参保人员、自付医疗费用超过1万人员、农村低收入人口慢特病证办理摸排筛查，推动落实各项帮扶政策，努力实现“应保尽保”“应救尽救”，2024年个人费用预警推送共21253人次，推送后认定人数33人次，实现由人找政策向政策找人主动服务转变，同时按全市统一部署，完成困难群体回访工作，回访人数1446人，回访率100%。</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left"/>
        <w:textAlignment w:val="auto"/>
      </w:pPr>
      <w:r>
        <w:rPr>
          <w:rFonts w:hint="eastAsia" w:ascii="仿宋_GB2312" w:hAnsi="宋体" w:eastAsia="仿宋_GB2312" w:cs="仿宋_GB2312"/>
          <w:b/>
          <w:color w:val="000000"/>
          <w:kern w:val="0"/>
          <w:sz w:val="31"/>
          <w:szCs w:val="31"/>
          <w:lang w:val="en-US" w:eastAsia="zh-CN" w:bidi="ar"/>
        </w:rPr>
        <w:t xml:space="preserve">（二）项目绩效目标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both"/>
        <w:textAlignment w:val="auto"/>
      </w:pPr>
      <w:r>
        <w:rPr>
          <w:rFonts w:hint="default" w:ascii="Times New Roman" w:hAnsi="Times New Roman" w:eastAsia="宋体" w:cs="Times New Roman"/>
          <w:b/>
          <w:color w:val="000000"/>
          <w:kern w:val="0"/>
          <w:sz w:val="31"/>
          <w:szCs w:val="31"/>
          <w:lang w:val="en-US" w:eastAsia="zh-CN" w:bidi="ar"/>
        </w:rPr>
        <w:t>1</w:t>
      </w:r>
      <w:r>
        <w:rPr>
          <w:rFonts w:hint="eastAsia" w:ascii="仿宋_GB2312" w:hAnsi="宋体" w:eastAsia="仿宋_GB2312" w:cs="仿宋_GB2312"/>
          <w:b/>
          <w:color w:val="000000"/>
          <w:kern w:val="0"/>
          <w:sz w:val="31"/>
          <w:szCs w:val="31"/>
          <w:lang w:val="en-US" w:eastAsia="zh-CN" w:bidi="ar"/>
        </w:rPr>
        <w:t>、项目年度总体目标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both"/>
        <w:textAlignment w:val="auto"/>
      </w:pPr>
      <w:r>
        <w:rPr>
          <w:rFonts w:hint="eastAsia" w:ascii="仿宋_GB2312" w:hAnsi="宋体" w:eastAsia="仿宋_GB2312" w:cs="仿宋_GB2312"/>
          <w:color w:val="000000"/>
          <w:kern w:val="0"/>
          <w:sz w:val="31"/>
          <w:szCs w:val="31"/>
          <w:lang w:val="en-US" w:eastAsia="zh-CN" w:bidi="ar"/>
        </w:rPr>
        <w:t>申请400万元财政资金，主要用于</w:t>
      </w:r>
      <w:r>
        <w:rPr>
          <w:rFonts w:hint="eastAsia" w:ascii="仿宋_GB2312" w:hAnsi="仿宋_GB2312" w:eastAsia="仿宋_GB2312" w:cs="仿宋_GB2312"/>
          <w:color w:val="000000"/>
          <w:sz w:val="32"/>
          <w:szCs w:val="32"/>
        </w:rPr>
        <w:t>医疗救助资金对困难群众参加城乡居民基本医疗保险个人缴费部分实行分类资助</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 w:val="0"/>
          <w:bCs/>
          <w:color w:val="000000"/>
          <w:kern w:val="0"/>
          <w:sz w:val="32"/>
          <w:szCs w:val="32"/>
          <w:lang w:val="en-US" w:eastAsia="zh-CN" w:bidi="ar"/>
        </w:rPr>
        <w:t>对</w:t>
      </w:r>
      <w:r>
        <w:rPr>
          <w:rFonts w:hint="eastAsia" w:ascii="仿宋_GB2312" w:hAnsi="仿宋_GB2312" w:eastAsia="仿宋_GB2312" w:cs="仿宋_GB2312"/>
          <w:color w:val="000000"/>
          <w:sz w:val="32"/>
          <w:szCs w:val="32"/>
        </w:rPr>
        <w:t>一个年度内救助对象在我市定点医疗机构或规范转诊异地就医的住院及慢性病、特殊病门诊费用</w:t>
      </w:r>
      <w:r>
        <w:rPr>
          <w:rFonts w:hint="eastAsia" w:ascii="仿宋_GB2312" w:hAnsi="仿宋_GB2312" w:eastAsia="仿宋_GB2312" w:cs="仿宋_GB2312"/>
          <w:color w:val="000000"/>
          <w:sz w:val="32"/>
          <w:szCs w:val="32"/>
          <w:lang w:eastAsia="zh-CN"/>
        </w:rPr>
        <w:t>进行</w:t>
      </w:r>
      <w:r>
        <w:rPr>
          <w:rFonts w:hint="eastAsia" w:ascii="仿宋_GB2312" w:hAnsi="仿宋_GB2312" w:eastAsia="仿宋_GB2312" w:cs="仿宋_GB2312"/>
          <w:color w:val="000000"/>
          <w:sz w:val="32"/>
          <w:szCs w:val="32"/>
        </w:rPr>
        <w:t>医疗救助。</w:t>
      </w:r>
      <w:r>
        <w:rPr>
          <w:rFonts w:hint="eastAsia" w:ascii="仿宋_GB2312" w:hAnsi="仿宋_GB2312" w:eastAsia="仿宋_GB2312" w:cs="仿宋_GB2312"/>
          <w:color w:val="000000"/>
          <w:sz w:val="32"/>
          <w:szCs w:val="32"/>
          <w:lang w:eastAsia="zh-CN"/>
        </w:rPr>
        <w:t>为困难群体</w:t>
      </w:r>
      <w:r>
        <w:rPr>
          <w:rFonts w:hint="eastAsia" w:ascii="仿宋_GB2312" w:hAnsi="仿宋_GB2312" w:eastAsia="仿宋_GB2312" w:cs="仿宋_GB2312"/>
          <w:color w:val="000000"/>
          <w:sz w:val="32"/>
          <w:szCs w:val="32"/>
        </w:rPr>
        <w:t>提供最基本的医疗支持，以缓解其因病而无经济能力进行医治造成的困难，增强自我保障和生存能力</w:t>
      </w:r>
      <w:r>
        <w:rPr>
          <w:rFonts w:hint="eastAsia" w:ascii="仿宋_GB2312" w:hAnsi="仿宋_GB2312" w:eastAsia="仿宋_GB2312" w:cs="仿宋_GB2312"/>
          <w:color w:val="000000"/>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2" w:firstLineChars="200"/>
        <w:jc w:val="both"/>
        <w:textAlignment w:val="auto"/>
      </w:pPr>
      <w:r>
        <w:rPr>
          <w:rFonts w:hint="eastAsia" w:ascii="仿宋_GB2312" w:hAnsi="宋体" w:eastAsia="仿宋_GB2312" w:cs="仿宋_GB2312"/>
          <w:b/>
          <w:color w:val="000000"/>
          <w:kern w:val="0"/>
          <w:sz w:val="31"/>
          <w:szCs w:val="31"/>
          <w:lang w:val="en-US" w:eastAsia="zh-CN" w:bidi="ar"/>
        </w:rPr>
        <w:t>2、总体目标完成情况</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both"/>
        <w:textAlignment w:val="auto"/>
      </w:pPr>
      <w:r>
        <w:rPr>
          <w:rFonts w:hint="eastAsia" w:ascii="仿宋_GB2312" w:hAnsi="宋体" w:eastAsia="仿宋_GB2312" w:cs="仿宋_GB2312"/>
          <w:color w:val="000000"/>
          <w:kern w:val="0"/>
          <w:sz w:val="31"/>
          <w:szCs w:val="31"/>
          <w:lang w:val="en-US" w:eastAsia="zh-CN" w:bidi="ar"/>
        </w:rPr>
        <w:t>2024年度全区城乡医疗救助共支出1569.37万元，其中医疗救助1.8万人次，医疗救助基金支出1449.1万元；资助参保3511人，资助金额120.27万元，切实保障困难群众基本医疗需求。</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rFonts w:ascii="Times New Roman" w:hAnsi="Times New Roman" w:eastAsia="仿宋_GB2312"/>
          <w:color w:val="000000"/>
          <w:sz w:val="32"/>
          <w:szCs w:val="32"/>
        </w:rPr>
      </w:pPr>
      <w:r>
        <w:rPr>
          <w:rFonts w:hint="eastAsia" w:ascii="仿宋_GB2312" w:hAnsi="宋体" w:eastAsia="仿宋_GB2312" w:cs="仿宋_GB2312"/>
          <w:color w:val="000000"/>
          <w:kern w:val="0"/>
          <w:sz w:val="31"/>
          <w:szCs w:val="31"/>
          <w:lang w:val="en-US" w:eastAsia="zh-CN" w:bidi="ar"/>
        </w:rPr>
        <w:t>全区城乡医疗救助共支出1569.37万元，其中医疗救助1.8万人次，医疗救助基金支出1449.1万元；资助参保3511人，资助金额120.27万元。2024年个人费用预警推送共21253人次，推送后认定人数33人次，完成困难群体回访工作，回访人数1446人，回访率100%。</w:t>
      </w:r>
      <w:r>
        <w:rPr>
          <w:rFonts w:ascii="Times New Roman" w:hAnsi="Times New Roman" w:eastAsia="仿宋_GB2312"/>
          <w:color w:val="000000"/>
          <w:sz w:val="32"/>
          <w:szCs w:val="32"/>
        </w:rPr>
        <w:t>已完成年度设定的绩效目标，达到项目预期效果。</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eastAsia="zh-CN"/>
        </w:rPr>
        <w:t>城乡医疗救助</w:t>
      </w:r>
      <w:r>
        <w:rPr>
          <w:rFonts w:hint="eastAsia" w:ascii="Times New Roman" w:hAnsi="Times New Roman" w:eastAsia="仿宋_GB2312"/>
          <w:color w:val="000000"/>
          <w:sz w:val="32"/>
          <w:szCs w:val="32"/>
        </w:rPr>
        <w:t>项</w:t>
      </w:r>
      <w:r>
        <w:rPr>
          <w:rFonts w:ascii="Times New Roman" w:hAnsi="Times New Roman" w:eastAsia="仿宋_GB2312"/>
          <w:sz w:val="32"/>
          <w:szCs w:val="32"/>
        </w:rPr>
        <w:t>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eastAsia="zh-CN"/>
        </w:rPr>
        <w:t>优</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eastAsia="zh-CN"/>
        </w:rPr>
        <w:t>城乡医疗救助</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个三级指标，各项指标评分情况分析如下：</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一</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highlight w:val="none"/>
        </w:rPr>
      </w:pPr>
      <w:r>
        <w:rPr>
          <w:rFonts w:ascii="Times New Roman" w:hAnsi="Times New Roman" w:eastAsia="仿宋_GB2312"/>
          <w:sz w:val="32"/>
          <w:szCs w:val="32"/>
        </w:rPr>
        <w:t>1.</w:t>
      </w:r>
      <w:r>
        <w:rPr>
          <w:rFonts w:ascii="Times New Roman" w:hAnsi="Times New Roman" w:eastAsia="仿宋_GB2312"/>
          <w:sz w:val="32"/>
          <w:szCs w:val="32"/>
          <w:highlight w:val="none"/>
        </w:rPr>
        <w:t>数量指标（</w:t>
      </w:r>
      <w:r>
        <w:rPr>
          <w:rFonts w:ascii="Times New Roman" w:hAnsi="Times New Roman" w:eastAsia="仿宋_GB2312"/>
          <w:color w:val="000000"/>
          <w:sz w:val="32"/>
          <w:szCs w:val="32"/>
          <w:highlight w:val="none"/>
        </w:rPr>
        <w:t>满分</w:t>
      </w:r>
      <w:r>
        <w:rPr>
          <w:rFonts w:hint="eastAsia" w:ascii="Times New Roman" w:hAnsi="Times New Roman" w:eastAsia="仿宋_GB2312"/>
          <w:color w:val="000000"/>
          <w:sz w:val="32"/>
          <w:szCs w:val="32"/>
          <w:highlight w:val="none"/>
          <w:lang w:val="en-US" w:eastAsia="zh-CN"/>
        </w:rPr>
        <w:t>20</w:t>
      </w:r>
      <w:r>
        <w:rPr>
          <w:rFonts w:ascii="Times New Roman" w:hAnsi="Times New Roman" w:eastAsia="仿宋_GB2312"/>
          <w:color w:val="000000"/>
          <w:sz w:val="32"/>
          <w:szCs w:val="32"/>
          <w:highlight w:val="none"/>
        </w:rPr>
        <w:t>分，实得</w:t>
      </w:r>
      <w:r>
        <w:rPr>
          <w:rFonts w:hint="eastAsia" w:ascii="Times New Roman" w:hAnsi="Times New Roman" w:eastAsia="仿宋_GB2312"/>
          <w:color w:val="000000"/>
          <w:sz w:val="32"/>
          <w:szCs w:val="32"/>
          <w:highlight w:val="none"/>
          <w:lang w:val="en-US" w:eastAsia="zh-CN"/>
        </w:rPr>
        <w:t>20</w:t>
      </w:r>
      <w:r>
        <w:rPr>
          <w:rFonts w:ascii="Times New Roman" w:hAnsi="Times New Roman" w:eastAsia="仿宋_GB2312"/>
          <w:color w:val="000000"/>
          <w:sz w:val="32"/>
          <w:szCs w:val="32"/>
          <w:highlight w:val="none"/>
        </w:rPr>
        <w:t>分）</w:t>
      </w:r>
    </w:p>
    <w:p>
      <w:pPr>
        <w:spacing w:line="600" w:lineRule="exact"/>
        <w:ind w:firstLine="640" w:firstLineChars="200"/>
        <w:rPr>
          <w:rFonts w:hint="eastAsia" w:ascii="Times New Roman" w:hAnsi="Times New Roman" w:eastAsia="仿宋_GB2312"/>
          <w:color w:val="000000"/>
          <w:sz w:val="32"/>
          <w:szCs w:val="32"/>
          <w:highlight w:val="none"/>
          <w:lang w:eastAsia="zh-CN"/>
        </w:rPr>
      </w:pPr>
      <w:r>
        <w:rPr>
          <w:rFonts w:ascii="Times New Roman" w:hAnsi="Times New Roman" w:eastAsia="仿宋_GB2312"/>
          <w:color w:val="000000"/>
          <w:sz w:val="32"/>
          <w:szCs w:val="32"/>
          <w:highlight w:val="none"/>
        </w:rPr>
        <w:t>年度设定的数量指标为</w:t>
      </w:r>
      <w:r>
        <w:rPr>
          <w:rFonts w:hint="eastAsia" w:ascii="Times New Roman" w:hAnsi="Times New Roman" w:eastAsia="仿宋_GB2312"/>
          <w:color w:val="000000"/>
          <w:sz w:val="32"/>
          <w:szCs w:val="32"/>
          <w:highlight w:val="none"/>
          <w:lang w:eastAsia="zh-CN"/>
        </w:rPr>
        <w:t>城乡医疗救助代参保人数达到</w:t>
      </w:r>
      <w:r>
        <w:rPr>
          <w:rFonts w:hint="eastAsia" w:ascii="Times New Roman" w:hAnsi="Times New Roman" w:eastAsia="仿宋_GB2312"/>
          <w:color w:val="000000"/>
          <w:sz w:val="32"/>
          <w:szCs w:val="32"/>
          <w:highlight w:val="none"/>
          <w:lang w:val="en-US" w:eastAsia="zh-CN"/>
        </w:rPr>
        <w:t>3284人，</w:t>
      </w:r>
      <w:r>
        <w:rPr>
          <w:rFonts w:hint="eastAsia" w:ascii="Times New Roman" w:hAnsi="Times New Roman" w:eastAsia="仿宋_GB2312"/>
          <w:color w:val="000000"/>
          <w:sz w:val="32"/>
          <w:szCs w:val="32"/>
          <w:highlight w:val="none"/>
          <w:lang w:eastAsia="zh-CN"/>
        </w:rPr>
        <w:t>实际</w:t>
      </w:r>
      <w:r>
        <w:rPr>
          <w:rFonts w:hint="eastAsia" w:ascii="Times New Roman" w:hAnsi="Times New Roman" w:eastAsia="仿宋_GB2312"/>
          <w:color w:val="000000"/>
          <w:sz w:val="32"/>
          <w:szCs w:val="32"/>
          <w:highlight w:val="none"/>
        </w:rPr>
        <w:t>资助参保</w:t>
      </w:r>
      <w:r>
        <w:rPr>
          <w:rFonts w:hint="eastAsia" w:ascii="Times New Roman" w:hAnsi="Times New Roman" w:eastAsia="仿宋_GB2312"/>
          <w:color w:val="000000"/>
          <w:sz w:val="32"/>
          <w:szCs w:val="32"/>
          <w:highlight w:val="none"/>
          <w:lang w:val="en-US" w:eastAsia="zh-CN"/>
        </w:rPr>
        <w:t>3511</w:t>
      </w:r>
      <w:r>
        <w:rPr>
          <w:rFonts w:hint="eastAsia" w:ascii="Times New Roman" w:hAnsi="Times New Roman" w:eastAsia="仿宋_GB2312"/>
          <w:color w:val="000000"/>
          <w:sz w:val="32"/>
          <w:szCs w:val="32"/>
          <w:highlight w:val="none"/>
        </w:rPr>
        <w:t>人</w:t>
      </w:r>
      <w:r>
        <w:rPr>
          <w:rFonts w:hint="eastAsia" w:ascii="Times New Roman" w:hAnsi="Times New Roman" w:eastAsia="仿宋_GB2312"/>
          <w:color w:val="000000"/>
          <w:sz w:val="32"/>
          <w:szCs w:val="32"/>
          <w:highlight w:val="none"/>
          <w:lang w:eastAsia="zh-CN"/>
        </w:rPr>
        <w:t>，</w:t>
      </w:r>
      <w:r>
        <w:rPr>
          <w:rFonts w:hint="eastAsia" w:ascii="Times New Roman" w:hAnsi="Times New Roman" w:eastAsia="仿宋_GB2312"/>
          <w:color w:val="000000"/>
          <w:sz w:val="32"/>
          <w:szCs w:val="32"/>
          <w:lang w:val="en-US" w:eastAsia="zh-CN"/>
        </w:rPr>
        <w:t>已完成指标，得分20分</w:t>
      </w:r>
      <w:r>
        <w:rPr>
          <w:rFonts w:hint="eastAsia" w:ascii="Times New Roman" w:hAnsi="Times New Roman" w:eastAsia="仿宋_GB2312"/>
          <w:color w:val="000000"/>
          <w:sz w:val="32"/>
          <w:szCs w:val="32"/>
          <w:highlight w:val="none"/>
          <w:lang w:eastAsia="zh-CN"/>
        </w:rPr>
        <w:t>。</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2.质量指标（满分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eastAsia="zh-CN"/>
        </w:rPr>
        <w:t>重点救助对象的合规性</w:t>
      </w:r>
      <w:r>
        <w:rPr>
          <w:rFonts w:hint="eastAsia" w:ascii="Times New Roman" w:hAnsi="Times New Roman" w:eastAsia="仿宋_GB2312"/>
          <w:color w:val="000000"/>
          <w:sz w:val="32"/>
          <w:szCs w:val="32"/>
          <w:lang w:val="en-US" w:eastAsia="zh-CN"/>
        </w:rPr>
        <w:t>，已完成指标，得分10分</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eastAsia="zh-CN"/>
        </w:rPr>
        <w:t>城乡医疗救助审核、审批、资金发放及时</w:t>
      </w:r>
      <w:r>
        <w:rPr>
          <w:rFonts w:hint="eastAsia" w:ascii="Times New Roman" w:hAnsi="Times New Roman" w:eastAsia="仿宋_GB2312"/>
          <w:color w:val="000000"/>
          <w:sz w:val="32"/>
          <w:szCs w:val="32"/>
          <w:lang w:val="en-US" w:eastAsia="zh-CN"/>
        </w:rPr>
        <w:t>，已完成指标，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right="-283"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lang w:eastAsia="zh-CN"/>
        </w:rPr>
        <w:t>城乡医疗救助总成本≤</w:t>
      </w:r>
      <w:r>
        <w:rPr>
          <w:rFonts w:hint="eastAsia" w:ascii="Times New Roman" w:hAnsi="Times New Roman" w:eastAsia="仿宋_GB2312"/>
          <w:color w:val="000000"/>
          <w:sz w:val="32"/>
          <w:szCs w:val="32"/>
          <w:lang w:val="en-US" w:eastAsia="zh-CN"/>
        </w:rPr>
        <w:t>4000000，实际已完成指标，得分10分</w:t>
      </w:r>
      <w:r>
        <w:rPr>
          <w:rFonts w:ascii="Times New Roman" w:hAnsi="Times New Roman" w:eastAsia="仿宋_GB2312"/>
          <w:color w:val="000000"/>
          <w:sz w:val="32"/>
          <w:szCs w:val="32"/>
        </w:rPr>
        <w:t>。</w:t>
      </w: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1</w:t>
      </w:r>
      <w:r>
        <w:rPr>
          <w:rFonts w:ascii="Times New Roman" w:hAnsi="Times New Roman" w:eastAsia="仿宋_GB2312"/>
          <w:color w:val="000000"/>
          <w:sz w:val="32"/>
          <w:szCs w:val="32"/>
        </w:rPr>
        <w:t>.社会效益指标（满分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eastAsia="zh-CN"/>
        </w:rPr>
        <w:t>，通过医疗救助资金拨付，确保城乡医疗救助政策有效落实，进一步保障困难群众基本医疗需求，减轻困难群众医疗支出负担。</w:t>
      </w:r>
    </w:p>
    <w:p>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.可持续影响指标（满分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保障城乡医疗救助各项政策规定有效落实，推动城乡医疗救助工作顺利开展，促进社会保障事业可持续发展</w:t>
      </w:r>
      <w:r>
        <w:rPr>
          <w:rFonts w:hint="eastAsia" w:ascii="Times New Roman" w:hAnsi="Times New Roman" w:eastAsia="仿宋_GB2312"/>
          <w:color w:val="000000"/>
          <w:sz w:val="32"/>
          <w:szCs w:val="32"/>
          <w:lang w:eastAsia="zh-CN"/>
        </w:rPr>
        <w:t>。</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eastAsia="zh-CN"/>
        </w:rPr>
        <w:t>，服务对象满意度≥90%，已完成指标。</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eastAsia="zh-CN"/>
        </w:rPr>
        <w:t>城乡医疗救助</w:t>
      </w:r>
      <w:r>
        <w:rPr>
          <w:rFonts w:ascii="Times New Roman" w:hAnsi="Times New Roman" w:eastAsia="仿宋_GB2312"/>
          <w:color w:val="000000"/>
          <w:sz w:val="32"/>
          <w:szCs w:val="32"/>
        </w:rPr>
        <w:t>项目实施虽取得了一定的成效，但还存在一些问题和不足，主要表现在：</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年度城乡医疗救助项目完成了预期目标，救助人数、救助效果、资金使用效率等方面均达到了较高水平。项目在</w:t>
      </w:r>
      <w:r>
        <w:rPr>
          <w:rFonts w:hint="eastAsia" w:ascii="Times New Roman" w:hAnsi="Times New Roman" w:eastAsia="仿宋_GB2312"/>
          <w:color w:val="000000"/>
          <w:sz w:val="32"/>
          <w:szCs w:val="32"/>
          <w:lang w:eastAsia="zh-CN"/>
        </w:rPr>
        <w:t>减轻</w:t>
      </w:r>
      <w:r>
        <w:rPr>
          <w:rFonts w:ascii="Times New Roman" w:hAnsi="Times New Roman" w:eastAsia="仿宋_GB2312"/>
          <w:color w:val="000000"/>
          <w:sz w:val="32"/>
          <w:szCs w:val="32"/>
        </w:rPr>
        <w:t>困难群众医疗负担、防止因病致贫等方面发挥了重要作用。但仍存在政策宣传不足</w:t>
      </w:r>
      <w:r>
        <w:rPr>
          <w:rFonts w:hint="eastAsia" w:ascii="Times New Roman" w:hAnsi="Times New Roman" w:eastAsia="仿宋_GB2312"/>
          <w:color w:val="000000"/>
          <w:sz w:val="32"/>
          <w:szCs w:val="32"/>
          <w:lang w:eastAsia="zh-CN"/>
        </w:rPr>
        <w:t>的问题</w:t>
      </w:r>
      <w:r>
        <w:rPr>
          <w:rFonts w:ascii="Times New Roman" w:hAnsi="Times New Roman" w:eastAsia="仿宋_GB2312"/>
          <w:color w:val="000000"/>
          <w:sz w:val="32"/>
          <w:szCs w:val="32"/>
        </w:rPr>
        <w:t>，需在后续工作中加以改进。</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一是加强绩效支出管理，确保项目支出保质保量按时支出。</w:t>
      </w:r>
    </w:p>
    <w:p>
      <w:pPr>
        <w:pStyle w:val="5"/>
        <w:rPr>
          <w:rFonts w:hint="eastAsia" w:ascii="Times New Roman" w:hAnsi="Times New Roman"/>
          <w:color w:val="000000"/>
          <w:sz w:val="32"/>
          <w:szCs w:val="32"/>
          <w:lang w:eastAsia="zh-CN"/>
        </w:rPr>
      </w:pPr>
      <w:r>
        <w:rPr>
          <w:rFonts w:hint="eastAsia" w:ascii="Times New Roman" w:hAnsi="Times New Roman"/>
          <w:color w:val="000000"/>
          <w:sz w:val="32"/>
          <w:szCs w:val="32"/>
          <w:lang w:eastAsia="zh-CN"/>
        </w:rPr>
        <w:t>二是加大政策宣传力度，提升政策知晓度，减轻困难群众医疗负担，促进社会和谐发展。</w:t>
      </w:r>
    </w:p>
    <w:p>
      <w:pPr>
        <w:pStyle w:val="5"/>
        <w:rPr>
          <w:rFonts w:hint="eastAsia" w:ascii="Times New Roman" w:hAnsi="Times New Roman"/>
          <w:color w:val="000000"/>
          <w:sz w:val="32"/>
          <w:szCs w:val="32"/>
          <w:lang w:eastAsia="zh-CN"/>
        </w:rPr>
      </w:pPr>
      <w:r>
        <w:rPr>
          <w:rFonts w:hint="eastAsia" w:ascii="Times New Roman" w:hAnsi="Times New Roman"/>
          <w:color w:val="000000"/>
          <w:sz w:val="32"/>
          <w:szCs w:val="32"/>
          <w:lang w:eastAsia="zh-CN"/>
        </w:rPr>
        <w:t>三是加强项目监督与评估，确保资金使用合规、透明。</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widowControl/>
        <w:spacing w:line="600" w:lineRule="exact"/>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《合肥市人民政府办公室关于印发合肥市重特大疾病医疗保险和救助实施办法的通知（合政办〔2022〕35号）》《关于印发《合肥市城乡医疗救助基金市级统筹管理办法》的通知（合医保发〔2024〕18号）》</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项目支出绩效自评表（</w:t>
      </w:r>
      <w:r>
        <w:rPr>
          <w:rFonts w:hint="eastAsia" w:ascii="Times New Roman" w:hAnsi="Times New Roman" w:eastAsia="仿宋_GB2312"/>
          <w:color w:val="000000"/>
          <w:sz w:val="32"/>
          <w:szCs w:val="32"/>
          <w:lang w:eastAsia="zh-CN"/>
        </w:rPr>
        <w:t>从预算管理一体化系统导出</w:t>
      </w:r>
      <w:r>
        <w:rPr>
          <w:rFonts w:ascii="Times New Roman" w:hAnsi="Times New Roman" w:eastAsia="仿宋_GB2312"/>
          <w:color w:val="000000"/>
          <w:sz w:val="32"/>
          <w:szCs w:val="32"/>
        </w:rPr>
        <w:t>）</w:t>
      </w:r>
    </w:p>
    <w:tbl>
      <w:tblPr>
        <w:tblW w:w="8869" w:type="dxa"/>
        <w:tblInd w:w="0" w:type="dxa"/>
        <w:shd w:val="clear"/>
        <w:tblLayout w:type="fixed"/>
        <w:tblCellMar>
          <w:top w:w="0" w:type="dxa"/>
          <w:left w:w="0" w:type="dxa"/>
          <w:bottom w:w="0" w:type="dxa"/>
          <w:right w:w="0" w:type="dxa"/>
        </w:tblCellMar>
      </w:tblPr>
      <w:tblGrid>
        <w:gridCol w:w="614"/>
        <w:gridCol w:w="615"/>
        <w:gridCol w:w="600"/>
        <w:gridCol w:w="996"/>
        <w:gridCol w:w="891"/>
        <w:gridCol w:w="721"/>
        <w:gridCol w:w="965"/>
        <w:gridCol w:w="931"/>
        <w:gridCol w:w="583"/>
        <w:gridCol w:w="820"/>
        <w:gridCol w:w="1133"/>
      </w:tblGrid>
      <w:tr>
        <w:tblPrEx>
          <w:shd w:val="clear"/>
          <w:tblLayout w:type="fixed"/>
          <w:tblCellMar>
            <w:top w:w="0" w:type="dxa"/>
            <w:left w:w="0" w:type="dxa"/>
            <w:bottom w:w="0" w:type="dxa"/>
            <w:right w:w="0" w:type="dxa"/>
          </w:tblCellMar>
        </w:tblPrEx>
        <w:trPr>
          <w:trHeight w:val="495" w:hRule="atLeast"/>
        </w:trPr>
        <w:tc>
          <w:tcPr>
            <w:tcW w:w="8869" w:type="dxa"/>
            <w:gridSpan w:val="11"/>
            <w:tcBorders>
              <w:top w:val="nil"/>
              <w:left w:val="nil"/>
              <w:bottom w:val="nil"/>
              <w:right w:val="nil"/>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bookmarkStart w:id="0" w:name="_GoBack"/>
            <w:r>
              <w:rPr>
                <w:rFonts w:hint="eastAsia" w:ascii="宋体" w:hAnsi="宋体" w:eastAsia="宋体" w:cs="宋体"/>
                <w:i w:val="0"/>
                <w:color w:val="000000"/>
                <w:kern w:val="0"/>
                <w:sz w:val="32"/>
                <w:szCs w:val="32"/>
                <w:u w:val="none"/>
                <w:bdr w:val="none" w:color="auto" w:sz="0" w:space="0"/>
                <w:lang w:val="en-US" w:eastAsia="zh-CN" w:bidi="ar"/>
              </w:rPr>
              <w:t xml:space="preserve">       项目支出绩效自评表 </w:t>
            </w:r>
          </w:p>
        </w:tc>
      </w:tr>
      <w:tr>
        <w:tblPrEx>
          <w:tblLayout w:type="fixed"/>
          <w:tblCellMar>
            <w:top w:w="0" w:type="dxa"/>
            <w:left w:w="0" w:type="dxa"/>
            <w:bottom w:w="0" w:type="dxa"/>
            <w:right w:w="0" w:type="dxa"/>
          </w:tblCellMar>
        </w:tblPrEx>
        <w:trPr>
          <w:trHeight w:val="319" w:hRule="atLeast"/>
        </w:trPr>
        <w:tc>
          <w:tcPr>
            <w:tcW w:w="8869" w:type="dxa"/>
            <w:gridSpan w:val="11"/>
            <w:tcBorders>
              <w:top w:val="nil"/>
              <w:left w:val="nil"/>
              <w:bottom w:val="nil"/>
              <w:right w:val="nil"/>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（2024年度）</w:t>
            </w:r>
          </w:p>
        </w:tc>
      </w:tr>
      <w:tr>
        <w:tblPrEx>
          <w:tblLayout w:type="fixed"/>
          <w:tblCellMar>
            <w:top w:w="0" w:type="dxa"/>
            <w:left w:w="0" w:type="dxa"/>
            <w:bottom w:w="0" w:type="dxa"/>
            <w:right w:w="0" w:type="dxa"/>
          </w:tblCellMar>
        </w:tblPrEx>
        <w:trPr>
          <w:trHeight w:val="282" w:hRule="atLeast"/>
        </w:trPr>
        <w:tc>
          <w:tcPr>
            <w:tcW w:w="614"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615"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600"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996"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891"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721"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965"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931"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583"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820"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1133" w:type="dxa"/>
            <w:tcBorders>
              <w:top w:val="nil"/>
              <w:left w:val="nil"/>
              <w:bottom w:val="single" w:color="000000" w:sz="4" w:space="0"/>
              <w:right w:val="nil"/>
            </w:tcBorders>
            <w:shd w:val="clear"/>
            <w:tcMar>
              <w:top w:w="12" w:type="dxa"/>
              <w:left w:w="12" w:type="dxa"/>
              <w:right w:w="12" w:type="dxa"/>
            </w:tcMar>
            <w:vAlign w:val="center"/>
          </w:tcPr>
          <w:p>
            <w:pP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672" w:hRule="atLeast"/>
        </w:trPr>
        <w:tc>
          <w:tcPr>
            <w:tcW w:w="1829" w:type="dxa"/>
            <w:gridSpan w:val="3"/>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项目名称</w:t>
            </w:r>
          </w:p>
        </w:tc>
        <w:tc>
          <w:tcPr>
            <w:tcW w:w="7040" w:type="dxa"/>
            <w:gridSpan w:val="8"/>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2024_城乡医疗救助</w:t>
            </w:r>
          </w:p>
        </w:tc>
      </w:tr>
      <w:tr>
        <w:tblPrEx>
          <w:tblLayout w:type="fixed"/>
          <w:tblCellMar>
            <w:top w:w="0" w:type="dxa"/>
            <w:left w:w="0" w:type="dxa"/>
            <w:bottom w:w="0" w:type="dxa"/>
            <w:right w:w="0" w:type="dxa"/>
          </w:tblCellMar>
        </w:tblPrEx>
        <w:trPr>
          <w:trHeight w:val="672" w:hRule="atLeast"/>
        </w:trPr>
        <w:tc>
          <w:tcPr>
            <w:tcW w:w="1829" w:type="dxa"/>
            <w:gridSpan w:val="3"/>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主管部门</w:t>
            </w:r>
          </w:p>
        </w:tc>
        <w:tc>
          <w:tcPr>
            <w:tcW w:w="3573" w:type="dxa"/>
            <w:gridSpan w:val="4"/>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077-合肥市瑶海区医疗保障局</w:t>
            </w:r>
          </w:p>
        </w:tc>
        <w:tc>
          <w:tcPr>
            <w:tcW w:w="931"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实施单位</w:t>
            </w:r>
          </w:p>
        </w:tc>
        <w:tc>
          <w:tcPr>
            <w:tcW w:w="2536" w:type="dxa"/>
            <w:gridSpan w:val="3"/>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077001-合肥市瑶海区医疗保障局</w:t>
            </w:r>
          </w:p>
        </w:tc>
      </w:tr>
      <w:tr>
        <w:tblPrEx>
          <w:tblLayout w:type="fixed"/>
          <w:tblCellMar>
            <w:top w:w="0" w:type="dxa"/>
            <w:left w:w="0" w:type="dxa"/>
            <w:bottom w:w="0" w:type="dxa"/>
            <w:right w:w="0" w:type="dxa"/>
          </w:tblCellMar>
        </w:tblPrEx>
        <w:trPr>
          <w:trHeight w:val="672" w:hRule="atLeast"/>
        </w:trPr>
        <w:tc>
          <w:tcPr>
            <w:tcW w:w="1829" w:type="dxa"/>
            <w:gridSpan w:val="3"/>
            <w:vMerge w:val="restart"/>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项目资金                    （万元）</w:t>
            </w:r>
          </w:p>
        </w:tc>
        <w:tc>
          <w:tcPr>
            <w:tcW w:w="1887" w:type="dxa"/>
            <w:gridSpan w:val="2"/>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72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年初预算数</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全年预算数</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全年执行数</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 xml:space="preserve">分值 </w:t>
            </w:r>
          </w:p>
        </w:tc>
        <w:tc>
          <w:tcPr>
            <w:tcW w:w="820"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执行率</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得分</w:t>
            </w:r>
          </w:p>
        </w:tc>
      </w:tr>
      <w:tr>
        <w:tblPrEx>
          <w:tblLayout w:type="fixed"/>
          <w:tblCellMar>
            <w:top w:w="0" w:type="dxa"/>
            <w:left w:w="0" w:type="dxa"/>
            <w:bottom w:w="0" w:type="dxa"/>
            <w:right w:w="0" w:type="dxa"/>
          </w:tblCellMar>
        </w:tblPrEx>
        <w:trPr>
          <w:trHeight w:val="672" w:hRule="atLeast"/>
        </w:trPr>
        <w:tc>
          <w:tcPr>
            <w:tcW w:w="1829" w:type="dxa"/>
            <w:gridSpan w:val="3"/>
            <w:vMerge w:val="continue"/>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887" w:type="dxa"/>
            <w:gridSpan w:val="2"/>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年度资金总额：</w:t>
            </w:r>
          </w:p>
        </w:tc>
        <w:tc>
          <w:tcPr>
            <w:tcW w:w="72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400.00</w:t>
            </w:r>
          </w:p>
        </w:tc>
        <w:tc>
          <w:tcPr>
            <w:tcW w:w="965"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400.00</w:t>
            </w:r>
          </w:p>
        </w:tc>
        <w:tc>
          <w:tcPr>
            <w:tcW w:w="93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400.00</w:t>
            </w:r>
          </w:p>
        </w:tc>
        <w:tc>
          <w:tcPr>
            <w:tcW w:w="58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100.00%</w:t>
            </w:r>
          </w:p>
        </w:tc>
        <w:tc>
          <w:tcPr>
            <w:tcW w:w="113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10.00</w:t>
            </w:r>
          </w:p>
        </w:tc>
      </w:tr>
      <w:tr>
        <w:tblPrEx>
          <w:tblLayout w:type="fixed"/>
          <w:tblCellMar>
            <w:top w:w="0" w:type="dxa"/>
            <w:left w:w="0" w:type="dxa"/>
            <w:bottom w:w="0" w:type="dxa"/>
            <w:right w:w="0" w:type="dxa"/>
          </w:tblCellMar>
        </w:tblPrEx>
        <w:trPr>
          <w:trHeight w:val="672" w:hRule="atLeast"/>
        </w:trPr>
        <w:tc>
          <w:tcPr>
            <w:tcW w:w="1829" w:type="dxa"/>
            <w:gridSpan w:val="3"/>
            <w:vMerge w:val="continue"/>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887" w:type="dxa"/>
            <w:gridSpan w:val="2"/>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其中：本年财政拨款</w:t>
            </w:r>
          </w:p>
        </w:tc>
        <w:tc>
          <w:tcPr>
            <w:tcW w:w="72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400.00</w:t>
            </w:r>
          </w:p>
        </w:tc>
        <w:tc>
          <w:tcPr>
            <w:tcW w:w="965"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400.00</w:t>
            </w:r>
          </w:p>
        </w:tc>
        <w:tc>
          <w:tcPr>
            <w:tcW w:w="93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400.00</w:t>
            </w:r>
          </w:p>
        </w:tc>
        <w:tc>
          <w:tcPr>
            <w:tcW w:w="58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72" w:hRule="atLeast"/>
        </w:trPr>
        <w:tc>
          <w:tcPr>
            <w:tcW w:w="1829" w:type="dxa"/>
            <w:gridSpan w:val="3"/>
            <w:vMerge w:val="continue"/>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887" w:type="dxa"/>
            <w:gridSpan w:val="2"/>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上年结转资金</w:t>
            </w:r>
          </w:p>
        </w:tc>
        <w:tc>
          <w:tcPr>
            <w:tcW w:w="72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0.00</w:t>
            </w:r>
          </w:p>
        </w:tc>
        <w:tc>
          <w:tcPr>
            <w:tcW w:w="965"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0.00</w:t>
            </w:r>
          </w:p>
        </w:tc>
        <w:tc>
          <w:tcPr>
            <w:tcW w:w="93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0.00</w:t>
            </w:r>
          </w:p>
        </w:tc>
        <w:tc>
          <w:tcPr>
            <w:tcW w:w="58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72" w:hRule="atLeast"/>
        </w:trPr>
        <w:tc>
          <w:tcPr>
            <w:tcW w:w="1829" w:type="dxa"/>
            <w:gridSpan w:val="3"/>
            <w:vMerge w:val="continue"/>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887" w:type="dxa"/>
            <w:gridSpan w:val="2"/>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 xml:space="preserve">          其他资金</w:t>
            </w:r>
          </w:p>
        </w:tc>
        <w:tc>
          <w:tcPr>
            <w:tcW w:w="72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0.00</w:t>
            </w:r>
          </w:p>
        </w:tc>
        <w:tc>
          <w:tcPr>
            <w:tcW w:w="965"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0.00</w:t>
            </w:r>
          </w:p>
        </w:tc>
        <w:tc>
          <w:tcPr>
            <w:tcW w:w="931" w:type="dxa"/>
            <w:tcBorders>
              <w:top w:val="single" w:color="000000" w:sz="4" w:space="0"/>
              <w:left w:val="single" w:color="000000" w:sz="4" w:space="0"/>
              <w:bottom w:val="nil"/>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0.00</w:t>
            </w:r>
          </w:p>
        </w:tc>
        <w:tc>
          <w:tcPr>
            <w:tcW w:w="58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72" w:hRule="atLeast"/>
        </w:trPr>
        <w:tc>
          <w:tcPr>
            <w:tcW w:w="614" w:type="dxa"/>
            <w:vMerge w:val="restart"/>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年度总体目标</w:t>
            </w:r>
          </w:p>
        </w:tc>
        <w:tc>
          <w:tcPr>
            <w:tcW w:w="4788" w:type="dxa"/>
            <w:gridSpan w:val="6"/>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预期目标</w:t>
            </w:r>
          </w:p>
        </w:tc>
        <w:tc>
          <w:tcPr>
            <w:tcW w:w="3467" w:type="dxa"/>
            <w:gridSpan w:val="4"/>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实际完成情况</w:t>
            </w:r>
          </w:p>
        </w:tc>
      </w:tr>
      <w:tr>
        <w:tblPrEx>
          <w:tblLayout w:type="fixed"/>
          <w:tblCellMar>
            <w:top w:w="0" w:type="dxa"/>
            <w:left w:w="0" w:type="dxa"/>
            <w:bottom w:w="0" w:type="dxa"/>
            <w:right w:w="0" w:type="dxa"/>
          </w:tblCellMar>
        </w:tblPrEx>
        <w:trPr>
          <w:trHeight w:val="3300"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4788" w:type="dxa"/>
            <w:gridSpan w:val="6"/>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项目长期实施，申请400万元财政资金，主要用于城乡医疗救助，为保障困难群众基本医疗需求，最大限度减轻困难群众医疗支出负担，维护社会和谐稳定。</w:t>
            </w:r>
          </w:p>
        </w:tc>
        <w:tc>
          <w:tcPr>
            <w:tcW w:w="3467" w:type="dxa"/>
            <w:gridSpan w:val="4"/>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全区城乡医疗救助共支出1569.37万元，其中医疗救助1.8万人次，医疗救助基金支出1449.1万元；资助参保3511人，资助金额120.27万元。完善监测机制和回访机制，组织开展未参保人员、自付医疗费用超过1万人员、农村低收入人口慢特病证办理摸排筛查，推动落实各项帮扶政策，努力实现“应保尽保”“应救尽救”，2024年个人费用预警推送共21253人次，推送后认定人数33人次，实现由人找政策向政策找人主动服务转变，同时按全市统一部署，完成困难群体回访工作，回访人数1446人，回访率100%。</w:t>
            </w:r>
          </w:p>
        </w:tc>
      </w:tr>
      <w:tr>
        <w:tblPrEx>
          <w:tblLayout w:type="fixed"/>
          <w:tblCellMar>
            <w:top w:w="0" w:type="dxa"/>
            <w:left w:w="0" w:type="dxa"/>
            <w:bottom w:w="0" w:type="dxa"/>
            <w:right w:w="0" w:type="dxa"/>
          </w:tblCellMar>
        </w:tblPrEx>
        <w:trPr>
          <w:trHeight w:val="720" w:hRule="atLeast"/>
        </w:trPr>
        <w:tc>
          <w:tcPr>
            <w:tcW w:w="614" w:type="dxa"/>
            <w:vMerge w:val="restart"/>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绩效指标</w:t>
            </w:r>
          </w:p>
        </w:tc>
        <w:tc>
          <w:tcPr>
            <w:tcW w:w="61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一级指标</w:t>
            </w:r>
          </w:p>
        </w:tc>
        <w:tc>
          <w:tcPr>
            <w:tcW w:w="60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二级指标</w:t>
            </w:r>
          </w:p>
        </w:tc>
        <w:tc>
          <w:tcPr>
            <w:tcW w:w="2608" w:type="dxa"/>
            <w:gridSpan w:val="3"/>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三级指标</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年度指标值</w:t>
            </w:r>
          </w:p>
        </w:tc>
        <w:tc>
          <w:tcPr>
            <w:tcW w:w="931"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实际完成值</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分值</w:t>
            </w:r>
          </w:p>
        </w:tc>
        <w:tc>
          <w:tcPr>
            <w:tcW w:w="820"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得分</w:t>
            </w:r>
          </w:p>
        </w:tc>
        <w:tc>
          <w:tcPr>
            <w:tcW w:w="113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偏差原因分析及改进措施</w:t>
            </w:r>
          </w:p>
        </w:tc>
      </w:tr>
      <w:tr>
        <w:tblPrEx>
          <w:tblLayout w:type="fixed"/>
          <w:tblCellMar>
            <w:top w:w="0" w:type="dxa"/>
            <w:left w:w="0" w:type="dxa"/>
            <w:bottom w:w="0" w:type="dxa"/>
            <w:right w:w="0" w:type="dxa"/>
          </w:tblCellMar>
        </w:tblPrEx>
        <w:trPr>
          <w:trHeight w:val="732"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restart"/>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产出指标(50分)</w:t>
            </w:r>
          </w:p>
        </w:tc>
        <w:tc>
          <w:tcPr>
            <w:tcW w:w="600"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数量指标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城乡医疗救助代参保人数</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≥3284人</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3511</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00"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质量指标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重点救助对象的合规性</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合规</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达成预期指标</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00"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时效指标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城乡医疗救助审核、审批、资金发放及时率</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2024年12月前</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达成预期指标</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00"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成本指标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城乡医疗救助总成本</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≤400万元</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400</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732"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restart"/>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效益指标(30分)</w:t>
            </w:r>
          </w:p>
        </w:tc>
        <w:tc>
          <w:tcPr>
            <w:tcW w:w="600"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经济效益指标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本指标不适用此项目</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不适用</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不适用</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1100"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社会效益指标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通过医疗救助资金拨付，确保城乡医疗救助政策有效落实，进一步保障困难群众基本医疗需求，减轻困难群众医疗支出负担。</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程度较高</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达成预期指标</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15</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15</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00"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生态效益指标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本指标不适用</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不适用</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不适用</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1180"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可持续影响指标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保障城乡医疗救助各项政策规定有效落实，推动城乡医疗救助工作顺利开展，促进社会保障事业可持续发展</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效果明显</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达成预期指标</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15</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15</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732" w:hRule="atLeast"/>
        </w:trPr>
        <w:tc>
          <w:tcPr>
            <w:tcW w:w="614" w:type="dxa"/>
            <w:vMerge w:val="continue"/>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textDirection w:val="tbRlV"/>
            <w:vAlign w:val="center"/>
          </w:tcPr>
          <w:p>
            <w:pPr>
              <w:jc w:val="center"/>
              <w:rPr>
                <w:rFonts w:hint="eastAsia" w:ascii="宋体" w:hAnsi="宋体" w:eastAsia="宋体" w:cs="宋体"/>
                <w:i w:val="0"/>
                <w:color w:val="000000"/>
                <w:sz w:val="24"/>
                <w:szCs w:val="24"/>
                <w:u w:val="none"/>
              </w:rPr>
            </w:pPr>
          </w:p>
        </w:tc>
        <w:tc>
          <w:tcPr>
            <w:tcW w:w="61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满意度指标(10分)</w:t>
            </w:r>
          </w:p>
        </w:tc>
        <w:tc>
          <w:tcPr>
            <w:tcW w:w="600"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满意度指标</w:t>
            </w:r>
          </w:p>
        </w:tc>
        <w:tc>
          <w:tcPr>
            <w:tcW w:w="2608" w:type="dxa"/>
            <w:gridSpan w:val="3"/>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服务对象满意度</w:t>
            </w:r>
          </w:p>
        </w:tc>
        <w:tc>
          <w:tcPr>
            <w:tcW w:w="965"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≥90%</w:t>
            </w:r>
          </w:p>
        </w:tc>
        <w:tc>
          <w:tcPr>
            <w:tcW w:w="931"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90</w:t>
            </w:r>
          </w:p>
        </w:tc>
        <w:tc>
          <w:tcPr>
            <w:tcW w:w="583" w:type="dxa"/>
            <w:tcBorders>
              <w:top w:val="single" w:color="000000" w:sz="4" w:space="0"/>
              <w:left w:val="single" w:color="000000" w:sz="4" w:space="0"/>
              <w:bottom w:val="single" w:color="000000" w:sz="4" w:space="0"/>
              <w:right w:val="single" w:color="000000" w:sz="4" w:space="0"/>
            </w:tcBorders>
            <w:shd w:val="clear"/>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750" w:hRule="atLeast"/>
        </w:trPr>
        <w:tc>
          <w:tcPr>
            <w:tcW w:w="5402" w:type="dxa"/>
            <w:gridSpan w:val="7"/>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bdr w:val="none" w:color="auto" w:sz="0" w:space="0"/>
                <w:lang w:val="en-US" w:eastAsia="zh-CN" w:bidi="ar"/>
              </w:rPr>
              <w:t>总分</w:t>
            </w:r>
          </w:p>
        </w:tc>
        <w:tc>
          <w:tcPr>
            <w:tcW w:w="931"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b/>
                <w:i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bdr w:val="none" w:color="auto" w:sz="0" w:space="0"/>
                <w:lang w:val="en-US" w:eastAsia="zh-CN" w:bidi="ar"/>
              </w:rPr>
              <w:t>100</w:t>
            </w:r>
          </w:p>
        </w:tc>
        <w:tc>
          <w:tcPr>
            <w:tcW w:w="820"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bdr w:val="none" w:color="auto" w:sz="0" w:space="0"/>
                <w:lang w:val="en-US" w:eastAsia="zh-CN" w:bidi="ar"/>
              </w:rPr>
              <w:t>100.00</w:t>
            </w:r>
          </w:p>
        </w:tc>
        <w:tc>
          <w:tcPr>
            <w:tcW w:w="1133" w:type="dxa"/>
            <w:tcBorders>
              <w:top w:val="single" w:color="000000" w:sz="4" w:space="0"/>
              <w:left w:val="single" w:color="000000" w:sz="4" w:space="0"/>
              <w:bottom w:val="single" w:color="000000" w:sz="4" w:space="0"/>
              <w:right w:val="single" w:color="000000" w:sz="4" w:space="0"/>
            </w:tcBorders>
            <w:shd w:val="clear"/>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282" w:hRule="atLeast"/>
        </w:trPr>
        <w:tc>
          <w:tcPr>
            <w:tcW w:w="614"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615"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600"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996"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891"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721"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965"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931"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583"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820"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1133" w:type="dxa"/>
            <w:tcBorders>
              <w:top w:val="nil"/>
              <w:left w:val="nil"/>
              <w:bottom w:val="nil"/>
              <w:right w:val="nil"/>
            </w:tcBorders>
            <w:shd w:val="clear"/>
            <w:noWrap/>
            <w:tcMar>
              <w:top w:w="12" w:type="dxa"/>
              <w:left w:w="12" w:type="dxa"/>
              <w:right w:w="12" w:type="dxa"/>
            </w:tcMar>
            <w:vAlign w:val="center"/>
          </w:tcPr>
          <w:p>
            <w:pPr>
              <w:rPr>
                <w:rFonts w:hint="eastAsia" w:ascii="宋体" w:hAnsi="宋体" w:eastAsia="宋体" w:cs="宋体"/>
                <w:i w:val="0"/>
                <w:color w:val="000000"/>
                <w:sz w:val="22"/>
                <w:szCs w:val="22"/>
                <w:u w:val="none"/>
              </w:rPr>
            </w:pPr>
          </w:p>
        </w:tc>
      </w:tr>
      <w:bookmarkEnd w:id="0"/>
    </w:tbl>
    <w:p>
      <w:pPr>
        <w:spacing w:line="600" w:lineRule="exact"/>
        <w:ind w:firstLine="640" w:firstLineChars="200"/>
        <w:rPr>
          <w:rFonts w:hint="default" w:ascii="Times New Roman" w:hAnsi="Times New Roman"/>
          <w:color w:val="000000"/>
          <w:sz w:val="32"/>
          <w:szCs w:val="32"/>
          <w:lang w:val="en-US"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kYjc0YWUzYjZkNjBhYmFhNjEzNDJjOTFmMzJjNDMifQ=="/>
  </w:docVars>
  <w:rsids>
    <w:rsidRoot w:val="00000000"/>
    <w:rsid w:val="01D0235D"/>
    <w:rsid w:val="0489204F"/>
    <w:rsid w:val="05D074CB"/>
    <w:rsid w:val="07CF33B2"/>
    <w:rsid w:val="0E1B599E"/>
    <w:rsid w:val="0E3B2427"/>
    <w:rsid w:val="0FB47B20"/>
    <w:rsid w:val="115F3680"/>
    <w:rsid w:val="119D045C"/>
    <w:rsid w:val="16493E28"/>
    <w:rsid w:val="17F96393"/>
    <w:rsid w:val="181423FC"/>
    <w:rsid w:val="1A226249"/>
    <w:rsid w:val="1E4D010E"/>
    <w:rsid w:val="1EF74148"/>
    <w:rsid w:val="1FFA6F60"/>
    <w:rsid w:val="209470A0"/>
    <w:rsid w:val="22E80E66"/>
    <w:rsid w:val="25CD5C03"/>
    <w:rsid w:val="26794851"/>
    <w:rsid w:val="2B067D9D"/>
    <w:rsid w:val="2E865BD7"/>
    <w:rsid w:val="2EEC200B"/>
    <w:rsid w:val="2F4B1ED6"/>
    <w:rsid w:val="316521F1"/>
    <w:rsid w:val="31B63FAB"/>
    <w:rsid w:val="320C360F"/>
    <w:rsid w:val="329E0009"/>
    <w:rsid w:val="32D57EA5"/>
    <w:rsid w:val="33D1293C"/>
    <w:rsid w:val="36075B03"/>
    <w:rsid w:val="3AB800C2"/>
    <w:rsid w:val="3B356BB3"/>
    <w:rsid w:val="3C070B8D"/>
    <w:rsid w:val="3C712805"/>
    <w:rsid w:val="3FB75293"/>
    <w:rsid w:val="407D0E43"/>
    <w:rsid w:val="41C02633"/>
    <w:rsid w:val="427C46F3"/>
    <w:rsid w:val="4386591D"/>
    <w:rsid w:val="439C056B"/>
    <w:rsid w:val="43CA7A10"/>
    <w:rsid w:val="46202762"/>
    <w:rsid w:val="481C0A41"/>
    <w:rsid w:val="4A445F6B"/>
    <w:rsid w:val="4B623430"/>
    <w:rsid w:val="4C9F2FAD"/>
    <w:rsid w:val="4DBF6577"/>
    <w:rsid w:val="52127B51"/>
    <w:rsid w:val="527C610E"/>
    <w:rsid w:val="53C12435"/>
    <w:rsid w:val="543071D9"/>
    <w:rsid w:val="56837A94"/>
    <w:rsid w:val="57EE3633"/>
    <w:rsid w:val="588A28DB"/>
    <w:rsid w:val="5B9C2140"/>
    <w:rsid w:val="5C65791A"/>
    <w:rsid w:val="5D02548B"/>
    <w:rsid w:val="63C45248"/>
    <w:rsid w:val="64C61CA6"/>
    <w:rsid w:val="660541EF"/>
    <w:rsid w:val="67257407"/>
    <w:rsid w:val="6BC96326"/>
    <w:rsid w:val="6C39261C"/>
    <w:rsid w:val="6D9263B7"/>
    <w:rsid w:val="6E662309"/>
    <w:rsid w:val="71792D3C"/>
    <w:rsid w:val="76197FD9"/>
    <w:rsid w:val="77971420"/>
    <w:rsid w:val="78AB7B6D"/>
    <w:rsid w:val="78EF6552"/>
    <w:rsid w:val="79CE4C1B"/>
    <w:rsid w:val="7AF96344"/>
    <w:rsid w:val="7D612E2E"/>
    <w:rsid w:val="7EAE1DD5"/>
    <w:rsid w:val="7F16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_Style 2"/>
    <w:basedOn w:val="1"/>
    <w:qFormat/>
    <w:uiPriority w:val="99"/>
    <w:pPr>
      <w:spacing w:line="351" w:lineRule="atLeast"/>
      <w:ind w:firstLine="623"/>
      <w:textAlignment w:val="baseline"/>
    </w:pPr>
    <w:rPr>
      <w:rFonts w:eastAsia="仿宋_GB2312"/>
      <w:color w:val="000000"/>
      <w:sz w:val="31"/>
      <w:szCs w:val="3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2072</Words>
  <Characters>2289</Characters>
  <Lines>0</Lines>
  <Paragraphs>0</Paragraphs>
  <TotalTime>37</TotalTime>
  <ScaleCrop>false</ScaleCrop>
  <LinksUpToDate>false</LinksUpToDate>
  <CharactersWithSpaces>2353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2020-12-26T05:53:00Z</dcterms:created>
  <dc:creator>Administrator</dc:creator>
  <cp:lastModifiedBy>Administrator</cp:lastModifiedBy>
  <cp:lastPrinted>2023-03-21T01:42:00Z</cp:lastPrinted>
  <dcterms:modified xsi:type="dcterms:W3CDTF">2025-09-08T07:22:42Z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71C190D828FE408392EDF0574590646D_13</vt:lpwstr>
  </property>
  <property fmtid="{D5CDD505-2E9C-101B-9397-08002B2CF9AE}" pid="4" name="KSOTemplateDocerSaveRecord">
    <vt:lpwstr>eyJoZGlkIjoiYjVkYjc0YWUzYjZkNjBhYmFhNjEzNDJjOTFmMzJjNDMiLCJ1c2VySWQiOiI3MDk1NDAzNDcifQ==</vt:lpwstr>
  </property>
</Properties>
</file>