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57A70">
      <w:pPr>
        <w:spacing w:line="600" w:lineRule="exact"/>
        <w:rPr>
          <w:rFonts w:hint="default" w:ascii="Times New Roman" w:hAnsi="Times New Roman" w:eastAsia="黑体"/>
          <w:bCs/>
          <w:sz w:val="32"/>
          <w:szCs w:val="32"/>
          <w:lang w:val="en-US" w:eastAsia="zh-CN"/>
        </w:rPr>
      </w:pPr>
      <w:r>
        <w:rPr>
          <w:rFonts w:ascii="Times New Roman" w:hAnsi="Times New Roman" w:eastAsia="黑体"/>
          <w:bCs/>
          <w:sz w:val="32"/>
          <w:szCs w:val="32"/>
        </w:rPr>
        <w:t>附件</w:t>
      </w:r>
      <w:r>
        <w:rPr>
          <w:rFonts w:hint="eastAsia" w:ascii="Times New Roman" w:hAnsi="Times New Roman" w:eastAsia="黑体"/>
          <w:bCs/>
          <w:sz w:val="32"/>
          <w:szCs w:val="32"/>
          <w:lang w:val="en-US" w:eastAsia="zh-CN"/>
        </w:rPr>
        <w:t>2</w:t>
      </w:r>
    </w:p>
    <w:p w14:paraId="5DFDEAC7">
      <w:pPr>
        <w:ind w:right="120"/>
        <w:jc w:val="right"/>
        <w:rPr>
          <w:rFonts w:ascii="Times New Roman" w:hAnsi="Times New Roman" w:eastAsia="华文楷体"/>
          <w:bCs/>
          <w:sz w:val="16"/>
          <w:szCs w:val="21"/>
        </w:rPr>
      </w:pPr>
    </w:p>
    <w:p w14:paraId="0F55A9E7">
      <w:pPr>
        <w:ind w:right="120"/>
        <w:jc w:val="right"/>
        <w:rPr>
          <w:rFonts w:ascii="Times New Roman" w:hAnsi="Times New Roman" w:eastAsia="华文楷体"/>
          <w:bCs/>
          <w:sz w:val="16"/>
          <w:szCs w:val="21"/>
        </w:rPr>
      </w:pPr>
    </w:p>
    <w:p w14:paraId="5BAA3E65">
      <w:pPr>
        <w:ind w:right="120"/>
        <w:jc w:val="right"/>
        <w:rPr>
          <w:rFonts w:ascii="Times New Roman" w:hAnsi="Times New Roman" w:eastAsia="华文楷体"/>
          <w:bCs/>
          <w:sz w:val="16"/>
          <w:szCs w:val="21"/>
        </w:rPr>
      </w:pPr>
    </w:p>
    <w:p w14:paraId="59131BCA">
      <w:pPr>
        <w:jc w:val="center"/>
        <w:rPr>
          <w:rFonts w:ascii="Times New Roman" w:hAnsi="Times New Roman" w:eastAsia="黑体"/>
          <w:bCs/>
          <w:sz w:val="44"/>
        </w:rPr>
      </w:pPr>
    </w:p>
    <w:p w14:paraId="55E4F4CC">
      <w:pPr>
        <w:jc w:val="center"/>
        <w:rPr>
          <w:rFonts w:ascii="Times New Roman" w:hAnsi="Times New Roman" w:eastAsia="黑体"/>
          <w:bCs/>
          <w:sz w:val="44"/>
        </w:rPr>
      </w:pPr>
    </w:p>
    <w:p w14:paraId="01777489">
      <w:pPr>
        <w:spacing w:line="600" w:lineRule="exact"/>
        <w:jc w:val="center"/>
        <w:rPr>
          <w:rFonts w:ascii="Times New Roman" w:hAnsi="Times New Roman" w:eastAsia="方正小标宋简体"/>
          <w:bCs/>
          <w:sz w:val="44"/>
        </w:rPr>
      </w:pPr>
      <w:r>
        <w:rPr>
          <w:rFonts w:ascii="Times New Roman" w:hAnsi="Times New Roman" w:eastAsia="方正小标宋简体"/>
          <w:bCs/>
          <w:sz w:val="44"/>
        </w:rPr>
        <w:t>合肥市财政支出项目</w:t>
      </w:r>
      <w:r>
        <w:rPr>
          <w:rFonts w:hint="eastAsia" w:ascii="Times New Roman" w:hAnsi="Times New Roman" w:eastAsia="方正小标宋简体"/>
          <w:bCs/>
          <w:sz w:val="44"/>
        </w:rPr>
        <w:t>部门评价</w:t>
      </w:r>
      <w:r>
        <w:rPr>
          <w:rFonts w:ascii="Times New Roman" w:hAnsi="Times New Roman" w:eastAsia="方正小标宋简体"/>
          <w:bCs/>
          <w:sz w:val="44"/>
        </w:rPr>
        <w:t>报告</w:t>
      </w:r>
    </w:p>
    <w:p w14:paraId="2D51D986">
      <w:pPr>
        <w:jc w:val="center"/>
        <w:rPr>
          <w:rFonts w:ascii="Times New Roman" w:hAnsi="Times New Roman" w:eastAsia="楷体_GB2312"/>
          <w:b/>
          <w:bCs/>
          <w:sz w:val="32"/>
        </w:rPr>
      </w:pPr>
    </w:p>
    <w:p w14:paraId="7BA9C2C0">
      <w:pPr>
        <w:spacing w:before="156" w:beforeLines="50" w:after="156" w:afterLines="50"/>
        <w:ind w:firstLine="614" w:firstLineChars="192"/>
        <w:rPr>
          <w:rFonts w:ascii="Times New Roman" w:hAnsi="Times New Roman" w:eastAsia="楷体_GB2312"/>
          <w:sz w:val="32"/>
        </w:rPr>
      </w:pPr>
    </w:p>
    <w:p w14:paraId="4BC7745B">
      <w:pPr>
        <w:spacing w:before="156" w:beforeLines="50" w:after="156" w:afterLines="50"/>
        <w:ind w:left="2207" w:leftChars="289" w:hanging="1600" w:hangingChars="500"/>
        <w:rPr>
          <w:rFonts w:ascii="Times New Roman" w:hAnsi="Times New Roman" w:eastAsia="楷体_GB2312"/>
          <w:sz w:val="32"/>
          <w:u w:val="single"/>
        </w:rPr>
      </w:pPr>
      <w:r>
        <w:rPr>
          <w:rFonts w:ascii="Times New Roman" w:hAnsi="Times New Roman" w:eastAsia="楷体_GB2312"/>
          <w:sz w:val="32"/>
        </w:rPr>
        <w:t>项   目   名   称 ：</w:t>
      </w:r>
      <w:r>
        <w:rPr>
          <w:rFonts w:ascii="Times New Roman" w:hAnsi="Times New Roman" w:eastAsia="楷体_GB2312"/>
          <w:sz w:val="32"/>
          <w:u w:val="single"/>
        </w:rPr>
        <w:t xml:space="preserve">           </w:t>
      </w:r>
      <w:r>
        <w:rPr>
          <w:rFonts w:hint="eastAsia" w:ascii="Times New Roman" w:hAnsi="Times New Roman" w:eastAsia="楷体_GB2312"/>
          <w:sz w:val="32"/>
          <w:u w:val="single"/>
          <w:lang w:eastAsia="zh-CN"/>
        </w:rPr>
        <w:t>其他费用</w:t>
      </w:r>
      <w:r>
        <w:rPr>
          <w:rFonts w:ascii="Times New Roman" w:hAnsi="Times New Roman" w:eastAsia="楷体_GB2312"/>
          <w:sz w:val="32"/>
          <w:u w:val="single"/>
        </w:rPr>
        <w:t xml:space="preserve">          </w:t>
      </w:r>
    </w:p>
    <w:p w14:paraId="20E4D1A7">
      <w:pPr>
        <w:spacing w:before="156" w:beforeLines="50" w:after="156"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   目   单   位 ：</w:t>
      </w:r>
      <w:r>
        <w:rPr>
          <w:rFonts w:ascii="Times New Roman" w:hAnsi="Times New Roman" w:eastAsia="楷体_GB2312"/>
          <w:sz w:val="32"/>
          <w:u w:val="single"/>
        </w:rPr>
        <w:t xml:space="preserve"> </w:t>
      </w:r>
      <w:r>
        <w:rPr>
          <w:rFonts w:hint="eastAsia" w:ascii="Times New Roman" w:hAnsi="Times New Roman" w:eastAsia="楷体_GB2312"/>
          <w:sz w:val="32"/>
          <w:u w:val="single"/>
          <w:lang w:val="en-US" w:eastAsia="zh-CN"/>
        </w:rPr>
        <w:t>合肥市</w:t>
      </w:r>
      <w:r>
        <w:rPr>
          <w:rFonts w:hint="eastAsia" w:ascii="Times New Roman" w:hAnsi="Times New Roman" w:eastAsia="楷体_GB2312"/>
          <w:sz w:val="32"/>
          <w:u w:val="single"/>
        </w:rPr>
        <w:t>瑶海区住房和城乡建设局</w:t>
      </w:r>
      <w:r>
        <w:rPr>
          <w:rFonts w:ascii="Times New Roman" w:hAnsi="Times New Roman" w:eastAsia="楷体_GB2312"/>
          <w:sz w:val="32"/>
          <w:u w:val="single"/>
        </w:rPr>
        <w:t xml:space="preserve">      </w:t>
      </w:r>
    </w:p>
    <w:p w14:paraId="3955B598">
      <w:pPr>
        <w:spacing w:before="156" w:beforeLines="50" w:after="156"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项目责任人 （签字）：</w:t>
      </w:r>
      <w:r>
        <w:rPr>
          <w:rFonts w:ascii="Times New Roman" w:hAnsi="Times New Roman" w:eastAsia="楷体_GB2312"/>
          <w:sz w:val="32"/>
          <w:u w:val="single"/>
        </w:rPr>
        <w:t xml:space="preserve">                           </w:t>
      </w:r>
    </w:p>
    <w:p w14:paraId="1CA7A1E2">
      <w:pPr>
        <w:spacing w:before="156" w:beforeLines="50" w:after="156" w:afterLines="50"/>
        <w:ind w:firstLine="614" w:firstLineChars="192"/>
        <w:rPr>
          <w:rFonts w:ascii="Times New Roman" w:hAnsi="Times New Roman" w:eastAsia="楷体_GB2312"/>
          <w:sz w:val="32"/>
          <w:u w:val="single"/>
        </w:rPr>
      </w:pPr>
      <w:r>
        <w:rPr>
          <w:rFonts w:ascii="Times New Roman" w:hAnsi="Times New Roman" w:eastAsia="楷体_GB2312"/>
          <w:sz w:val="32"/>
        </w:rPr>
        <w:t>主 管 部 门（盖章）：</w:t>
      </w:r>
      <w:r>
        <w:rPr>
          <w:rFonts w:ascii="Times New Roman" w:hAnsi="Times New Roman" w:eastAsia="楷体_GB2312"/>
          <w:sz w:val="32"/>
          <w:u w:val="single"/>
        </w:rPr>
        <w:t xml:space="preserve">                           </w:t>
      </w:r>
    </w:p>
    <w:p w14:paraId="7334CC3B">
      <w:pPr>
        <w:spacing w:before="156" w:beforeLines="50" w:after="156" w:afterLines="50"/>
        <w:ind w:firstLine="614" w:firstLineChars="192"/>
        <w:rPr>
          <w:rFonts w:ascii="Times New Roman" w:hAnsi="Times New Roman" w:eastAsia="楷体_GB2312"/>
          <w:sz w:val="32"/>
        </w:rPr>
      </w:pPr>
    </w:p>
    <w:p w14:paraId="444401EA">
      <w:pPr>
        <w:ind w:firstLine="614" w:firstLineChars="192"/>
        <w:jc w:val="center"/>
        <w:rPr>
          <w:rFonts w:ascii="Times New Roman" w:hAnsi="Times New Roman" w:eastAsia="楷体_GB2312"/>
          <w:sz w:val="32"/>
        </w:rPr>
      </w:pPr>
    </w:p>
    <w:p w14:paraId="7B2B105F">
      <w:pPr>
        <w:spacing w:line="600" w:lineRule="exact"/>
        <w:jc w:val="center"/>
        <w:rPr>
          <w:rFonts w:ascii="Times New Roman" w:hAnsi="Times New Roman" w:eastAsia="方正小标宋简体"/>
          <w:bCs/>
          <w:sz w:val="44"/>
          <w:szCs w:val="24"/>
        </w:rPr>
      </w:pPr>
      <w:r>
        <w:rPr>
          <w:rFonts w:ascii="Times New Roman" w:hAnsi="Times New Roman" w:eastAsia="楷体"/>
          <w:sz w:val="32"/>
        </w:rPr>
        <w:t xml:space="preserve">      202</w:t>
      </w:r>
      <w:r>
        <w:rPr>
          <w:rFonts w:hint="eastAsia" w:ascii="Times New Roman" w:hAnsi="Times New Roman" w:eastAsia="楷体"/>
          <w:sz w:val="32"/>
          <w:lang w:val="en-US" w:eastAsia="zh-CN"/>
        </w:rPr>
        <w:t>5</w:t>
      </w:r>
      <w:r>
        <w:rPr>
          <w:rFonts w:ascii="Times New Roman" w:hAnsi="Times New Roman" w:eastAsia="楷体_GB2312"/>
          <w:sz w:val="32"/>
        </w:rPr>
        <w:t>年</w:t>
      </w:r>
      <w:r>
        <w:rPr>
          <w:rFonts w:hint="eastAsia" w:ascii="Times New Roman" w:hAnsi="Times New Roman" w:eastAsia="楷体"/>
          <w:sz w:val="32"/>
          <w:lang w:val="en-US" w:eastAsia="zh-CN"/>
        </w:rPr>
        <w:t>3</w:t>
      </w:r>
      <w:r>
        <w:rPr>
          <w:rFonts w:ascii="Times New Roman" w:hAnsi="Times New Roman" w:eastAsia="楷体_GB2312"/>
          <w:sz w:val="32"/>
        </w:rPr>
        <w:t>月</w:t>
      </w:r>
      <w:r>
        <w:rPr>
          <w:rFonts w:ascii="Times New Roman" w:hAnsi="Times New Roman" w:eastAsia="楷体_GB2312"/>
          <w:sz w:val="32"/>
        </w:rPr>
        <w:br w:type="page"/>
      </w:r>
      <w:r>
        <w:rPr>
          <w:rFonts w:hint="eastAsia" w:ascii="Times New Roman" w:hAnsi="Times New Roman" w:eastAsia="方正小标宋简体"/>
          <w:bCs/>
          <w:sz w:val="44"/>
          <w:szCs w:val="24"/>
          <w:lang w:eastAsia="zh-CN"/>
        </w:rPr>
        <w:t>202</w:t>
      </w:r>
      <w:r>
        <w:rPr>
          <w:rFonts w:hint="eastAsia" w:ascii="Times New Roman" w:hAnsi="Times New Roman" w:eastAsia="方正小标宋简体"/>
          <w:bCs/>
          <w:sz w:val="44"/>
          <w:szCs w:val="24"/>
          <w:lang w:val="en-US" w:eastAsia="zh-CN"/>
        </w:rPr>
        <w:t>4</w:t>
      </w:r>
      <w:r>
        <w:rPr>
          <w:rFonts w:ascii="Times New Roman" w:hAnsi="Times New Roman" w:eastAsia="方正小标宋简体"/>
          <w:bCs/>
          <w:sz w:val="44"/>
          <w:szCs w:val="24"/>
        </w:rPr>
        <w:t>年</w:t>
      </w:r>
      <w:r>
        <w:rPr>
          <w:rFonts w:hint="eastAsia" w:ascii="Times New Roman" w:hAnsi="Times New Roman" w:eastAsia="方正小标宋简体"/>
          <w:bCs/>
          <w:sz w:val="44"/>
          <w:szCs w:val="24"/>
          <w:lang w:val="en-US" w:eastAsia="zh-CN"/>
        </w:rPr>
        <w:t>其他费用</w:t>
      </w:r>
      <w:r>
        <w:rPr>
          <w:rFonts w:ascii="Times New Roman" w:hAnsi="Times New Roman" w:eastAsia="方正小标宋简体"/>
          <w:bCs/>
          <w:sz w:val="44"/>
          <w:szCs w:val="24"/>
        </w:rPr>
        <w:t>项目</w:t>
      </w:r>
      <w:r>
        <w:rPr>
          <w:rFonts w:hint="eastAsia" w:ascii="Times New Roman" w:hAnsi="Times New Roman" w:eastAsia="方正小标宋简体"/>
          <w:bCs/>
          <w:sz w:val="44"/>
          <w:szCs w:val="24"/>
        </w:rPr>
        <w:t>部门评价</w:t>
      </w:r>
      <w:r>
        <w:rPr>
          <w:rFonts w:ascii="Times New Roman" w:hAnsi="Times New Roman" w:eastAsia="方正小标宋简体"/>
          <w:bCs/>
          <w:sz w:val="44"/>
          <w:szCs w:val="24"/>
        </w:rPr>
        <w:t>报告</w:t>
      </w:r>
    </w:p>
    <w:p w14:paraId="12D65867">
      <w:pPr>
        <w:spacing w:line="580" w:lineRule="exact"/>
        <w:jc w:val="center"/>
        <w:rPr>
          <w:rFonts w:ascii="Times New Roman" w:hAnsi="Times New Roman" w:eastAsia="仿宋_GB2312"/>
          <w:bCs/>
          <w:sz w:val="32"/>
          <w:szCs w:val="32"/>
        </w:rPr>
      </w:pPr>
    </w:p>
    <w:p w14:paraId="04CBD208">
      <w:pPr>
        <w:widowControl/>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一、项目基本情况</w:t>
      </w:r>
    </w:p>
    <w:p w14:paraId="3A0EE5A2">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（一）项目概况</w:t>
      </w:r>
    </w:p>
    <w:p w14:paraId="3383C278">
      <w:pPr>
        <w:widowControl/>
        <w:spacing w:line="560" w:lineRule="exact"/>
        <w:ind w:firstLine="640" w:firstLineChars="200"/>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1.项目立项情况</w:t>
      </w:r>
    </w:p>
    <w:p w14:paraId="0165E28D">
      <w:pPr>
        <w:spacing w:line="560" w:lineRule="exact"/>
        <w:ind w:firstLine="646" w:firstLineChars="202"/>
        <w:rPr>
          <w:rFonts w:ascii="Times New Roman" w:hAnsi="Times New Roman" w:eastAsia="仿宋_GB2312"/>
          <w:snapToGrid w:val="0"/>
          <w:color w:val="000000"/>
          <w:sz w:val="32"/>
          <w:szCs w:val="32"/>
        </w:rPr>
      </w:pPr>
      <w:r>
        <w:rPr>
          <w:rFonts w:hint="eastAsia" w:ascii="Times New Roman" w:hAnsi="Times New Roman" w:eastAsia="仿宋_GB2312"/>
          <w:color w:val="000000"/>
          <w:sz w:val="32"/>
          <w:szCs w:val="32"/>
        </w:rPr>
        <w:t>根据市级行政部门相关审批要求，我局需完善</w:t>
      </w:r>
      <w:r>
        <w:rPr>
          <w:rFonts w:hint="eastAsia" w:ascii="Times New Roman" w:hAnsi="Times New Roman" w:eastAsia="仿宋_GB2312"/>
          <w:color w:val="000000"/>
          <w:sz w:val="32"/>
          <w:szCs w:val="32"/>
          <w:lang w:val="en-US" w:eastAsia="zh-CN"/>
        </w:rPr>
        <w:t>地块环评、风评</w:t>
      </w:r>
      <w:r>
        <w:rPr>
          <w:rFonts w:hint="eastAsia" w:ascii="Times New Roman" w:hAnsi="Times New Roman" w:eastAsia="仿宋_GB2312"/>
          <w:color w:val="000000"/>
          <w:sz w:val="32"/>
          <w:szCs w:val="32"/>
        </w:rPr>
        <w:t>等</w:t>
      </w:r>
      <w:r>
        <w:rPr>
          <w:rFonts w:hint="eastAsia" w:ascii="Times New Roman" w:hAnsi="Times New Roman" w:eastAsia="仿宋_GB2312"/>
          <w:color w:val="000000"/>
          <w:sz w:val="32"/>
          <w:szCs w:val="32"/>
          <w:lang w:val="en-US" w:eastAsia="zh-CN"/>
        </w:rPr>
        <w:t>工作，及疫情期间围挡安装等工作</w:t>
      </w:r>
      <w:r>
        <w:rPr>
          <w:rFonts w:hint="eastAsia" w:ascii="Times New Roman" w:hAnsi="Times New Roman" w:eastAsia="仿宋_GB2312"/>
          <w:color w:val="000000"/>
          <w:sz w:val="32"/>
          <w:szCs w:val="32"/>
        </w:rPr>
        <w:t>，保证大建设项目顺利开展</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建立该项目。</w:t>
      </w:r>
    </w:p>
    <w:p w14:paraId="1886B3A2">
      <w:pPr>
        <w:spacing w:line="560" w:lineRule="exact"/>
        <w:ind w:firstLine="646" w:firstLineChars="202"/>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2.项目执行情况</w:t>
      </w:r>
    </w:p>
    <w:p w14:paraId="58814D29">
      <w:pPr>
        <w:spacing w:line="560" w:lineRule="exact"/>
        <w:ind w:firstLine="646" w:firstLineChars="202"/>
        <w:rPr>
          <w:rFonts w:ascii="Times New Roman" w:hAnsi="Times New Roman" w:eastAsia="仿宋_GB2312"/>
          <w:sz w:val="32"/>
          <w:szCs w:val="32"/>
        </w:rPr>
      </w:pPr>
      <w:r>
        <w:rPr>
          <w:rFonts w:hint="eastAsia" w:ascii="Times New Roman" w:hAnsi="Times New Roman" w:eastAsia="仿宋_GB2312"/>
          <w:snapToGrid w:val="0"/>
          <w:color w:val="000000"/>
          <w:sz w:val="32"/>
          <w:szCs w:val="32"/>
          <w:lang w:val="en-US" w:eastAsia="zh-CN"/>
        </w:rPr>
        <w:t>根据年度工作，瑶海区新安江路与广德路街坊环评等四个项目、E1605地块体育场地下室项目、瑶海区地块征地前风评工作。</w:t>
      </w:r>
    </w:p>
    <w:p w14:paraId="17DE70C6">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（二）项目绩效目标</w:t>
      </w:r>
    </w:p>
    <w:p w14:paraId="7998067B">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1.项目年度总体目标</w:t>
      </w:r>
    </w:p>
    <w:p w14:paraId="70FB81A5">
      <w:pPr>
        <w:spacing w:line="560" w:lineRule="exact"/>
        <w:ind w:firstLine="646" w:firstLineChars="202"/>
      </w:pPr>
      <w:r>
        <w:rPr>
          <w:rFonts w:hint="eastAsia" w:ascii="Times New Roman" w:hAnsi="Times New Roman" w:eastAsia="仿宋_GB2312"/>
          <w:color w:val="000000"/>
          <w:sz w:val="32"/>
          <w:szCs w:val="32"/>
        </w:rPr>
        <w:t>根据市级行政部门相关审批要求，我局需完善</w:t>
      </w:r>
      <w:r>
        <w:rPr>
          <w:rFonts w:hint="eastAsia" w:ascii="Times New Roman" w:hAnsi="Times New Roman" w:eastAsia="仿宋_GB2312"/>
          <w:color w:val="000000"/>
          <w:sz w:val="32"/>
          <w:szCs w:val="32"/>
          <w:lang w:val="en-US" w:eastAsia="zh-CN"/>
        </w:rPr>
        <w:t>地块环评、风评</w:t>
      </w:r>
      <w:r>
        <w:rPr>
          <w:rFonts w:hint="eastAsia" w:ascii="Times New Roman" w:hAnsi="Times New Roman" w:eastAsia="仿宋_GB2312"/>
          <w:color w:val="000000"/>
          <w:sz w:val="32"/>
          <w:szCs w:val="32"/>
        </w:rPr>
        <w:t>等</w:t>
      </w:r>
      <w:r>
        <w:rPr>
          <w:rFonts w:hint="eastAsia" w:ascii="Times New Roman" w:hAnsi="Times New Roman" w:eastAsia="仿宋_GB2312"/>
          <w:color w:val="000000"/>
          <w:sz w:val="32"/>
          <w:szCs w:val="32"/>
          <w:lang w:val="en-US" w:eastAsia="zh-CN"/>
        </w:rPr>
        <w:t>工作，及疫情期间围挡安装等工作</w:t>
      </w:r>
      <w:r>
        <w:rPr>
          <w:rFonts w:hint="eastAsia" w:ascii="Times New Roman" w:hAnsi="Times New Roman" w:eastAsia="仿宋_GB2312"/>
          <w:color w:val="000000"/>
          <w:sz w:val="32"/>
          <w:szCs w:val="32"/>
        </w:rPr>
        <w:t>。</w:t>
      </w:r>
    </w:p>
    <w:p w14:paraId="715F9423">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2.总体目标完成情况</w:t>
      </w:r>
    </w:p>
    <w:p w14:paraId="5695EA52">
      <w:pPr>
        <w:spacing w:line="560" w:lineRule="exact"/>
        <w:ind w:firstLine="646" w:firstLineChars="202"/>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（1）</w:t>
      </w:r>
      <w:r>
        <w:rPr>
          <w:rFonts w:hint="eastAsia" w:ascii="Times New Roman" w:hAnsi="Times New Roman" w:eastAsia="仿宋_GB2312"/>
          <w:snapToGrid w:val="0"/>
          <w:color w:val="000000"/>
          <w:sz w:val="32"/>
          <w:szCs w:val="32"/>
          <w:lang w:val="en-US" w:eastAsia="zh-CN"/>
        </w:rPr>
        <w:t>瑶海区新安江路与广德路街坊环评等四个项目，环评报告已备案</w:t>
      </w:r>
      <w:r>
        <w:rPr>
          <w:rFonts w:hint="eastAsia" w:ascii="Times New Roman" w:hAnsi="Times New Roman" w:eastAsia="仿宋_GB2312"/>
          <w:color w:val="000000"/>
          <w:sz w:val="32"/>
          <w:szCs w:val="32"/>
          <w:lang w:val="en-US" w:eastAsia="zh-CN"/>
        </w:rPr>
        <w:t>。</w:t>
      </w:r>
    </w:p>
    <w:p w14:paraId="1E4443E1">
      <w:pPr>
        <w:spacing w:line="560" w:lineRule="exact"/>
        <w:ind w:firstLine="646" w:firstLineChars="202"/>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w:t>
      </w:r>
      <w:r>
        <w:rPr>
          <w:rFonts w:hint="eastAsia" w:ascii="Times New Roman" w:hAnsi="Times New Roman" w:eastAsia="仿宋_GB2312"/>
          <w:snapToGrid w:val="0"/>
          <w:color w:val="000000"/>
          <w:sz w:val="32"/>
          <w:szCs w:val="32"/>
          <w:lang w:val="en-US" w:eastAsia="zh-CN"/>
        </w:rPr>
        <w:t>E1605地块体育场地下室项目，已建成使用</w:t>
      </w:r>
      <w:r>
        <w:rPr>
          <w:rFonts w:hint="eastAsia" w:ascii="Times New Roman" w:hAnsi="Times New Roman" w:eastAsia="仿宋_GB2312"/>
          <w:color w:val="000000"/>
          <w:sz w:val="32"/>
          <w:szCs w:val="32"/>
          <w:lang w:val="en-US" w:eastAsia="zh-CN"/>
        </w:rPr>
        <w:t>。</w:t>
      </w:r>
    </w:p>
    <w:p w14:paraId="77CB7529">
      <w:pPr>
        <w:spacing w:line="560" w:lineRule="exact"/>
        <w:ind w:firstLine="646" w:firstLineChars="202"/>
        <w:rPr>
          <w:rFonts w:hint="default"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（3）</w:t>
      </w:r>
      <w:r>
        <w:rPr>
          <w:rFonts w:hint="eastAsia" w:ascii="Times New Roman" w:hAnsi="Times New Roman" w:eastAsia="仿宋_GB2312"/>
          <w:snapToGrid w:val="0"/>
          <w:color w:val="000000"/>
          <w:sz w:val="32"/>
          <w:szCs w:val="32"/>
          <w:lang w:val="en-US" w:eastAsia="zh-CN"/>
        </w:rPr>
        <w:t>瑶海区地块征地前风评工作，风评报告已备案</w:t>
      </w:r>
      <w:r>
        <w:rPr>
          <w:rFonts w:hint="eastAsia" w:ascii="Times New Roman" w:hAnsi="Times New Roman" w:eastAsia="仿宋_GB2312"/>
          <w:color w:val="000000"/>
          <w:sz w:val="32"/>
          <w:szCs w:val="32"/>
          <w:lang w:val="en-US" w:eastAsia="zh-CN"/>
        </w:rPr>
        <w:t>。</w:t>
      </w:r>
    </w:p>
    <w:p w14:paraId="57B57EA2">
      <w:pPr>
        <w:spacing w:line="56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二、绩效</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结论</w:t>
      </w:r>
    </w:p>
    <w:p w14:paraId="4ACDAF8E">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（一）总体结论</w:t>
      </w:r>
    </w:p>
    <w:p w14:paraId="27099E0E">
      <w:pPr>
        <w:spacing w:line="560" w:lineRule="exact"/>
        <w:ind w:firstLine="646" w:firstLineChars="202"/>
        <w:rPr>
          <w:rFonts w:ascii="Times New Roman" w:hAnsi="Times New Roman" w:eastAsia="仿宋_GB2312"/>
          <w:color w:val="000000"/>
          <w:sz w:val="32"/>
          <w:szCs w:val="32"/>
        </w:rPr>
      </w:pPr>
      <w:r>
        <w:rPr>
          <w:rFonts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4</w:t>
      </w:r>
      <w:r>
        <w:rPr>
          <w:rFonts w:ascii="Times New Roman" w:hAnsi="Times New Roman" w:eastAsia="仿宋_GB2312"/>
          <w:color w:val="auto"/>
          <w:sz w:val="32"/>
          <w:szCs w:val="32"/>
        </w:rPr>
        <w:t>年度，</w:t>
      </w:r>
      <w:r>
        <w:rPr>
          <w:rFonts w:hint="eastAsia" w:ascii="Times New Roman" w:hAnsi="Times New Roman" w:eastAsia="仿宋_GB2312"/>
          <w:color w:val="auto"/>
          <w:sz w:val="32"/>
          <w:szCs w:val="32"/>
          <w:lang w:val="en-US" w:eastAsia="zh-CN"/>
        </w:rPr>
        <w:t>其他费用</w:t>
      </w:r>
      <w:r>
        <w:rPr>
          <w:rFonts w:ascii="Times New Roman" w:hAnsi="Times New Roman" w:eastAsia="仿宋_GB2312"/>
          <w:color w:val="auto"/>
          <w:sz w:val="32"/>
          <w:szCs w:val="32"/>
        </w:rPr>
        <w:t>项目通过申请财政资金</w:t>
      </w:r>
      <w:r>
        <w:rPr>
          <w:rFonts w:hint="eastAsia" w:ascii="Times New Roman" w:hAnsi="Times New Roman" w:eastAsia="仿宋_GB2312"/>
          <w:color w:val="auto"/>
          <w:sz w:val="32"/>
          <w:szCs w:val="32"/>
          <w:lang w:val="en-US" w:eastAsia="zh-CN"/>
        </w:rPr>
        <w:t>290.42</w:t>
      </w:r>
      <w:r>
        <w:rPr>
          <w:rFonts w:ascii="Times New Roman" w:hAnsi="Times New Roman" w:eastAsia="仿宋_GB2312"/>
          <w:color w:val="auto"/>
          <w:sz w:val="32"/>
          <w:szCs w:val="32"/>
        </w:rPr>
        <w:t>万元，</w:t>
      </w:r>
      <w:r>
        <w:rPr>
          <w:rFonts w:hint="eastAsia" w:ascii="Times New Roman" w:hAnsi="Times New Roman" w:eastAsia="仿宋_GB2312"/>
          <w:color w:val="auto"/>
          <w:sz w:val="32"/>
          <w:szCs w:val="32"/>
          <w:lang w:val="en-US" w:eastAsia="zh-CN"/>
        </w:rPr>
        <w:t>主要用于</w:t>
      </w:r>
      <w:r>
        <w:rPr>
          <w:rFonts w:hint="eastAsia" w:ascii="Times New Roman" w:hAnsi="Times New Roman" w:eastAsia="仿宋_GB2312"/>
          <w:color w:val="000000"/>
          <w:sz w:val="32"/>
          <w:szCs w:val="32"/>
          <w:lang w:val="en-US" w:eastAsia="zh-CN"/>
        </w:rPr>
        <w:t>块环评、风评</w:t>
      </w:r>
      <w:r>
        <w:rPr>
          <w:rFonts w:hint="eastAsia" w:ascii="Times New Roman" w:hAnsi="Times New Roman" w:eastAsia="仿宋_GB2312"/>
          <w:color w:val="000000"/>
          <w:sz w:val="32"/>
          <w:szCs w:val="32"/>
        </w:rPr>
        <w:t>等</w:t>
      </w:r>
      <w:r>
        <w:rPr>
          <w:rFonts w:hint="eastAsia" w:ascii="Times New Roman" w:hAnsi="Times New Roman" w:eastAsia="仿宋_GB2312"/>
          <w:color w:val="000000"/>
          <w:sz w:val="32"/>
          <w:szCs w:val="32"/>
          <w:lang w:val="en-US" w:eastAsia="zh-CN"/>
        </w:rPr>
        <w:t>工作，</w:t>
      </w:r>
      <w:r>
        <w:rPr>
          <w:rFonts w:hint="eastAsia" w:ascii="Times New Roman" w:hAnsi="Times New Roman" w:eastAsia="仿宋_GB2312"/>
          <w:snapToGrid w:val="0"/>
          <w:color w:val="000000"/>
          <w:sz w:val="32"/>
          <w:szCs w:val="32"/>
          <w:lang w:val="en-US" w:eastAsia="zh-CN"/>
        </w:rPr>
        <w:t>E1605地块体育场地下室项目，</w:t>
      </w:r>
      <w:r>
        <w:rPr>
          <w:rFonts w:hint="eastAsia" w:ascii="Times New Roman" w:hAnsi="Times New Roman" w:eastAsia="仿宋_GB2312"/>
          <w:color w:val="000000"/>
          <w:sz w:val="32"/>
          <w:szCs w:val="32"/>
          <w:lang w:val="en-US" w:eastAsia="zh-CN"/>
        </w:rPr>
        <w:t>及疫情期间围挡安装等工作</w:t>
      </w:r>
      <w:r>
        <w:rPr>
          <w:rFonts w:hint="eastAsia" w:ascii="Times New Roman" w:hAnsi="Times New Roman" w:eastAsia="仿宋_GB2312"/>
          <w:color w:val="000000"/>
          <w:sz w:val="32"/>
          <w:szCs w:val="32"/>
        </w:rPr>
        <w:t>，保证大建设项目顺利开展</w:t>
      </w:r>
      <w:r>
        <w:rPr>
          <w:rFonts w:hint="eastAsia" w:ascii="Times New Roman" w:hAnsi="Times New Roman" w:eastAsia="仿宋_GB2312"/>
          <w:color w:val="000000"/>
          <w:sz w:val="32"/>
          <w:szCs w:val="32"/>
          <w:lang w:eastAsia="zh-CN"/>
        </w:rPr>
        <w:t>，</w:t>
      </w:r>
      <w:r>
        <w:rPr>
          <w:rFonts w:hint="eastAsia" w:ascii="Times New Roman" w:hAnsi="Times New Roman" w:eastAsia="仿宋_GB2312"/>
          <w:snapToGrid w:val="0"/>
          <w:color w:val="000000"/>
          <w:sz w:val="32"/>
          <w:szCs w:val="32"/>
          <w:lang w:val="en-US" w:eastAsia="zh-CN"/>
        </w:rPr>
        <w:t>达到项目预期效果。</w:t>
      </w:r>
    </w:p>
    <w:p w14:paraId="72CDB9E3">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w:t>
      </w:r>
      <w:r>
        <w:rPr>
          <w:rFonts w:hint="eastAsia" w:ascii="Times New Roman" w:hAnsi="Times New Roman" w:eastAsia="楷体_GB2312"/>
          <w:b/>
          <w:color w:val="000000"/>
          <w:sz w:val="32"/>
          <w:szCs w:val="32"/>
        </w:rPr>
        <w:t>评价</w:t>
      </w:r>
      <w:r>
        <w:rPr>
          <w:rFonts w:ascii="Times New Roman" w:hAnsi="Times New Roman" w:eastAsia="楷体_GB2312"/>
          <w:b/>
          <w:color w:val="000000"/>
          <w:sz w:val="32"/>
          <w:szCs w:val="32"/>
        </w:rPr>
        <w:t>结果</w:t>
      </w:r>
    </w:p>
    <w:p w14:paraId="259F1194">
      <w:pPr>
        <w:widowControl/>
        <w:spacing w:line="560" w:lineRule="exact"/>
        <w:ind w:firstLine="640" w:firstLineChars="200"/>
        <w:rPr>
          <w:rFonts w:hint="eastAsia" w:ascii="Times New Roman" w:hAnsi="Times New Roman" w:eastAsia="仿宋_GB2312"/>
          <w:snapToGrid w:val="0"/>
          <w:color w:val="000000"/>
          <w:sz w:val="32"/>
          <w:szCs w:val="32"/>
          <w:lang w:val="en-US" w:eastAsia="zh-CN"/>
        </w:rPr>
      </w:pPr>
      <w:r>
        <w:rPr>
          <w:rFonts w:hint="eastAsia" w:ascii="Times New Roman" w:hAnsi="Times New Roman" w:eastAsia="仿宋_GB2312"/>
          <w:snapToGrid w:val="0"/>
          <w:color w:val="000000"/>
          <w:sz w:val="32"/>
          <w:szCs w:val="32"/>
          <w:lang w:val="en-US" w:eastAsia="zh-CN"/>
        </w:rPr>
        <w:t>经评价，2024年度“其他费用”项目综合得分为91.94分，评价结果为“优”。</w:t>
      </w:r>
    </w:p>
    <w:p w14:paraId="45232B1D">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三、指标分析</w:t>
      </w:r>
    </w:p>
    <w:p w14:paraId="33B04385">
      <w:pPr>
        <w:widowControl/>
        <w:spacing w:line="56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sz w:val="32"/>
          <w:szCs w:val="32"/>
          <w:lang w:eastAsia="zh-CN"/>
        </w:rPr>
        <w:t>202</w:t>
      </w:r>
      <w:r>
        <w:rPr>
          <w:rFonts w:hint="eastAsia" w:ascii="Times New Roman" w:hAnsi="Times New Roman" w:eastAsia="仿宋_GB2312"/>
          <w:sz w:val="32"/>
          <w:szCs w:val="32"/>
          <w:lang w:val="en-US" w:eastAsia="zh-CN"/>
        </w:rPr>
        <w:t>4</w:t>
      </w:r>
      <w:r>
        <w:rPr>
          <w:rFonts w:ascii="Times New Roman" w:hAnsi="Times New Roman" w:eastAsia="仿宋_GB2312"/>
          <w:color w:val="000000"/>
          <w:sz w:val="32"/>
          <w:szCs w:val="32"/>
        </w:rPr>
        <w:t>年度</w:t>
      </w:r>
      <w:r>
        <w:rPr>
          <w:rFonts w:hint="eastAsia" w:ascii="Times New Roman" w:hAnsi="Times New Roman" w:eastAsia="仿宋_GB2312"/>
          <w:snapToGrid w:val="0"/>
          <w:color w:val="000000"/>
          <w:sz w:val="32"/>
          <w:szCs w:val="32"/>
          <w:lang w:val="en-US" w:eastAsia="zh-CN"/>
        </w:rPr>
        <w:t>三个项目绩效评价指标体系设置预算执行率和3个一级指标，8个二级指标，12个三级指标，各项指标评分情况分析如下：</w:t>
      </w:r>
    </w:p>
    <w:p w14:paraId="1035D15C">
      <w:pPr>
        <w:spacing w:line="592" w:lineRule="exact"/>
        <w:ind w:firstLine="643" w:firstLineChars="200"/>
        <w:rPr>
          <w:rFonts w:ascii="Times New Roman" w:hAnsi="Times New Roman" w:eastAsia="楷体_GB2312"/>
          <w:b/>
          <w:bCs/>
          <w:sz w:val="32"/>
        </w:rPr>
      </w:pPr>
      <w:r>
        <w:rPr>
          <w:rFonts w:ascii="Times New Roman" w:hAnsi="Times New Roman" w:eastAsia="楷体_GB2312"/>
          <w:b/>
          <w:bCs/>
          <w:sz w:val="32"/>
        </w:rPr>
        <w:t>（一）预算执行率（满分10分，实得</w:t>
      </w:r>
      <w:r>
        <w:rPr>
          <w:rFonts w:hint="eastAsia" w:ascii="Times New Roman" w:hAnsi="Times New Roman" w:eastAsia="楷体_GB2312"/>
          <w:b/>
          <w:bCs/>
          <w:sz w:val="32"/>
          <w:lang w:val="en-US" w:eastAsia="zh-CN"/>
        </w:rPr>
        <w:t>9.94</w:t>
      </w:r>
      <w:r>
        <w:rPr>
          <w:rFonts w:ascii="Times New Roman" w:hAnsi="Times New Roman" w:eastAsia="楷体_GB2312"/>
          <w:b/>
          <w:bCs/>
          <w:sz w:val="32"/>
        </w:rPr>
        <w:t>分）</w:t>
      </w:r>
    </w:p>
    <w:p w14:paraId="6D0BB289">
      <w:pPr>
        <w:widowControl/>
        <w:spacing w:line="560" w:lineRule="exact"/>
        <w:ind w:firstLine="640" w:firstLineChars="200"/>
        <w:rPr>
          <w:rFonts w:hint="eastAsia" w:ascii="Times New Roman" w:hAnsi="Times New Roman" w:eastAsia="仿宋_GB2312"/>
          <w:snapToGrid w:val="0"/>
          <w:color w:val="000000"/>
          <w:sz w:val="32"/>
          <w:szCs w:val="32"/>
          <w:lang w:val="en-US" w:eastAsia="zh-CN"/>
        </w:rPr>
      </w:pPr>
      <w:r>
        <w:rPr>
          <w:rFonts w:hint="eastAsia" w:ascii="Times New Roman" w:hAnsi="Times New Roman" w:eastAsia="仿宋_GB2312"/>
          <w:snapToGrid w:val="0"/>
          <w:color w:val="000000"/>
          <w:sz w:val="32"/>
          <w:szCs w:val="32"/>
          <w:lang w:val="en-US" w:eastAsia="zh-CN"/>
        </w:rPr>
        <w:t>2024年，“其他费用”项目全年预算安排</w:t>
      </w:r>
      <w:r>
        <w:rPr>
          <w:rFonts w:hint="eastAsia" w:ascii="Times New Roman" w:hAnsi="Times New Roman" w:eastAsia="仿宋_GB2312"/>
          <w:color w:val="auto"/>
          <w:sz w:val="32"/>
          <w:szCs w:val="32"/>
          <w:lang w:val="en-US" w:eastAsia="zh-CN"/>
        </w:rPr>
        <w:t>292.19</w:t>
      </w:r>
      <w:r>
        <w:rPr>
          <w:rFonts w:hint="eastAsia" w:ascii="Times New Roman" w:hAnsi="Times New Roman" w:eastAsia="仿宋_GB2312"/>
          <w:snapToGrid w:val="0"/>
          <w:color w:val="000000"/>
          <w:sz w:val="32"/>
          <w:szCs w:val="32"/>
          <w:lang w:val="en-US" w:eastAsia="zh-CN"/>
        </w:rPr>
        <w:t>万元，全年执行</w:t>
      </w:r>
      <w:r>
        <w:rPr>
          <w:rFonts w:hint="eastAsia" w:ascii="Times New Roman" w:hAnsi="Times New Roman" w:eastAsia="仿宋_GB2312"/>
          <w:color w:val="auto"/>
          <w:sz w:val="32"/>
          <w:szCs w:val="32"/>
          <w:lang w:val="en-US" w:eastAsia="zh-CN"/>
        </w:rPr>
        <w:t>290.42</w:t>
      </w:r>
      <w:r>
        <w:rPr>
          <w:rFonts w:hint="eastAsia" w:ascii="Times New Roman" w:hAnsi="Times New Roman" w:eastAsia="仿宋_GB2312"/>
          <w:snapToGrid w:val="0"/>
          <w:color w:val="000000"/>
          <w:sz w:val="32"/>
          <w:szCs w:val="32"/>
          <w:lang w:val="en-US" w:eastAsia="zh-CN"/>
        </w:rPr>
        <w:t>万元，预算执行率99.39%，得分9.94分。</w:t>
      </w:r>
    </w:p>
    <w:p w14:paraId="11DB0038">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二</w:t>
      </w:r>
      <w:r>
        <w:rPr>
          <w:rFonts w:ascii="Times New Roman" w:hAnsi="Times New Roman" w:eastAsia="楷体_GB2312"/>
          <w:b/>
          <w:color w:val="000000"/>
          <w:sz w:val="32"/>
          <w:szCs w:val="32"/>
        </w:rPr>
        <w:t>）产出指标（满分</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42</w:t>
      </w:r>
      <w:r>
        <w:rPr>
          <w:rFonts w:ascii="Times New Roman" w:hAnsi="Times New Roman" w:eastAsia="楷体_GB2312"/>
          <w:b/>
          <w:color w:val="000000"/>
          <w:sz w:val="32"/>
          <w:szCs w:val="32"/>
        </w:rPr>
        <w:t>分）</w:t>
      </w:r>
    </w:p>
    <w:p w14:paraId="78D5B62E">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sz w:val="32"/>
          <w:szCs w:val="32"/>
        </w:rPr>
        <w:t>1.数量指标（满分</w:t>
      </w:r>
      <w:r>
        <w:rPr>
          <w:rFonts w:hint="eastAsia" w:ascii="Times New Roman" w:hAnsi="Times New Roman" w:eastAsia="仿宋_GB2312"/>
          <w:sz w:val="32"/>
          <w:szCs w:val="32"/>
          <w:lang w:val="en-US" w:eastAsia="zh-CN"/>
        </w:rPr>
        <w:t>12</w:t>
      </w:r>
      <w:r>
        <w:rPr>
          <w:rFonts w:ascii="Times New Roman" w:hAnsi="Times New Roman" w:eastAsia="仿宋_GB2312"/>
          <w:sz w:val="32"/>
          <w:szCs w:val="32"/>
        </w:rPr>
        <w:t>分，</w:t>
      </w:r>
      <w:r>
        <w:rPr>
          <w:rFonts w:ascii="Times New Roman" w:hAnsi="Times New Roman" w:eastAsia="仿宋_GB2312"/>
          <w:color w:val="000000"/>
          <w:sz w:val="32"/>
          <w:szCs w:val="32"/>
        </w:rPr>
        <w:t>实得</w:t>
      </w:r>
      <w:r>
        <w:rPr>
          <w:rFonts w:hint="eastAsia" w:ascii="Times New Roman" w:hAnsi="Times New Roman" w:eastAsia="仿宋_GB2312"/>
          <w:color w:val="000000"/>
          <w:sz w:val="32"/>
          <w:szCs w:val="32"/>
          <w:lang w:val="en-US" w:eastAsia="zh-CN"/>
        </w:rPr>
        <w:t>4</w:t>
      </w:r>
      <w:r>
        <w:rPr>
          <w:rFonts w:ascii="Times New Roman" w:hAnsi="Times New Roman" w:eastAsia="仿宋_GB2312"/>
          <w:color w:val="000000"/>
          <w:sz w:val="32"/>
          <w:szCs w:val="32"/>
        </w:rPr>
        <w:t>分）</w:t>
      </w:r>
    </w:p>
    <w:p w14:paraId="16A8AA84">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年度设定的数量指标为</w:t>
      </w:r>
      <w:r>
        <w:rPr>
          <w:rFonts w:hint="eastAsia" w:ascii="Times New Roman" w:hAnsi="Times New Roman" w:eastAsia="仿宋_GB2312"/>
          <w:color w:val="000000"/>
          <w:sz w:val="32"/>
          <w:szCs w:val="32"/>
          <w:lang w:val="en-US" w:eastAsia="zh-CN"/>
        </w:rPr>
        <w:t>工业地块场地调查</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200亩，实际完成0亩</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完成竣工财务决算道路数量6条，实际完成10条</w:t>
      </w:r>
      <w:r>
        <w:rPr>
          <w:rFonts w:ascii="Times New Roman" w:hAnsi="Times New Roman" w:eastAsia="仿宋_GB2312"/>
          <w:b/>
          <w:color w:val="000000"/>
          <w:sz w:val="32"/>
          <w:szCs w:val="32"/>
        </w:rPr>
        <w:t xml:space="preserve"> </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非公共事业项目电力接入</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1个，</w:t>
      </w:r>
      <w:r>
        <w:rPr>
          <w:rFonts w:ascii="Times New Roman" w:hAnsi="Times New Roman" w:eastAsia="仿宋_GB2312"/>
          <w:color w:val="000000"/>
          <w:sz w:val="32"/>
          <w:szCs w:val="32"/>
        </w:rPr>
        <w:t>实际完成</w:t>
      </w:r>
      <w:r>
        <w:rPr>
          <w:rFonts w:hint="eastAsia" w:ascii="Times New Roman" w:hAnsi="Times New Roman" w:eastAsia="仿宋_GB2312"/>
          <w:color w:val="000000"/>
          <w:sz w:val="32"/>
          <w:szCs w:val="32"/>
          <w:lang w:val="en-US" w:eastAsia="zh-CN"/>
        </w:rPr>
        <w:t>0个；</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4</w:t>
      </w:r>
      <w:r>
        <w:rPr>
          <w:rFonts w:ascii="Times New Roman" w:hAnsi="Times New Roman" w:eastAsia="仿宋_GB2312"/>
          <w:color w:val="000000"/>
          <w:sz w:val="32"/>
          <w:szCs w:val="32"/>
        </w:rPr>
        <w:t>分。</w:t>
      </w:r>
    </w:p>
    <w:p w14:paraId="1B02F6EA">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2.时效指标（满分</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p>
    <w:p w14:paraId="699B7DC2">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年度设定的时效指标为</w:t>
      </w:r>
      <w:r>
        <w:rPr>
          <w:rFonts w:hint="eastAsia" w:ascii="Times New Roman" w:hAnsi="Times New Roman" w:eastAsia="仿宋_GB2312"/>
          <w:color w:val="000000"/>
          <w:sz w:val="32"/>
          <w:szCs w:val="32"/>
          <w:lang w:val="en-US" w:eastAsia="zh-CN"/>
        </w:rPr>
        <w:t>2024年12月底之前完成</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lang w:eastAsia="zh-CN"/>
        </w:rPr>
        <w:t>达成预期指标</w:t>
      </w:r>
      <w:r>
        <w:rPr>
          <w:rFonts w:ascii="Times New Roman" w:hAnsi="Times New Roman" w:eastAsia="仿宋_GB2312"/>
          <w:b/>
          <w:color w:val="000000"/>
          <w:sz w:val="32"/>
          <w:szCs w:val="32"/>
        </w:rPr>
        <w:t>，</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p>
    <w:p w14:paraId="127E09C0">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3.质量指标（满分</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p>
    <w:p w14:paraId="10D98BA1">
      <w:pPr>
        <w:spacing w:line="600" w:lineRule="exact"/>
        <w:ind w:firstLine="640" w:firstLineChars="200"/>
        <w:rPr>
          <w:rFonts w:ascii="Times New Roman" w:hAnsi="Times New Roman" w:eastAsia="仿宋_GB2312"/>
          <w:sz w:val="32"/>
          <w:szCs w:val="32"/>
        </w:rPr>
      </w:pPr>
      <w:r>
        <w:rPr>
          <w:rFonts w:ascii="Times New Roman" w:hAnsi="Times New Roman" w:eastAsia="仿宋_GB2312"/>
          <w:color w:val="000000"/>
          <w:sz w:val="32"/>
          <w:szCs w:val="32"/>
        </w:rPr>
        <w:t>年度设定的质量指标为</w:t>
      </w:r>
      <w:r>
        <w:rPr>
          <w:rFonts w:hint="eastAsia" w:ascii="Times New Roman" w:hAnsi="Times New Roman" w:eastAsia="仿宋_GB2312"/>
          <w:color w:val="000000"/>
          <w:sz w:val="32"/>
          <w:szCs w:val="32"/>
          <w:lang w:val="en-US" w:eastAsia="zh-CN"/>
        </w:rPr>
        <w:t>符合国家土壤污染防治法要求，竣工财务决算项目通过率100%，验收合格率100%</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lang w:eastAsia="zh-CN"/>
        </w:rPr>
        <w:t>达成预期指标</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r>
        <w:rPr>
          <w:rFonts w:ascii="Times New Roman" w:hAnsi="Times New Roman" w:eastAsia="仿宋_GB2312"/>
          <w:sz w:val="32"/>
          <w:szCs w:val="32"/>
        </w:rPr>
        <w:tab/>
      </w:r>
    </w:p>
    <w:p w14:paraId="39CE4EC0">
      <w:pPr>
        <w:spacing w:line="600" w:lineRule="exact"/>
        <w:ind w:firstLine="640" w:firstLineChars="200"/>
        <w:rPr>
          <w:rFonts w:ascii="Times New Roman" w:hAnsi="Times New Roman" w:eastAsia="仿宋_GB2312"/>
          <w:sz w:val="32"/>
          <w:szCs w:val="32"/>
        </w:rPr>
      </w:pPr>
      <w:r>
        <w:rPr>
          <w:rFonts w:ascii="Times New Roman" w:hAnsi="Times New Roman" w:eastAsia="仿宋_GB2312"/>
          <w:color w:val="000000"/>
          <w:sz w:val="32"/>
          <w:szCs w:val="32"/>
        </w:rPr>
        <w:t>4.成本指标（满分</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r>
        <w:rPr>
          <w:rFonts w:ascii="Times New Roman" w:hAnsi="Times New Roman" w:eastAsia="仿宋_GB2312"/>
          <w:sz w:val="32"/>
          <w:szCs w:val="32"/>
        </w:rPr>
        <w:tab/>
      </w:r>
    </w:p>
    <w:p w14:paraId="0691AC0B">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年度设定的成本指标为</w:t>
      </w:r>
      <w:r>
        <w:rPr>
          <w:rFonts w:hint="default" w:ascii="Arial" w:hAnsi="Arial" w:eastAsia="仿宋_GB2312" w:cs="Arial"/>
          <w:color w:val="000000"/>
          <w:sz w:val="32"/>
          <w:szCs w:val="32"/>
        </w:rPr>
        <w:t>≤</w:t>
      </w:r>
      <w:r>
        <w:rPr>
          <w:rFonts w:hint="eastAsia" w:ascii="Times New Roman" w:hAnsi="Times New Roman" w:eastAsia="仿宋_GB2312"/>
          <w:snapToGrid w:val="0"/>
          <w:color w:val="000000"/>
          <w:sz w:val="32"/>
          <w:szCs w:val="32"/>
          <w:lang w:val="en-US" w:eastAsia="zh-CN"/>
        </w:rPr>
        <w:t>987万元</w:t>
      </w:r>
      <w:r>
        <w:rPr>
          <w:rFonts w:ascii="Times New Roman" w:hAnsi="Times New Roman" w:eastAsia="仿宋_GB2312"/>
          <w:color w:val="000000"/>
          <w:sz w:val="32"/>
          <w:szCs w:val="32"/>
        </w:rPr>
        <w:t>；实际完成情况为</w:t>
      </w:r>
      <w:r>
        <w:rPr>
          <w:rFonts w:hint="eastAsia" w:ascii="Times New Roman" w:hAnsi="Times New Roman" w:eastAsia="仿宋_GB2312"/>
          <w:snapToGrid w:val="0"/>
          <w:color w:val="000000"/>
          <w:sz w:val="32"/>
          <w:szCs w:val="32"/>
          <w:lang w:val="en-US" w:eastAsia="zh-CN"/>
        </w:rPr>
        <w:t>290.42</w:t>
      </w:r>
      <w:r>
        <w:rPr>
          <w:rFonts w:hint="eastAsia" w:ascii="Times New Roman" w:hAnsi="Times New Roman" w:eastAsia="仿宋_GB2312"/>
          <w:color w:val="000000"/>
          <w:sz w:val="32"/>
          <w:szCs w:val="32"/>
          <w:lang w:val="en-US" w:eastAsia="zh-CN"/>
        </w:rPr>
        <w:t>万元</w:t>
      </w:r>
      <w:r>
        <w:rPr>
          <w:rFonts w:ascii="Times New Roman" w:hAnsi="Times New Roman" w:eastAsia="仿宋_GB2312"/>
          <w:b/>
          <w:color w:val="000000"/>
          <w:sz w:val="32"/>
          <w:szCs w:val="32"/>
        </w:rPr>
        <w:t>，</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p>
    <w:p w14:paraId="79CBE233">
      <w:pPr>
        <w:widowControl/>
        <w:spacing w:line="600" w:lineRule="exact"/>
        <w:ind w:right="-283"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三</w:t>
      </w:r>
      <w:r>
        <w:rPr>
          <w:rFonts w:ascii="Times New Roman" w:hAnsi="Times New Roman" w:eastAsia="楷体_GB2312"/>
          <w:b/>
          <w:color w:val="000000"/>
          <w:sz w:val="32"/>
          <w:szCs w:val="32"/>
        </w:rPr>
        <w:t>）效益指标（满分</w:t>
      </w:r>
      <w:r>
        <w:rPr>
          <w:rFonts w:hint="eastAsia" w:ascii="Times New Roman" w:hAnsi="Times New Roman" w:eastAsia="楷体_GB2312"/>
          <w:b/>
          <w:color w:val="000000"/>
          <w:sz w:val="32"/>
          <w:szCs w:val="32"/>
          <w:lang w:val="en-US" w:eastAsia="zh-CN"/>
        </w:rPr>
        <w:t>3</w:t>
      </w:r>
      <w:r>
        <w:rPr>
          <w:rFonts w:ascii="Times New Roman" w:hAnsi="Times New Roman" w:eastAsia="楷体_GB2312"/>
          <w:b/>
          <w:color w:val="000000"/>
          <w:sz w:val="32"/>
          <w:szCs w:val="32"/>
        </w:rPr>
        <w:t>0分，实得</w:t>
      </w:r>
      <w:r>
        <w:rPr>
          <w:rFonts w:hint="eastAsia" w:ascii="Times New Roman" w:hAnsi="Times New Roman" w:eastAsia="楷体_GB2312"/>
          <w:b/>
          <w:color w:val="000000"/>
          <w:sz w:val="32"/>
          <w:szCs w:val="32"/>
          <w:lang w:val="en-US" w:eastAsia="zh-CN"/>
        </w:rPr>
        <w:t>30</w:t>
      </w:r>
      <w:r>
        <w:rPr>
          <w:rFonts w:ascii="Times New Roman" w:hAnsi="Times New Roman" w:eastAsia="楷体_GB2312"/>
          <w:b/>
          <w:color w:val="000000"/>
          <w:sz w:val="32"/>
          <w:szCs w:val="32"/>
        </w:rPr>
        <w:t>分）</w:t>
      </w:r>
    </w:p>
    <w:p w14:paraId="48036625">
      <w:pPr>
        <w:pStyle w:val="9"/>
        <w:keepNext w:val="0"/>
        <w:keepLines w:val="0"/>
        <w:pageBreakBefore w:val="0"/>
        <w:widowControl w:val="0"/>
        <w:kinsoku/>
        <w:wordWrap/>
        <w:overflowPunct/>
        <w:topLinePunct w:val="0"/>
        <w:autoSpaceDE/>
        <w:autoSpaceDN/>
        <w:bidi w:val="0"/>
        <w:adjustRightInd/>
        <w:snapToGrid/>
        <w:ind w:firstLine="560"/>
        <w:textAlignment w:val="auto"/>
        <w:rPr>
          <w:rFonts w:ascii="Times New Roman" w:hAnsi="Times New Roman" w:eastAsia="仿宋_GB2312" w:cs="Times New Roman"/>
          <w:color w:val="000000"/>
          <w:kern w:val="2"/>
          <w:sz w:val="32"/>
          <w:szCs w:val="32"/>
          <w:lang w:val="en-US" w:eastAsia="zh-CN" w:bidi="ar-SA"/>
        </w:rPr>
      </w:pPr>
      <w:r>
        <w:rPr>
          <w:rFonts w:ascii="Times New Roman" w:hAnsi="Times New Roman" w:eastAsia="仿宋_GB2312" w:cs="Times New Roman"/>
          <w:color w:val="000000"/>
          <w:kern w:val="2"/>
          <w:sz w:val="32"/>
          <w:szCs w:val="32"/>
          <w:lang w:val="en-US" w:eastAsia="zh-CN" w:bidi="ar-SA"/>
        </w:rPr>
        <w:t>1.经济效益指标（满分</w:t>
      </w:r>
      <w:r>
        <w:rPr>
          <w:rFonts w:hint="eastAsia" w:ascii="Times New Roman" w:hAnsi="Times New Roman" w:cs="Times New Roman"/>
          <w:color w:val="000000"/>
          <w:kern w:val="2"/>
          <w:sz w:val="32"/>
          <w:szCs w:val="32"/>
          <w:lang w:val="en-US" w:eastAsia="zh-CN" w:bidi="ar-SA"/>
        </w:rPr>
        <w:t>0</w:t>
      </w:r>
      <w:r>
        <w:rPr>
          <w:rFonts w:ascii="Times New Roman" w:hAnsi="Times New Roman" w:eastAsia="仿宋_GB2312" w:cs="Times New Roman"/>
          <w:color w:val="000000"/>
          <w:kern w:val="2"/>
          <w:sz w:val="32"/>
          <w:szCs w:val="32"/>
          <w:lang w:val="en-US" w:eastAsia="zh-CN" w:bidi="ar-SA"/>
        </w:rPr>
        <w:t>分，实得</w:t>
      </w:r>
      <w:r>
        <w:rPr>
          <w:rFonts w:hint="eastAsia" w:ascii="Times New Roman" w:hAnsi="Times New Roman" w:cs="Times New Roman"/>
          <w:color w:val="000000"/>
          <w:kern w:val="2"/>
          <w:sz w:val="32"/>
          <w:szCs w:val="32"/>
          <w:lang w:val="en-US" w:eastAsia="zh-CN" w:bidi="ar-SA"/>
        </w:rPr>
        <w:t>0</w:t>
      </w:r>
      <w:r>
        <w:rPr>
          <w:rFonts w:ascii="Times New Roman" w:hAnsi="Times New Roman" w:eastAsia="仿宋_GB2312" w:cs="Times New Roman"/>
          <w:color w:val="000000"/>
          <w:kern w:val="2"/>
          <w:sz w:val="32"/>
          <w:szCs w:val="32"/>
          <w:lang w:val="en-US" w:eastAsia="zh-CN" w:bidi="ar-SA"/>
        </w:rPr>
        <w:t>分）</w:t>
      </w:r>
    </w:p>
    <w:p w14:paraId="2C04BBDD">
      <w:pPr>
        <w:pStyle w:val="9"/>
        <w:keepNext w:val="0"/>
        <w:keepLines w:val="0"/>
        <w:pageBreakBefore w:val="0"/>
        <w:widowControl w:val="0"/>
        <w:kinsoku/>
        <w:wordWrap/>
        <w:overflowPunct/>
        <w:topLinePunct w:val="0"/>
        <w:autoSpaceDE/>
        <w:autoSpaceDN/>
        <w:bidi w:val="0"/>
        <w:adjustRightInd/>
        <w:snapToGrid/>
        <w:ind w:firstLine="560"/>
        <w:textAlignment w:val="auto"/>
        <w:rPr>
          <w:rFonts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该效益指标不适用于本次项目评价。根据评分标准得</w:t>
      </w:r>
      <w:r>
        <w:rPr>
          <w:rFonts w:hint="eastAsia" w:ascii="Times New Roman" w:hAnsi="Times New Roman" w:cs="Times New Roman"/>
          <w:color w:val="000000"/>
          <w:kern w:val="2"/>
          <w:sz w:val="32"/>
          <w:szCs w:val="32"/>
          <w:lang w:val="en-US" w:eastAsia="zh-CN" w:bidi="ar-SA"/>
        </w:rPr>
        <w:t>0</w:t>
      </w:r>
      <w:r>
        <w:rPr>
          <w:rFonts w:hint="eastAsia" w:ascii="Times New Roman" w:hAnsi="Times New Roman" w:eastAsia="仿宋_GB2312" w:cs="Times New Roman"/>
          <w:color w:val="000000"/>
          <w:kern w:val="2"/>
          <w:sz w:val="32"/>
          <w:szCs w:val="32"/>
          <w:lang w:val="en-US" w:eastAsia="zh-CN" w:bidi="ar-SA"/>
        </w:rPr>
        <w:t>分。</w:t>
      </w:r>
    </w:p>
    <w:p w14:paraId="07C068BC">
      <w:pPr>
        <w:numPr>
          <w:ilvl w:val="0"/>
          <w:numId w:val="0"/>
        </w:numPr>
        <w:spacing w:line="600" w:lineRule="exact"/>
        <w:ind w:firstLine="640" w:firstLineChars="200"/>
        <w:rPr>
          <w:rFonts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2.</w:t>
      </w:r>
      <w:r>
        <w:rPr>
          <w:rFonts w:ascii="Times New Roman" w:hAnsi="Times New Roman" w:eastAsia="仿宋_GB2312" w:cs="Times New Roman"/>
          <w:color w:val="000000"/>
          <w:kern w:val="2"/>
          <w:sz w:val="32"/>
          <w:szCs w:val="32"/>
          <w:lang w:val="en-US" w:eastAsia="zh-CN" w:bidi="ar-SA"/>
        </w:rPr>
        <w:t>社会效益指标（满分</w:t>
      </w:r>
      <w:r>
        <w:rPr>
          <w:rFonts w:hint="eastAsia" w:ascii="Times New Roman" w:hAnsi="Times New Roman" w:eastAsia="仿宋_GB2312" w:cs="Times New Roman"/>
          <w:color w:val="000000"/>
          <w:kern w:val="2"/>
          <w:sz w:val="32"/>
          <w:szCs w:val="32"/>
          <w:lang w:val="en-US" w:eastAsia="zh-CN" w:bidi="ar-SA"/>
        </w:rPr>
        <w:t>10</w:t>
      </w:r>
      <w:r>
        <w:rPr>
          <w:rFonts w:ascii="Times New Roman" w:hAnsi="Times New Roman" w:eastAsia="仿宋_GB2312" w:cs="Times New Roman"/>
          <w:color w:val="000000"/>
          <w:kern w:val="2"/>
          <w:sz w:val="32"/>
          <w:szCs w:val="32"/>
          <w:lang w:val="en-US" w:eastAsia="zh-CN" w:bidi="ar-SA"/>
        </w:rPr>
        <w:t>分，实得</w:t>
      </w:r>
      <w:r>
        <w:rPr>
          <w:rFonts w:hint="eastAsia" w:ascii="Times New Roman" w:hAnsi="Times New Roman" w:eastAsia="仿宋_GB2312" w:cs="Times New Roman"/>
          <w:color w:val="000000"/>
          <w:kern w:val="2"/>
          <w:sz w:val="32"/>
          <w:szCs w:val="32"/>
          <w:lang w:val="en-US" w:eastAsia="zh-CN" w:bidi="ar-SA"/>
        </w:rPr>
        <w:t>10</w:t>
      </w:r>
      <w:r>
        <w:rPr>
          <w:rFonts w:ascii="Times New Roman" w:hAnsi="Times New Roman" w:eastAsia="仿宋_GB2312" w:cs="Times New Roman"/>
          <w:color w:val="000000"/>
          <w:kern w:val="2"/>
          <w:sz w:val="32"/>
          <w:szCs w:val="32"/>
          <w:lang w:val="en-US" w:eastAsia="zh-CN" w:bidi="ar-SA"/>
        </w:rPr>
        <w:t>分）</w:t>
      </w:r>
    </w:p>
    <w:p w14:paraId="407FF21E">
      <w:pPr>
        <w:numPr>
          <w:ilvl w:val="0"/>
          <w:numId w:val="0"/>
        </w:numPr>
        <w:spacing w:line="600" w:lineRule="exact"/>
        <w:ind w:firstLine="640" w:firstLineChars="200"/>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通过该项目的实施，对保障各项业务工作正常开展的影响程度较高。根据评分标准得10分。</w:t>
      </w:r>
    </w:p>
    <w:p w14:paraId="50CF5759">
      <w:pPr>
        <w:spacing w:line="600" w:lineRule="exact"/>
        <w:ind w:firstLine="640" w:firstLineChars="200"/>
        <w:rPr>
          <w:rFonts w:ascii="Times New Roman" w:hAnsi="Times New Roman" w:eastAsia="仿宋_GB2312" w:cs="Times New Roman"/>
          <w:color w:val="000000"/>
          <w:kern w:val="2"/>
          <w:sz w:val="32"/>
          <w:szCs w:val="32"/>
          <w:lang w:val="en-US" w:eastAsia="zh-CN" w:bidi="ar-SA"/>
        </w:rPr>
      </w:pPr>
      <w:r>
        <w:rPr>
          <w:rFonts w:ascii="Times New Roman" w:hAnsi="Times New Roman" w:eastAsia="仿宋_GB2312" w:cs="Times New Roman"/>
          <w:color w:val="000000"/>
          <w:kern w:val="2"/>
          <w:sz w:val="32"/>
          <w:szCs w:val="32"/>
          <w:lang w:val="en-US" w:eastAsia="zh-CN" w:bidi="ar-SA"/>
        </w:rPr>
        <w:t>3.生态效益指标（满分</w:t>
      </w:r>
      <w:r>
        <w:rPr>
          <w:rFonts w:hint="eastAsia" w:ascii="Times New Roman" w:hAnsi="Times New Roman" w:eastAsia="仿宋_GB2312" w:cs="Times New Roman"/>
          <w:color w:val="000000"/>
          <w:kern w:val="2"/>
          <w:sz w:val="32"/>
          <w:szCs w:val="32"/>
          <w:lang w:val="en-US" w:eastAsia="zh-CN" w:bidi="ar-SA"/>
        </w:rPr>
        <w:t>10</w:t>
      </w:r>
      <w:r>
        <w:rPr>
          <w:rFonts w:ascii="Times New Roman" w:hAnsi="Times New Roman" w:eastAsia="仿宋_GB2312" w:cs="Times New Roman"/>
          <w:color w:val="000000"/>
          <w:kern w:val="2"/>
          <w:sz w:val="32"/>
          <w:szCs w:val="32"/>
          <w:lang w:val="en-US" w:eastAsia="zh-CN" w:bidi="ar-SA"/>
        </w:rPr>
        <w:t>分，实得</w:t>
      </w:r>
      <w:r>
        <w:rPr>
          <w:rFonts w:hint="eastAsia" w:ascii="Times New Roman" w:hAnsi="Times New Roman" w:eastAsia="仿宋_GB2312" w:cs="Times New Roman"/>
          <w:color w:val="000000"/>
          <w:kern w:val="2"/>
          <w:sz w:val="32"/>
          <w:szCs w:val="32"/>
          <w:lang w:val="en-US" w:eastAsia="zh-CN" w:bidi="ar-SA"/>
        </w:rPr>
        <w:t>10</w:t>
      </w:r>
      <w:r>
        <w:rPr>
          <w:rFonts w:ascii="Times New Roman" w:hAnsi="Times New Roman" w:eastAsia="仿宋_GB2312" w:cs="Times New Roman"/>
          <w:color w:val="000000"/>
          <w:kern w:val="2"/>
          <w:sz w:val="32"/>
          <w:szCs w:val="32"/>
          <w:lang w:val="en-US" w:eastAsia="zh-CN" w:bidi="ar-SA"/>
        </w:rPr>
        <w:t>分）</w:t>
      </w:r>
    </w:p>
    <w:p w14:paraId="721256EC">
      <w:pPr>
        <w:pStyle w:val="9"/>
        <w:keepNext w:val="0"/>
        <w:keepLines w:val="0"/>
        <w:pageBreakBefore w:val="0"/>
        <w:widowControl w:val="0"/>
        <w:kinsoku/>
        <w:wordWrap/>
        <w:overflowPunct/>
        <w:topLinePunct w:val="0"/>
        <w:autoSpaceDE/>
        <w:autoSpaceDN/>
        <w:bidi w:val="0"/>
        <w:adjustRightInd/>
        <w:snapToGrid/>
        <w:ind w:firstLine="560"/>
        <w:textAlignment w:val="auto"/>
        <w:rPr>
          <w:rFonts w:ascii="Times New Roman" w:hAnsi="Times New Roman" w:eastAsia="仿宋_GB2312" w:cs="Times New Roman"/>
          <w:color w:val="000000"/>
          <w:kern w:val="2"/>
          <w:sz w:val="32"/>
          <w:szCs w:val="32"/>
          <w:lang w:val="en-US" w:eastAsia="zh-CN" w:bidi="ar-SA"/>
        </w:rPr>
      </w:pPr>
      <w:r>
        <w:rPr>
          <w:rFonts w:hint="eastAsia" w:ascii="Times New Roman" w:hAnsi="Times New Roman" w:cs="Times New Roman"/>
          <w:color w:val="000000"/>
          <w:kern w:val="2"/>
          <w:sz w:val="32"/>
          <w:szCs w:val="32"/>
          <w:lang w:val="en-US" w:eastAsia="zh-CN" w:bidi="ar-SA"/>
        </w:rPr>
        <w:t>通过该项目实施，改善人民生活质量、人居环境的影响程度较高</w:t>
      </w:r>
      <w:r>
        <w:rPr>
          <w:rFonts w:hint="eastAsia" w:ascii="Times New Roman" w:hAnsi="Times New Roman" w:eastAsia="仿宋_GB2312" w:cs="Times New Roman"/>
          <w:color w:val="000000"/>
          <w:kern w:val="2"/>
          <w:sz w:val="32"/>
          <w:szCs w:val="32"/>
          <w:lang w:val="en-US" w:eastAsia="zh-CN" w:bidi="ar-SA"/>
        </w:rPr>
        <w:t>。根据评分标准得</w:t>
      </w:r>
      <w:r>
        <w:rPr>
          <w:rFonts w:hint="eastAsia" w:ascii="Times New Roman" w:hAnsi="Times New Roman" w:cs="Times New Roman"/>
          <w:color w:val="000000"/>
          <w:kern w:val="2"/>
          <w:sz w:val="32"/>
          <w:szCs w:val="32"/>
          <w:lang w:val="en-US" w:eastAsia="zh-CN" w:bidi="ar-SA"/>
        </w:rPr>
        <w:t>10</w:t>
      </w:r>
      <w:r>
        <w:rPr>
          <w:rFonts w:hint="eastAsia" w:ascii="Times New Roman" w:hAnsi="Times New Roman" w:eastAsia="仿宋_GB2312" w:cs="Times New Roman"/>
          <w:color w:val="000000"/>
          <w:kern w:val="2"/>
          <w:sz w:val="32"/>
          <w:szCs w:val="32"/>
          <w:lang w:val="en-US" w:eastAsia="zh-CN" w:bidi="ar-SA"/>
        </w:rPr>
        <w:t>分。</w:t>
      </w:r>
    </w:p>
    <w:p w14:paraId="0580C8C9">
      <w:pPr>
        <w:numPr>
          <w:ilvl w:val="0"/>
          <w:numId w:val="0"/>
        </w:numPr>
        <w:spacing w:line="600" w:lineRule="exact"/>
        <w:ind w:firstLine="640" w:firstLineChars="200"/>
        <w:rPr>
          <w:rFonts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4.</w:t>
      </w:r>
      <w:r>
        <w:rPr>
          <w:rFonts w:ascii="Times New Roman" w:hAnsi="Times New Roman" w:eastAsia="仿宋_GB2312" w:cs="Times New Roman"/>
          <w:color w:val="000000"/>
          <w:kern w:val="2"/>
          <w:sz w:val="32"/>
          <w:szCs w:val="32"/>
          <w:lang w:val="en-US" w:eastAsia="zh-CN" w:bidi="ar-SA"/>
        </w:rPr>
        <w:t>可持续影响指标（满分</w:t>
      </w:r>
      <w:r>
        <w:rPr>
          <w:rFonts w:hint="eastAsia" w:ascii="Times New Roman" w:hAnsi="Times New Roman" w:eastAsia="仿宋_GB2312" w:cs="Times New Roman"/>
          <w:color w:val="000000"/>
          <w:kern w:val="2"/>
          <w:sz w:val="32"/>
          <w:szCs w:val="32"/>
          <w:lang w:val="en-US" w:eastAsia="zh-CN" w:bidi="ar-SA"/>
        </w:rPr>
        <w:t>10</w:t>
      </w:r>
      <w:r>
        <w:rPr>
          <w:rFonts w:ascii="Times New Roman" w:hAnsi="Times New Roman" w:eastAsia="仿宋_GB2312" w:cs="Times New Roman"/>
          <w:color w:val="000000"/>
          <w:kern w:val="2"/>
          <w:sz w:val="32"/>
          <w:szCs w:val="32"/>
          <w:lang w:val="en-US" w:eastAsia="zh-CN" w:bidi="ar-SA"/>
        </w:rPr>
        <w:t>分，实得</w:t>
      </w:r>
      <w:r>
        <w:rPr>
          <w:rFonts w:hint="eastAsia" w:ascii="Times New Roman" w:hAnsi="Times New Roman" w:eastAsia="仿宋_GB2312" w:cs="Times New Roman"/>
          <w:color w:val="000000"/>
          <w:kern w:val="2"/>
          <w:sz w:val="32"/>
          <w:szCs w:val="32"/>
          <w:lang w:val="en-US" w:eastAsia="zh-CN" w:bidi="ar-SA"/>
        </w:rPr>
        <w:t>10</w:t>
      </w:r>
      <w:r>
        <w:rPr>
          <w:rFonts w:ascii="Times New Roman" w:hAnsi="Times New Roman" w:eastAsia="仿宋_GB2312" w:cs="Times New Roman"/>
          <w:color w:val="000000"/>
          <w:kern w:val="2"/>
          <w:sz w:val="32"/>
          <w:szCs w:val="32"/>
          <w:lang w:val="en-US" w:eastAsia="zh-CN" w:bidi="ar-SA"/>
        </w:rPr>
        <w:t>分）</w:t>
      </w:r>
    </w:p>
    <w:p w14:paraId="4F71B9AC">
      <w:pPr>
        <w:numPr>
          <w:ilvl w:val="0"/>
          <w:numId w:val="0"/>
        </w:numPr>
        <w:spacing w:line="600" w:lineRule="exact"/>
        <w:ind w:firstLine="640" w:firstLineChars="200"/>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通过该项目的实施，不断满足人民日益增长的美好生活的向往。根据评分标准得10分。</w:t>
      </w:r>
    </w:p>
    <w:p w14:paraId="72BA7A19">
      <w:pPr>
        <w:spacing w:line="600" w:lineRule="exact"/>
        <w:ind w:right="-283" w:firstLine="643" w:firstLineChars="200"/>
        <w:rPr>
          <w:rFonts w:ascii="Times New Roman" w:hAnsi="Times New Roman" w:eastAsia="仿宋_GB2312"/>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四</w:t>
      </w: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满意度</w:t>
      </w:r>
      <w:r>
        <w:rPr>
          <w:rFonts w:ascii="Times New Roman" w:hAnsi="Times New Roman" w:eastAsia="楷体_GB2312"/>
          <w:b/>
          <w:color w:val="000000"/>
          <w:sz w:val="32"/>
          <w:szCs w:val="32"/>
        </w:rPr>
        <w:t>指标（满分</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w:t>
      </w:r>
    </w:p>
    <w:p w14:paraId="36D7B22C">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eastAsia="zh-CN"/>
        </w:rPr>
        <w:t>满意度</w:t>
      </w:r>
      <w:r>
        <w:rPr>
          <w:rFonts w:ascii="Times New Roman" w:hAnsi="Times New Roman" w:eastAsia="仿宋_GB2312"/>
          <w:color w:val="000000"/>
          <w:sz w:val="32"/>
          <w:szCs w:val="32"/>
        </w:rPr>
        <w:t>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14:paraId="5923F6AF">
      <w:pPr>
        <w:spacing w:line="600" w:lineRule="exact"/>
        <w:ind w:right="-283" w:firstLine="640" w:firstLineChars="200"/>
        <w:rPr>
          <w:rFonts w:ascii="Times New Roman" w:hAnsi="Times New Roman" w:eastAsia="仿宋_GB2312"/>
          <w:color w:val="000000"/>
          <w:sz w:val="32"/>
          <w:szCs w:val="32"/>
        </w:rPr>
      </w:pPr>
      <w:r>
        <w:rPr>
          <w:rFonts w:hint="eastAsia" w:ascii="仿宋_GB2312" w:hAnsi="仿宋_GB2312" w:eastAsia="仿宋_GB2312" w:cs="仿宋_GB2312"/>
          <w:color w:val="000000"/>
          <w:sz w:val="32"/>
          <w:szCs w:val="32"/>
        </w:rPr>
        <w:t>针对主要服务对象以及</w:t>
      </w:r>
      <w:r>
        <w:rPr>
          <w:rFonts w:hint="eastAsia" w:ascii="仿宋_GB2312" w:hAnsi="仿宋_GB2312" w:eastAsia="仿宋_GB2312" w:cs="仿宋_GB2312"/>
          <w:color w:val="000000"/>
          <w:sz w:val="32"/>
          <w:szCs w:val="32"/>
          <w:lang w:val="en-US" w:eastAsia="zh-CN"/>
        </w:rPr>
        <w:t>工作开展</w:t>
      </w:r>
      <w:r>
        <w:rPr>
          <w:rFonts w:hint="eastAsia" w:ascii="仿宋_GB2312" w:hAnsi="仿宋_GB2312" w:eastAsia="仿宋_GB2312" w:cs="仿宋_GB2312"/>
          <w:color w:val="000000"/>
          <w:sz w:val="32"/>
          <w:szCs w:val="32"/>
        </w:rPr>
        <w:t>情况，</w:t>
      </w:r>
      <w:r>
        <w:rPr>
          <w:rFonts w:hint="eastAsia" w:ascii="仿宋_GB2312" w:hAnsi="仿宋_GB2312" w:eastAsia="仿宋_GB2312" w:cs="仿宋_GB2312"/>
          <w:color w:val="000000"/>
          <w:sz w:val="32"/>
          <w:szCs w:val="32"/>
          <w:lang w:eastAsia="zh-CN"/>
        </w:rPr>
        <w:t>满意度</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90%</w:t>
      </w:r>
      <w:r>
        <w:rPr>
          <w:rFonts w:hint="eastAsia" w:ascii="仿宋_GB2312" w:hAnsi="仿宋_GB2312" w:eastAsia="仿宋_GB2312" w:cs="仿宋_GB2312"/>
          <w:color w:val="000000"/>
          <w:sz w:val="32"/>
          <w:szCs w:val="32"/>
        </w:rPr>
        <w:t>。该项依据评分标准得10分。</w:t>
      </w:r>
    </w:p>
    <w:p w14:paraId="752175A2">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四、存在问题</w:t>
      </w:r>
      <w:bookmarkStart w:id="0" w:name="_GoBack"/>
      <w:bookmarkEnd w:id="0"/>
    </w:p>
    <w:p w14:paraId="021B52BC">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通过</w:t>
      </w:r>
      <w:r>
        <w:rPr>
          <w:rFonts w:hint="eastAsia" w:ascii="Times New Roman" w:hAnsi="Times New Roman" w:eastAsia="仿宋_GB2312"/>
          <w:color w:val="000000"/>
          <w:sz w:val="32"/>
          <w:szCs w:val="32"/>
          <w:lang w:eastAsia="zh-CN"/>
        </w:rPr>
        <w:t>评价发现，上述项目实施虽取得了一定的成效，但还存在一些问题和不足，主要表现在时间管理和工作对接。</w:t>
      </w:r>
    </w:p>
    <w:p w14:paraId="7DE5BFA7">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五、意见和建议</w:t>
      </w:r>
    </w:p>
    <w:p w14:paraId="39404621">
      <w:pPr>
        <w:widowControl/>
        <w:spacing w:line="600" w:lineRule="exact"/>
        <w:ind w:firstLine="640" w:firstLineChars="200"/>
        <w:rPr>
          <w:rFonts w:ascii="Times New Roman" w:hAnsi="Times New Roman" w:eastAsia="仿宋_GB2312"/>
          <w:sz w:val="32"/>
          <w:szCs w:val="32"/>
        </w:rPr>
      </w:pPr>
      <w:r>
        <w:rPr>
          <w:rFonts w:ascii="Times New Roman" w:hAnsi="Times New Roman" w:eastAsia="仿宋_GB2312"/>
          <w:color w:val="000000"/>
          <w:sz w:val="32"/>
          <w:szCs w:val="32"/>
        </w:rPr>
        <w:t>为进一步提高</w:t>
      </w:r>
      <w:r>
        <w:rPr>
          <w:rFonts w:hint="eastAsia" w:ascii="Times New Roman" w:hAnsi="Times New Roman" w:eastAsia="仿宋_GB2312"/>
          <w:color w:val="000000"/>
          <w:sz w:val="32"/>
          <w:szCs w:val="32"/>
          <w:lang w:eastAsia="zh-CN"/>
        </w:rPr>
        <w:t>资金效率</w:t>
      </w:r>
      <w:r>
        <w:rPr>
          <w:rFonts w:ascii="Times New Roman" w:hAnsi="Times New Roman" w:eastAsia="仿宋_GB2312"/>
          <w:color w:val="000000"/>
          <w:sz w:val="32"/>
          <w:szCs w:val="32"/>
        </w:rPr>
        <w:t>，针对存在的问题，提出如下建议</w:t>
      </w:r>
      <w:r>
        <w:rPr>
          <w:rFonts w:hint="eastAsia" w:ascii="Times New Roman" w:hAnsi="Times New Roman" w:eastAsia="仿宋_GB2312"/>
          <w:color w:val="000000"/>
          <w:sz w:val="32"/>
          <w:szCs w:val="32"/>
          <w:lang w:eastAsia="zh-CN"/>
        </w:rPr>
        <w:t>：要高度重视预算执行工作，加强沟通和协调，采取切实有效措施加快预算执行进度，确保项目达到预算执行序时进度，全面完成年度任务。</w:t>
      </w:r>
    </w:p>
    <w:p w14:paraId="36F1A363">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六、</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依据</w:t>
      </w:r>
    </w:p>
    <w:p w14:paraId="39D053F8">
      <w:pPr>
        <w:pStyle w:val="10"/>
        <w:spacing w:line="480" w:lineRule="exact"/>
        <w:ind w:firstLine="560"/>
        <w:jc w:val="left"/>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1、《合肥市财政局关于进一步加强预算执行管理加快支出进度的通知》（合财预〔2018〕539号）；</w:t>
      </w:r>
    </w:p>
    <w:p w14:paraId="3EC29270">
      <w:pPr>
        <w:pStyle w:val="10"/>
        <w:spacing w:line="480" w:lineRule="exact"/>
        <w:ind w:firstLine="560"/>
        <w:jc w:val="left"/>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2、《中共安徽省委安徽省人民政府关于全面实施预算绩效管理的实施意见》（皖发〔2019〕11号）；</w:t>
      </w:r>
    </w:p>
    <w:p w14:paraId="1DF81651">
      <w:pPr>
        <w:pStyle w:val="10"/>
        <w:spacing w:line="480" w:lineRule="exact"/>
        <w:ind w:firstLine="560"/>
        <w:jc w:val="left"/>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3、《中共合肥市委合肥市人民政府关于印发&lt;全面实施预算绩效管理实施办法&gt;的通知》（合发〔2019〕27号）；</w:t>
      </w:r>
    </w:p>
    <w:p w14:paraId="0AA2B7D5">
      <w:pPr>
        <w:spacing w:line="480" w:lineRule="exact"/>
        <w:ind w:firstLine="640" w:firstLineChars="200"/>
        <w:jc w:val="left"/>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4、《关于印发&lt;中央部门预算绩效运行监控管理暂行办法&gt;的通知》（财预〔2019〕136号）；</w:t>
      </w:r>
    </w:p>
    <w:p w14:paraId="7B5B5A1E">
      <w:pPr>
        <w:spacing w:line="480" w:lineRule="exact"/>
        <w:ind w:firstLine="640" w:firstLineChars="200"/>
        <w:jc w:val="left"/>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5、《关于进一步落实全面实施预算绩效管理重点任务的通知》（合预绩组〔2020〕2号）；</w:t>
      </w:r>
    </w:p>
    <w:p w14:paraId="209753B7">
      <w:pPr>
        <w:spacing w:line="480" w:lineRule="exact"/>
        <w:ind w:firstLine="640" w:firstLineChars="200"/>
        <w:jc w:val="left"/>
        <w:rPr>
          <w:rFonts w:ascii="Times New Roman" w:hAnsi="Times New Roman" w:eastAsia="仿宋_GB2312"/>
          <w:color w:val="000000"/>
          <w:sz w:val="32"/>
          <w:szCs w:val="32"/>
        </w:rPr>
      </w:pPr>
      <w:r>
        <w:rPr>
          <w:rFonts w:hint="eastAsia" w:ascii="Times New Roman" w:hAnsi="Times New Roman" w:eastAsia="仿宋_GB2312" w:cs="Times New Roman"/>
          <w:color w:val="000000"/>
          <w:kern w:val="2"/>
          <w:sz w:val="32"/>
          <w:szCs w:val="32"/>
          <w:lang w:val="en-US" w:eastAsia="zh-CN" w:bidi="ar-SA"/>
        </w:rPr>
        <w:t>6、《关于编制2022年瑶海区部门预算及2022-2024年部门三年滚动财政规划的通知》（瑶财〔2021〕77号）</w:t>
      </w:r>
    </w:p>
    <w:p w14:paraId="39B426D1">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七、附件</w:t>
      </w:r>
    </w:p>
    <w:p w14:paraId="3402CC96">
      <w:pPr>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val="en-US" w:eastAsia="zh-CN"/>
        </w:rPr>
        <w:t>1、</w:t>
      </w:r>
      <w:r>
        <w:rPr>
          <w:rFonts w:ascii="Times New Roman" w:hAnsi="Times New Roman" w:eastAsia="仿宋_GB2312"/>
          <w:color w:val="000000"/>
          <w:sz w:val="32"/>
          <w:szCs w:val="32"/>
        </w:rPr>
        <w:t>项目支出绩效自评表（</w:t>
      </w:r>
      <w:r>
        <w:rPr>
          <w:rFonts w:hint="eastAsia" w:ascii="Times New Roman" w:hAnsi="Times New Roman" w:eastAsia="仿宋_GB2312"/>
          <w:color w:val="000000"/>
          <w:sz w:val="32"/>
          <w:szCs w:val="32"/>
          <w:lang w:eastAsia="zh-CN"/>
        </w:rPr>
        <w:t>从一体化系统导出</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46A1A652">
      <w:pPr>
        <w:spacing w:line="600" w:lineRule="exact"/>
        <w:ind w:firstLine="420"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5NjdiODMxODg3NGMxODRhNjIzNGEyNjUwZTAzNDAifQ=="/>
  </w:docVars>
  <w:rsids>
    <w:rsidRoot w:val="00000000"/>
    <w:rsid w:val="013019FE"/>
    <w:rsid w:val="02BA2386"/>
    <w:rsid w:val="23F438EF"/>
    <w:rsid w:val="260F65E4"/>
    <w:rsid w:val="4548233C"/>
    <w:rsid w:val="4608738C"/>
    <w:rsid w:val="5CDA61DE"/>
    <w:rsid w:val="603C4929"/>
    <w:rsid w:val="65E75B48"/>
    <w:rsid w:val="6B811C71"/>
    <w:rsid w:val="74D21FC2"/>
    <w:rsid w:val="784A45E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0"/>
    <w:pPr>
      <w:spacing w:line="360" w:lineRule="auto"/>
      <w:ind w:firstLine="562" w:firstLineChars="200"/>
    </w:pPr>
    <w:rPr>
      <w:snapToGrid w:val="0"/>
      <w:sz w:val="28"/>
      <w:szCs w:val="24"/>
    </w:rPr>
  </w:style>
  <w:style w:type="paragraph" w:styleId="3">
    <w:name w:val="Body Text"/>
    <w:basedOn w:val="1"/>
    <w:next w:val="4"/>
    <w:qFormat/>
    <w:uiPriority w:val="99"/>
    <w:pPr>
      <w:spacing w:after="120"/>
    </w:pPr>
  </w:style>
  <w:style w:type="paragraph" w:styleId="4">
    <w:name w:val="Date"/>
    <w:basedOn w:val="1"/>
    <w:next w:val="1"/>
    <w:qFormat/>
    <w:uiPriority w:val="0"/>
    <w:pPr>
      <w:ind w:left="100" w:leftChars="2500"/>
    </w:pPr>
    <w:rPr>
      <w:rFonts w:ascii="Times New Roman" w:hAnsi="Times New Roman"/>
      <w:szCs w:val="24"/>
    </w:rPr>
  </w:style>
  <w:style w:type="paragraph" w:styleId="5">
    <w:name w:val="Body Text First Indent 2"/>
    <w:basedOn w:val="6"/>
    <w:qFormat/>
    <w:uiPriority w:val="0"/>
    <w:pPr>
      <w:tabs>
        <w:tab w:val="left" w:pos="1078"/>
        <w:tab w:val="left" w:pos="1638"/>
        <w:tab w:val="left" w:pos="3920"/>
        <w:tab w:val="left" w:pos="5670"/>
      </w:tabs>
      <w:adjustRightInd w:val="0"/>
      <w:spacing w:before="120" w:after="180" w:line="312" w:lineRule="auto"/>
      <w:ind w:left="69" w:leftChars="33" w:firstLine="200" w:firstLineChars="200"/>
    </w:pPr>
    <w:rPr>
      <w:rFonts w:ascii="Arial" w:hAnsi="Arial"/>
      <w:sz w:val="28"/>
    </w:rPr>
  </w:style>
  <w:style w:type="paragraph" w:styleId="6">
    <w:name w:val="Body Text Indent"/>
    <w:basedOn w:val="1"/>
    <w:next w:val="3"/>
    <w:qFormat/>
    <w:uiPriority w:val="0"/>
    <w:pPr>
      <w:ind w:firstLine="645"/>
    </w:pPr>
    <w:rPr>
      <w:rFonts w:ascii="楷体_GB2312" w:hAnsi="Times New Roman" w:eastAsia="楷体_GB2312"/>
      <w:sz w:val="32"/>
      <w:szCs w:val="20"/>
    </w:rPr>
  </w:style>
  <w:style w:type="paragraph" w:customStyle="1" w:styleId="9">
    <w:name w:val="1正文"/>
    <w:basedOn w:val="1"/>
    <w:qFormat/>
    <w:uiPriority w:val="0"/>
    <w:pPr>
      <w:autoSpaceDE/>
      <w:autoSpaceDN/>
      <w:spacing w:line="360" w:lineRule="auto"/>
      <w:ind w:firstLine="200" w:firstLineChars="200"/>
      <w:jc w:val="both"/>
    </w:pPr>
    <w:rPr>
      <w:rFonts w:ascii="仿宋_GB2312" w:eastAsia="仿宋_GB2312" w:cs="Times New Roman"/>
      <w:kern w:val="2"/>
      <w:sz w:val="28"/>
      <w:szCs w:val="28"/>
      <w:lang w:val="en-US" w:bidi="ar-SA"/>
    </w:rPr>
  </w:style>
  <w:style w:type="paragraph" w:customStyle="1"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1672</Words>
  <Characters>1826</Characters>
  <Lines>0</Lines>
  <Paragraphs>0</Paragraphs>
  <TotalTime>69</TotalTime>
  <ScaleCrop>false</ScaleCrop>
  <LinksUpToDate>false</LinksUpToDate>
  <CharactersWithSpaces>1941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南十</cp:lastModifiedBy>
  <cp:lastPrinted>2025-03-17T08:13:48Z</cp:lastPrinted>
  <dcterms:modified xsi:type="dcterms:W3CDTF">2025-03-17T08:32:40Z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93A2DC8D3840466AB7CD3DB281F466BF_13</vt:lpwstr>
  </property>
  <property fmtid="{D5CDD505-2E9C-101B-9397-08002B2CF9AE}" pid="4" name="KSOTemplateDocerSaveRecord">
    <vt:lpwstr>eyJoZGlkIjoiMDQ5NjdiODMxODg3NGMxODRhNjIzNGEyNjUwZTAzNDAiLCJ1c2VySWQiOiI1OTQ4MTI0NjEifQ==</vt:lpwstr>
  </property>
</Properties>
</file>