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0ACDD4">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44"/>
          <w:szCs w:val="44"/>
        </w:rPr>
      </w:pPr>
    </w:p>
    <w:p w14:paraId="01373494">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瑶海方庙龙湖上城小区“7·28”一般高坠</w:t>
      </w:r>
      <w:r>
        <w:rPr>
          <w:rFonts w:hint="eastAsia" w:ascii="方正小标宋简体" w:hAnsi="方正小标宋简体" w:eastAsia="方正小标宋简体" w:cs="方正小标宋简体"/>
          <w:sz w:val="44"/>
          <w:szCs w:val="44"/>
          <w:lang w:val="en-US" w:eastAsia="zh-CN"/>
        </w:rPr>
        <w:t>事故</w:t>
      </w:r>
      <w:r>
        <w:rPr>
          <w:rFonts w:hint="eastAsia" w:ascii="方正小标宋简体" w:hAnsi="方正小标宋简体" w:eastAsia="方正小标宋简体" w:cs="方正小标宋简体"/>
          <w:sz w:val="44"/>
          <w:szCs w:val="44"/>
        </w:rPr>
        <w:t>整改措施落实</w:t>
      </w:r>
      <w:r>
        <w:rPr>
          <w:rFonts w:hint="eastAsia" w:ascii="方正小标宋简体" w:hAnsi="方正小标宋简体" w:eastAsia="方正小标宋简体" w:cs="方正小标宋简体"/>
          <w:sz w:val="44"/>
          <w:szCs w:val="44"/>
          <w:lang w:eastAsia="zh-CN"/>
        </w:rPr>
        <w:t>情况评估报告</w:t>
      </w:r>
    </w:p>
    <w:p w14:paraId="4F9516DA">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Arial"/>
          <w:sz w:val="32"/>
          <w:szCs w:val="32"/>
        </w:rPr>
      </w:pPr>
    </w:p>
    <w:p w14:paraId="3EA08A28">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8" w:firstLineChars="200"/>
        <w:jc w:val="both"/>
        <w:textAlignment w:val="baseline"/>
        <w:rPr>
          <w:sz w:val="32"/>
          <w:szCs w:val="32"/>
        </w:rPr>
      </w:pPr>
      <w:r>
        <w:rPr>
          <w:rFonts w:hint="default"/>
          <w:spacing w:val="7"/>
          <w:sz w:val="32"/>
          <w:szCs w:val="32"/>
          <w:lang w:val="en-US" w:eastAsia="zh-CN"/>
        </w:rPr>
        <w:t>2024年7月28日18时20分许，合肥市瑶海区方庙街道北二环路与铜陵路交口西南角，龙湖上城小区发生一起空调安装高处坠落事故，造成1人死亡</w:t>
      </w:r>
      <w:r>
        <w:rPr>
          <w:rFonts w:hint="eastAsia"/>
          <w:spacing w:val="7"/>
          <w:sz w:val="32"/>
          <w:szCs w:val="32"/>
          <w:lang w:val="en-US" w:eastAsia="zh-CN"/>
        </w:rPr>
        <w:t>。</w:t>
      </w:r>
    </w:p>
    <w:p w14:paraId="05FD2577">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8" w:firstLineChars="200"/>
        <w:jc w:val="both"/>
        <w:textAlignment w:val="baseline"/>
        <w:rPr>
          <w:rFonts w:hint="default"/>
          <w:spacing w:val="7"/>
          <w:sz w:val="32"/>
          <w:szCs w:val="32"/>
          <w:lang w:val="en-US" w:eastAsia="zh-CN"/>
        </w:rPr>
      </w:pPr>
      <w:r>
        <w:rPr>
          <w:rFonts w:hint="default"/>
          <w:spacing w:val="7"/>
          <w:sz w:val="32"/>
          <w:szCs w:val="32"/>
          <w:lang w:val="en-US" w:eastAsia="zh-CN"/>
        </w:rPr>
        <w:t>根据《生产安全事故防范和整改措施落实情况评估办法》（安委办〔2021〕4号）和《安徽省生产安全事故防范和整改措施落实情况评估办法》（皖安办〔2021〕64号），由</w:t>
      </w:r>
      <w:r>
        <w:rPr>
          <w:rFonts w:hint="eastAsia"/>
          <w:spacing w:val="7"/>
          <w:sz w:val="32"/>
          <w:szCs w:val="32"/>
          <w:lang w:val="en-US" w:eastAsia="zh-CN"/>
        </w:rPr>
        <w:t>区</w:t>
      </w:r>
      <w:r>
        <w:rPr>
          <w:rFonts w:hint="default"/>
          <w:spacing w:val="7"/>
          <w:sz w:val="32"/>
          <w:szCs w:val="32"/>
          <w:lang w:val="en-US" w:eastAsia="zh-CN"/>
        </w:rPr>
        <w:t>应急管理局牵头会同有关部门，组成</w:t>
      </w:r>
      <w:r>
        <w:rPr>
          <w:rFonts w:hint="eastAsia"/>
          <w:spacing w:val="7"/>
          <w:sz w:val="32"/>
          <w:szCs w:val="32"/>
          <w:lang w:val="en-US" w:eastAsia="zh-CN"/>
        </w:rPr>
        <w:t>瑶海方庙龙湖上城小区“7·28”一般高坠事故</w:t>
      </w:r>
      <w:r>
        <w:rPr>
          <w:rFonts w:hint="default"/>
          <w:spacing w:val="7"/>
          <w:sz w:val="32"/>
          <w:szCs w:val="32"/>
          <w:lang w:val="en-US" w:eastAsia="zh-CN"/>
        </w:rPr>
        <w:t>防范和整改措施落实情况评估工作组（以下简称评估组</w:t>
      </w:r>
      <w:r>
        <w:rPr>
          <w:rFonts w:hint="eastAsia"/>
          <w:spacing w:val="7"/>
          <w:sz w:val="32"/>
          <w:szCs w:val="32"/>
          <w:lang w:val="en-US" w:eastAsia="zh-CN"/>
        </w:rPr>
        <w:t>），</w:t>
      </w:r>
      <w:r>
        <w:rPr>
          <w:rFonts w:hint="default"/>
          <w:spacing w:val="7"/>
          <w:sz w:val="32"/>
          <w:szCs w:val="32"/>
          <w:lang w:val="en-US" w:eastAsia="zh-CN"/>
        </w:rPr>
        <w:t>对事故整改措施落实情况进行了评估。</w:t>
      </w:r>
    </w:p>
    <w:p w14:paraId="49421EDD">
      <w:pPr>
        <w:keepNext w:val="0"/>
        <w:keepLines w:val="0"/>
        <w:pageBreakBefore w:val="0"/>
        <w:widowControl/>
        <w:kinsoku w:val="0"/>
        <w:wordWrap/>
        <w:overflowPunct/>
        <w:topLinePunct w:val="0"/>
        <w:autoSpaceDE w:val="0"/>
        <w:autoSpaceDN w:val="0"/>
        <w:bidi w:val="0"/>
        <w:adjustRightInd w:val="0"/>
        <w:snapToGrid w:val="0"/>
        <w:spacing w:line="560" w:lineRule="exact"/>
        <w:ind w:firstLine="672" w:firstLineChars="200"/>
        <w:jc w:val="both"/>
        <w:textAlignment w:val="baseline"/>
        <w:outlineLvl w:val="1"/>
        <w:rPr>
          <w:rFonts w:ascii="黑体" w:hAnsi="黑体" w:eastAsia="黑体" w:cs="黑体"/>
          <w:sz w:val="32"/>
          <w:szCs w:val="32"/>
        </w:rPr>
      </w:pPr>
      <w:r>
        <w:rPr>
          <w:rFonts w:ascii="黑体" w:hAnsi="黑体" w:eastAsia="黑体" w:cs="黑体"/>
          <w:spacing w:val="8"/>
          <w:sz w:val="32"/>
          <w:szCs w:val="32"/>
        </w:rPr>
        <w:t>一、评估工作组织及开展情况</w:t>
      </w:r>
    </w:p>
    <w:p w14:paraId="5EAB1378">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8" w:firstLineChars="200"/>
        <w:jc w:val="both"/>
        <w:textAlignment w:val="baseline"/>
        <w:rPr>
          <w:rFonts w:hint="default"/>
          <w:spacing w:val="7"/>
          <w:sz w:val="32"/>
          <w:szCs w:val="32"/>
          <w:lang w:val="en-US" w:eastAsia="zh-CN"/>
        </w:rPr>
      </w:pPr>
      <w:r>
        <w:rPr>
          <w:rFonts w:hint="default"/>
          <w:spacing w:val="7"/>
          <w:sz w:val="32"/>
          <w:szCs w:val="32"/>
          <w:lang w:val="en-US" w:eastAsia="en-US"/>
        </w:rPr>
        <w:t>202</w:t>
      </w:r>
      <w:r>
        <w:rPr>
          <w:rFonts w:hint="eastAsia"/>
          <w:spacing w:val="7"/>
          <w:sz w:val="32"/>
          <w:szCs w:val="32"/>
          <w:lang w:val="en-US" w:eastAsia="zh-CN"/>
        </w:rPr>
        <w:t>5</w:t>
      </w:r>
      <w:r>
        <w:rPr>
          <w:rFonts w:hint="default"/>
          <w:spacing w:val="7"/>
          <w:sz w:val="32"/>
          <w:szCs w:val="32"/>
          <w:lang w:val="en-US" w:eastAsia="en-US"/>
        </w:rPr>
        <w:t>年5月</w:t>
      </w:r>
      <w:r>
        <w:rPr>
          <w:rFonts w:hint="eastAsia"/>
          <w:spacing w:val="7"/>
          <w:sz w:val="32"/>
          <w:szCs w:val="32"/>
          <w:lang w:val="en-US" w:eastAsia="zh-CN"/>
        </w:rPr>
        <w:t>28</w:t>
      </w:r>
      <w:r>
        <w:rPr>
          <w:rFonts w:hint="default"/>
          <w:spacing w:val="7"/>
          <w:sz w:val="32"/>
          <w:szCs w:val="32"/>
          <w:lang w:val="en-US" w:eastAsia="en-US"/>
        </w:rPr>
        <w:t>日，</w:t>
      </w:r>
      <w:r>
        <w:rPr>
          <w:rFonts w:hint="default"/>
          <w:spacing w:val="7"/>
          <w:sz w:val="32"/>
          <w:szCs w:val="32"/>
          <w:lang w:val="en-US" w:eastAsia="zh-CN"/>
        </w:rPr>
        <w:t>瑶海区安全生产（防灾减灾救灾）委员会办公室</w:t>
      </w:r>
      <w:r>
        <w:rPr>
          <w:rFonts w:hint="default"/>
          <w:spacing w:val="7"/>
          <w:sz w:val="32"/>
          <w:szCs w:val="32"/>
          <w:lang w:val="en-US" w:eastAsia="en-US"/>
        </w:rPr>
        <w:t>成立由</w:t>
      </w:r>
      <w:r>
        <w:rPr>
          <w:rFonts w:hint="eastAsia"/>
          <w:spacing w:val="7"/>
          <w:sz w:val="32"/>
          <w:szCs w:val="32"/>
          <w:lang w:val="en-US" w:eastAsia="zh-CN"/>
        </w:rPr>
        <w:t>瑶海区</w:t>
      </w:r>
      <w:r>
        <w:rPr>
          <w:rFonts w:hint="default"/>
          <w:spacing w:val="7"/>
          <w:sz w:val="32"/>
          <w:szCs w:val="32"/>
          <w:lang w:val="en-US" w:eastAsia="en-US"/>
        </w:rPr>
        <w:t>应急局牵头，</w:t>
      </w:r>
      <w:r>
        <w:rPr>
          <w:rFonts w:hint="default"/>
          <w:spacing w:val="7"/>
          <w:sz w:val="32"/>
          <w:szCs w:val="32"/>
          <w:lang w:val="en-US" w:eastAsia="zh-CN"/>
        </w:rPr>
        <w:t>区住建局</w:t>
      </w:r>
      <w:r>
        <w:rPr>
          <w:rFonts w:hint="default"/>
          <w:spacing w:val="7"/>
          <w:sz w:val="32"/>
          <w:szCs w:val="32"/>
          <w:lang w:val="en-US" w:eastAsia="en-US"/>
        </w:rPr>
        <w:t>、</w:t>
      </w:r>
      <w:r>
        <w:rPr>
          <w:rFonts w:hint="eastAsia"/>
          <w:spacing w:val="7"/>
          <w:sz w:val="32"/>
          <w:szCs w:val="32"/>
          <w:lang w:val="en-US" w:eastAsia="zh-CN"/>
        </w:rPr>
        <w:t>方庙街道办事处</w:t>
      </w:r>
      <w:r>
        <w:rPr>
          <w:rFonts w:hint="default"/>
          <w:spacing w:val="7"/>
          <w:sz w:val="32"/>
          <w:szCs w:val="32"/>
          <w:lang w:val="en-US" w:eastAsia="en-US"/>
        </w:rPr>
        <w:t>有关人员组成的评估组（见附件1），并依据《</w:t>
      </w:r>
      <w:r>
        <w:rPr>
          <w:rFonts w:hint="eastAsia"/>
          <w:spacing w:val="7"/>
          <w:sz w:val="32"/>
          <w:szCs w:val="32"/>
          <w:lang w:val="en-US" w:eastAsia="zh-CN"/>
        </w:rPr>
        <w:t>瑶海方庙龙湖上城小区“7·28”一般高处坠落事故调查报告</w:t>
      </w:r>
      <w:r>
        <w:rPr>
          <w:rFonts w:hint="default"/>
          <w:spacing w:val="7"/>
          <w:sz w:val="32"/>
          <w:szCs w:val="32"/>
          <w:lang w:val="en-US" w:eastAsia="en-US"/>
        </w:rPr>
        <w:t>》，梳理出评估清单（见附件2），评估组采取调阅事故原始档案、查阅相关文件资料、现场检查、听取情况报告等方式，深入开展评估工作。对评估过程中发现的问题，及时向有关部门和相关单位进行反馈，要求立即组织整改。</w:t>
      </w:r>
    </w:p>
    <w:p w14:paraId="45D4AD0F">
      <w:pPr>
        <w:keepNext w:val="0"/>
        <w:keepLines w:val="0"/>
        <w:pageBreakBefore w:val="0"/>
        <w:widowControl/>
        <w:kinsoku w:val="0"/>
        <w:wordWrap/>
        <w:overflowPunct/>
        <w:topLinePunct w:val="0"/>
        <w:autoSpaceDE w:val="0"/>
        <w:autoSpaceDN w:val="0"/>
        <w:bidi w:val="0"/>
        <w:adjustRightInd w:val="0"/>
        <w:snapToGrid w:val="0"/>
        <w:spacing w:line="560" w:lineRule="exact"/>
        <w:ind w:firstLine="672" w:firstLineChars="200"/>
        <w:jc w:val="both"/>
        <w:textAlignment w:val="baseline"/>
        <w:outlineLvl w:val="1"/>
        <w:rPr>
          <w:rFonts w:ascii="黑体" w:hAnsi="黑体" w:eastAsia="黑体" w:cs="黑体"/>
          <w:sz w:val="32"/>
          <w:szCs w:val="32"/>
        </w:rPr>
      </w:pPr>
      <w:r>
        <w:rPr>
          <w:rFonts w:ascii="黑体" w:hAnsi="黑体" w:eastAsia="黑体" w:cs="黑体"/>
          <w:spacing w:val="8"/>
          <w:sz w:val="32"/>
          <w:szCs w:val="32"/>
        </w:rPr>
        <w:t>二、事故整改措施落实情况</w:t>
      </w:r>
    </w:p>
    <w:p w14:paraId="5B04E32F">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8" w:firstLineChars="200"/>
        <w:jc w:val="both"/>
        <w:textAlignment w:val="baseline"/>
        <w:rPr>
          <w:rFonts w:hint="default"/>
          <w:spacing w:val="7"/>
          <w:sz w:val="32"/>
          <w:szCs w:val="32"/>
          <w:lang w:val="en-US" w:eastAsia="zh-CN"/>
        </w:rPr>
      </w:pPr>
      <w:r>
        <w:rPr>
          <w:rFonts w:hint="default"/>
          <w:spacing w:val="7"/>
          <w:sz w:val="32"/>
          <w:szCs w:val="32"/>
          <w:lang w:val="en-US" w:eastAsia="zh-CN"/>
        </w:rPr>
        <w:t>《</w:t>
      </w:r>
      <w:r>
        <w:rPr>
          <w:rFonts w:hint="eastAsia"/>
          <w:spacing w:val="7"/>
          <w:sz w:val="32"/>
          <w:szCs w:val="32"/>
          <w:lang w:val="en-US" w:eastAsia="zh-CN"/>
        </w:rPr>
        <w:t>合肥市瑶海区人民政府关于瑶海方庙龙湖上城小区“7·28”一般高处坠落事故处理意见的批复</w:t>
      </w:r>
      <w:r>
        <w:rPr>
          <w:rFonts w:hint="default"/>
          <w:spacing w:val="7"/>
          <w:sz w:val="32"/>
          <w:szCs w:val="32"/>
          <w:lang w:val="en-US" w:eastAsia="zh-CN"/>
        </w:rPr>
        <w:t>》（</w:t>
      </w:r>
      <w:r>
        <w:rPr>
          <w:rFonts w:hint="eastAsia"/>
          <w:spacing w:val="7"/>
          <w:sz w:val="32"/>
          <w:szCs w:val="32"/>
          <w:lang w:val="en-US" w:eastAsia="zh-CN"/>
        </w:rPr>
        <w:t>瑶</w:t>
      </w:r>
      <w:r>
        <w:rPr>
          <w:rFonts w:hint="default"/>
          <w:spacing w:val="7"/>
          <w:sz w:val="32"/>
          <w:szCs w:val="32"/>
          <w:lang w:val="en-US" w:eastAsia="zh-CN"/>
        </w:rPr>
        <w:t>政秘〔202</w:t>
      </w:r>
      <w:r>
        <w:rPr>
          <w:rFonts w:hint="eastAsia"/>
          <w:spacing w:val="7"/>
          <w:sz w:val="32"/>
          <w:szCs w:val="32"/>
          <w:lang w:val="en-US" w:eastAsia="zh-CN"/>
        </w:rPr>
        <w:t>4</w:t>
      </w:r>
      <w:r>
        <w:rPr>
          <w:rFonts w:hint="default"/>
          <w:spacing w:val="7"/>
          <w:sz w:val="32"/>
          <w:szCs w:val="32"/>
          <w:lang w:val="en-US" w:eastAsia="zh-CN"/>
        </w:rPr>
        <w:t>〕</w:t>
      </w:r>
      <w:r>
        <w:rPr>
          <w:rFonts w:hint="eastAsia"/>
          <w:spacing w:val="7"/>
          <w:sz w:val="32"/>
          <w:szCs w:val="32"/>
          <w:lang w:val="en-US" w:eastAsia="zh-CN"/>
        </w:rPr>
        <w:t>16</w:t>
      </w:r>
      <w:r>
        <w:rPr>
          <w:rFonts w:hint="default"/>
          <w:spacing w:val="7"/>
          <w:sz w:val="32"/>
          <w:szCs w:val="32"/>
          <w:lang w:val="en-US" w:eastAsia="zh-CN"/>
        </w:rPr>
        <w:t>号）印发后，有关部门单位对照各自职责，认真落实各项事故整改措施。</w:t>
      </w:r>
    </w:p>
    <w:p w14:paraId="17FBABE8">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71" w:firstLineChars="200"/>
        <w:jc w:val="both"/>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pacing w:val="7"/>
          <w:sz w:val="32"/>
          <w:szCs w:val="32"/>
        </w:rPr>
        <w:t>（一）事故责任追究落实情况</w:t>
      </w:r>
    </w:p>
    <w:p w14:paraId="65BCC6D1">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71" w:firstLineChars="200"/>
        <w:jc w:val="both"/>
        <w:textAlignment w:val="baseline"/>
        <w:rPr>
          <w:rFonts w:hint="default"/>
          <w:b/>
          <w:bCs/>
          <w:spacing w:val="7"/>
          <w:sz w:val="32"/>
          <w:szCs w:val="32"/>
          <w:lang w:val="en-US" w:eastAsia="zh-CN"/>
        </w:rPr>
      </w:pPr>
      <w:r>
        <w:rPr>
          <w:rFonts w:hint="default"/>
          <w:b/>
          <w:bCs/>
          <w:spacing w:val="7"/>
          <w:sz w:val="32"/>
          <w:szCs w:val="32"/>
          <w:lang w:val="en-US" w:eastAsia="zh-CN"/>
        </w:rPr>
        <w:t>1.刑事责任人员处理落实情况</w:t>
      </w:r>
    </w:p>
    <w:p w14:paraId="35DADD57">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8" w:firstLineChars="200"/>
        <w:jc w:val="both"/>
        <w:textAlignment w:val="baseline"/>
        <w:rPr>
          <w:rFonts w:hint="default"/>
          <w:spacing w:val="7"/>
          <w:sz w:val="32"/>
          <w:szCs w:val="32"/>
          <w:lang w:val="en-US" w:eastAsia="zh-CN"/>
        </w:rPr>
      </w:pPr>
      <w:r>
        <w:rPr>
          <w:rFonts w:hint="eastAsia"/>
          <w:spacing w:val="7"/>
          <w:sz w:val="32"/>
          <w:szCs w:val="32"/>
          <w:lang w:val="en-US" w:eastAsia="zh-CN"/>
        </w:rPr>
        <w:t>梁*</w:t>
      </w:r>
      <w:r>
        <w:rPr>
          <w:rFonts w:hint="default"/>
          <w:spacing w:val="7"/>
          <w:sz w:val="32"/>
          <w:szCs w:val="32"/>
          <w:lang w:val="en-US" w:eastAsia="zh-CN"/>
        </w:rPr>
        <w:t>，</w:t>
      </w:r>
      <w:r>
        <w:rPr>
          <w:rFonts w:hint="eastAsia"/>
          <w:spacing w:val="7"/>
          <w:sz w:val="32"/>
          <w:szCs w:val="32"/>
          <w:lang w:val="en-US" w:eastAsia="zh-CN"/>
        </w:rPr>
        <w:t>合肥康通机电设备有限公司总经理</w:t>
      </w:r>
      <w:r>
        <w:rPr>
          <w:rFonts w:hint="default"/>
          <w:spacing w:val="7"/>
          <w:sz w:val="32"/>
          <w:szCs w:val="32"/>
          <w:lang w:val="en-US" w:eastAsia="zh-CN"/>
        </w:rPr>
        <w:t>，涉嫌</w:t>
      </w:r>
      <w:r>
        <w:rPr>
          <w:rFonts w:hint="eastAsia"/>
          <w:spacing w:val="7"/>
          <w:sz w:val="32"/>
          <w:szCs w:val="32"/>
          <w:lang w:val="en-US" w:eastAsia="zh-CN"/>
        </w:rPr>
        <w:t>重大责任事故</w:t>
      </w:r>
      <w:r>
        <w:rPr>
          <w:rFonts w:hint="default"/>
          <w:spacing w:val="7"/>
          <w:sz w:val="32"/>
          <w:szCs w:val="32"/>
          <w:lang w:val="en-US" w:eastAsia="zh-CN"/>
        </w:rPr>
        <w:t>罪，202</w:t>
      </w:r>
      <w:r>
        <w:rPr>
          <w:rFonts w:hint="eastAsia"/>
          <w:spacing w:val="7"/>
          <w:sz w:val="32"/>
          <w:szCs w:val="32"/>
          <w:lang w:val="en-US" w:eastAsia="zh-CN"/>
        </w:rPr>
        <w:t>5</w:t>
      </w:r>
      <w:r>
        <w:rPr>
          <w:rFonts w:hint="default"/>
          <w:spacing w:val="7"/>
          <w:sz w:val="32"/>
          <w:szCs w:val="32"/>
          <w:lang w:val="en-US" w:eastAsia="zh-CN"/>
        </w:rPr>
        <w:t>年</w:t>
      </w:r>
      <w:r>
        <w:rPr>
          <w:rFonts w:hint="eastAsia"/>
          <w:spacing w:val="7"/>
          <w:sz w:val="32"/>
          <w:szCs w:val="32"/>
          <w:lang w:val="en-US" w:eastAsia="zh-CN"/>
        </w:rPr>
        <w:t>4</w:t>
      </w:r>
      <w:r>
        <w:rPr>
          <w:rFonts w:hint="default"/>
          <w:spacing w:val="7"/>
          <w:sz w:val="32"/>
          <w:szCs w:val="32"/>
          <w:lang w:val="en-US" w:eastAsia="zh-CN"/>
        </w:rPr>
        <w:t>月</w:t>
      </w:r>
      <w:r>
        <w:rPr>
          <w:rFonts w:hint="eastAsia"/>
          <w:spacing w:val="7"/>
          <w:sz w:val="32"/>
          <w:szCs w:val="32"/>
          <w:lang w:val="en-US" w:eastAsia="zh-CN"/>
        </w:rPr>
        <w:t>1</w:t>
      </w:r>
      <w:r>
        <w:rPr>
          <w:rFonts w:hint="default"/>
          <w:spacing w:val="7"/>
          <w:sz w:val="32"/>
          <w:szCs w:val="32"/>
          <w:lang w:val="en-US" w:eastAsia="zh-CN"/>
        </w:rPr>
        <w:t>6日，</w:t>
      </w:r>
      <w:r>
        <w:rPr>
          <w:rFonts w:hint="eastAsia"/>
          <w:spacing w:val="7"/>
          <w:sz w:val="32"/>
          <w:szCs w:val="32"/>
          <w:lang w:val="en-US" w:eastAsia="zh-CN"/>
        </w:rPr>
        <w:t>已移送</w:t>
      </w:r>
      <w:r>
        <w:rPr>
          <w:rFonts w:hint="default"/>
          <w:spacing w:val="7"/>
          <w:sz w:val="32"/>
          <w:szCs w:val="32"/>
          <w:lang w:val="en-US" w:eastAsia="zh-CN"/>
        </w:rPr>
        <w:t>合肥市公安局</w:t>
      </w:r>
      <w:r>
        <w:rPr>
          <w:rFonts w:hint="eastAsia"/>
          <w:spacing w:val="7"/>
          <w:sz w:val="32"/>
          <w:szCs w:val="32"/>
          <w:lang w:val="en-US" w:eastAsia="zh-CN"/>
        </w:rPr>
        <w:t>瑶海</w:t>
      </w:r>
      <w:r>
        <w:rPr>
          <w:rFonts w:hint="default"/>
          <w:spacing w:val="7"/>
          <w:sz w:val="32"/>
          <w:szCs w:val="32"/>
          <w:lang w:val="en-US" w:eastAsia="zh-CN"/>
        </w:rPr>
        <w:t>分</w:t>
      </w:r>
      <w:r>
        <w:rPr>
          <w:rFonts w:hint="eastAsia"/>
          <w:spacing w:val="7"/>
          <w:sz w:val="32"/>
          <w:szCs w:val="32"/>
          <w:lang w:val="en-US" w:eastAsia="zh-CN"/>
        </w:rPr>
        <w:t>局</w:t>
      </w:r>
      <w:r>
        <w:rPr>
          <w:rFonts w:hint="default"/>
          <w:spacing w:val="7"/>
          <w:sz w:val="32"/>
          <w:szCs w:val="32"/>
          <w:lang w:val="en-US" w:eastAsia="zh-CN"/>
        </w:rPr>
        <w:t>。</w:t>
      </w:r>
    </w:p>
    <w:p w14:paraId="69DFB7C1">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71" w:firstLineChars="200"/>
        <w:jc w:val="both"/>
        <w:textAlignment w:val="baseline"/>
        <w:rPr>
          <w:rFonts w:hint="default"/>
          <w:b/>
          <w:bCs/>
          <w:spacing w:val="7"/>
          <w:sz w:val="32"/>
          <w:szCs w:val="32"/>
          <w:lang w:val="en-US" w:eastAsia="zh-CN"/>
        </w:rPr>
      </w:pPr>
      <w:r>
        <w:rPr>
          <w:rFonts w:hint="default"/>
          <w:b/>
          <w:bCs/>
          <w:spacing w:val="7"/>
          <w:sz w:val="32"/>
          <w:szCs w:val="32"/>
          <w:lang w:val="en-US" w:eastAsia="zh-CN"/>
        </w:rPr>
        <w:t>2.行政处罚处理落实情况</w:t>
      </w:r>
    </w:p>
    <w:p w14:paraId="592E09C1">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8" w:firstLineChars="200"/>
        <w:jc w:val="both"/>
        <w:textAlignment w:val="baseline"/>
        <w:rPr>
          <w:rFonts w:hint="default"/>
          <w:spacing w:val="7"/>
          <w:sz w:val="32"/>
          <w:szCs w:val="32"/>
          <w:lang w:val="en-US" w:eastAsia="zh-CN"/>
        </w:rPr>
      </w:pPr>
      <w:r>
        <w:rPr>
          <w:rFonts w:hint="default"/>
          <w:spacing w:val="7"/>
          <w:sz w:val="32"/>
          <w:szCs w:val="32"/>
          <w:lang w:val="en-US" w:eastAsia="zh-CN"/>
        </w:rPr>
        <w:t>合肥康通机电设备有限公司，202</w:t>
      </w:r>
      <w:r>
        <w:rPr>
          <w:rFonts w:hint="eastAsia"/>
          <w:spacing w:val="7"/>
          <w:sz w:val="32"/>
          <w:szCs w:val="32"/>
          <w:lang w:val="en-US" w:eastAsia="zh-CN"/>
        </w:rPr>
        <w:t>5</w:t>
      </w:r>
      <w:r>
        <w:rPr>
          <w:rFonts w:hint="default"/>
          <w:spacing w:val="7"/>
          <w:sz w:val="32"/>
          <w:szCs w:val="32"/>
          <w:lang w:val="en-US" w:eastAsia="zh-CN"/>
        </w:rPr>
        <w:t>年</w:t>
      </w:r>
      <w:r>
        <w:rPr>
          <w:rFonts w:hint="eastAsia"/>
          <w:spacing w:val="7"/>
          <w:sz w:val="32"/>
          <w:szCs w:val="32"/>
          <w:lang w:val="en-US" w:eastAsia="zh-CN"/>
        </w:rPr>
        <w:t>5</w:t>
      </w:r>
      <w:r>
        <w:rPr>
          <w:rFonts w:hint="default"/>
          <w:spacing w:val="7"/>
          <w:sz w:val="32"/>
          <w:szCs w:val="32"/>
          <w:lang w:val="en-US" w:eastAsia="zh-CN"/>
        </w:rPr>
        <w:t>月</w:t>
      </w:r>
      <w:r>
        <w:rPr>
          <w:rFonts w:hint="eastAsia"/>
          <w:spacing w:val="7"/>
          <w:sz w:val="32"/>
          <w:szCs w:val="32"/>
          <w:lang w:val="en-US" w:eastAsia="zh-CN"/>
        </w:rPr>
        <w:t>21</w:t>
      </w:r>
      <w:r>
        <w:rPr>
          <w:rFonts w:hint="default"/>
          <w:spacing w:val="7"/>
          <w:sz w:val="32"/>
          <w:szCs w:val="32"/>
          <w:lang w:val="en-US" w:eastAsia="zh-CN"/>
        </w:rPr>
        <w:t>日，</w:t>
      </w:r>
      <w:r>
        <w:rPr>
          <w:rFonts w:hint="eastAsia"/>
          <w:spacing w:val="7"/>
          <w:sz w:val="32"/>
          <w:szCs w:val="32"/>
          <w:lang w:val="en-US" w:eastAsia="zh-CN"/>
        </w:rPr>
        <w:t>瑶海区</w:t>
      </w:r>
      <w:r>
        <w:rPr>
          <w:rFonts w:hint="default"/>
          <w:spacing w:val="7"/>
          <w:sz w:val="32"/>
          <w:szCs w:val="32"/>
          <w:lang w:val="en-US" w:eastAsia="zh-CN"/>
        </w:rPr>
        <w:t>应急管</w:t>
      </w:r>
      <w:r>
        <w:rPr>
          <w:rFonts w:hint="eastAsia"/>
          <w:spacing w:val="7"/>
          <w:sz w:val="32"/>
          <w:szCs w:val="32"/>
          <w:lang w:val="en-US" w:eastAsia="zh-CN"/>
        </w:rPr>
        <w:t>理</w:t>
      </w:r>
      <w:r>
        <w:rPr>
          <w:rFonts w:hint="default"/>
          <w:spacing w:val="7"/>
          <w:sz w:val="32"/>
          <w:szCs w:val="32"/>
          <w:lang w:val="en-US" w:eastAsia="zh-CN"/>
        </w:rPr>
        <w:t>局给予人民币</w:t>
      </w:r>
      <w:r>
        <w:rPr>
          <w:rFonts w:hint="eastAsia"/>
          <w:spacing w:val="7"/>
          <w:sz w:val="32"/>
          <w:szCs w:val="32"/>
          <w:lang w:val="en-US" w:eastAsia="zh-CN"/>
        </w:rPr>
        <w:t>伍</w:t>
      </w:r>
      <w:r>
        <w:rPr>
          <w:rFonts w:hint="default"/>
          <w:spacing w:val="7"/>
          <w:sz w:val="32"/>
          <w:szCs w:val="32"/>
          <w:lang w:val="en-US" w:eastAsia="zh-CN"/>
        </w:rPr>
        <w:t>拾</w:t>
      </w:r>
      <w:r>
        <w:rPr>
          <w:rFonts w:hint="eastAsia"/>
          <w:spacing w:val="7"/>
          <w:sz w:val="32"/>
          <w:szCs w:val="32"/>
          <w:lang w:val="en-US" w:eastAsia="zh-CN"/>
        </w:rPr>
        <w:t>伍</w:t>
      </w:r>
      <w:r>
        <w:rPr>
          <w:rFonts w:hint="default"/>
          <w:spacing w:val="7"/>
          <w:sz w:val="32"/>
          <w:szCs w:val="32"/>
          <w:lang w:val="en-US" w:eastAsia="zh-CN"/>
        </w:rPr>
        <w:t>万元整罚款，</w:t>
      </w:r>
      <w:r>
        <w:rPr>
          <w:rFonts w:hint="eastAsia"/>
          <w:spacing w:val="7"/>
          <w:sz w:val="32"/>
          <w:szCs w:val="32"/>
          <w:lang w:val="en-US" w:eastAsia="zh-CN"/>
        </w:rPr>
        <w:t>未</w:t>
      </w:r>
      <w:r>
        <w:rPr>
          <w:rFonts w:hint="default"/>
          <w:spacing w:val="7"/>
          <w:sz w:val="32"/>
          <w:szCs w:val="32"/>
          <w:lang w:val="en-US" w:eastAsia="zh-CN"/>
        </w:rPr>
        <w:t>缴纳罚款。</w:t>
      </w:r>
    </w:p>
    <w:p w14:paraId="3D71B557">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71" w:firstLineChars="200"/>
        <w:jc w:val="both"/>
        <w:textAlignment w:val="baseline"/>
        <w:rPr>
          <w:rFonts w:hint="default"/>
          <w:b/>
          <w:bCs/>
          <w:spacing w:val="7"/>
          <w:sz w:val="32"/>
          <w:szCs w:val="32"/>
          <w:lang w:val="en-US" w:eastAsia="zh-CN"/>
        </w:rPr>
      </w:pPr>
      <w:r>
        <w:rPr>
          <w:rFonts w:hint="default"/>
          <w:b/>
          <w:bCs/>
          <w:spacing w:val="7"/>
          <w:sz w:val="32"/>
          <w:szCs w:val="32"/>
          <w:lang w:val="en-US" w:eastAsia="zh-CN"/>
        </w:rPr>
        <w:t>3.作出书面检查单位的落实情况</w:t>
      </w:r>
    </w:p>
    <w:p w14:paraId="14A7C7A6">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8" w:firstLineChars="200"/>
        <w:jc w:val="both"/>
        <w:textAlignment w:val="baseline"/>
        <w:rPr>
          <w:rFonts w:hint="default"/>
          <w:spacing w:val="7"/>
          <w:sz w:val="32"/>
          <w:szCs w:val="32"/>
          <w:shd w:val="clear"/>
          <w:lang w:val="en-US" w:eastAsia="zh-CN"/>
        </w:rPr>
      </w:pPr>
      <w:r>
        <w:rPr>
          <w:rFonts w:hint="default"/>
          <w:spacing w:val="7"/>
          <w:sz w:val="32"/>
          <w:szCs w:val="32"/>
          <w:lang w:val="en-US" w:eastAsia="zh-CN"/>
        </w:rPr>
        <w:t>（1）方庙街道办事处，</w:t>
      </w:r>
      <w:r>
        <w:rPr>
          <w:rFonts w:hint="eastAsia"/>
          <w:color w:val="auto"/>
          <w:spacing w:val="7"/>
          <w:sz w:val="32"/>
          <w:szCs w:val="32"/>
          <w:shd w:val="clear"/>
          <w:lang w:val="en-US" w:eastAsia="zh-CN"/>
        </w:rPr>
        <w:t>2024</w:t>
      </w:r>
      <w:r>
        <w:rPr>
          <w:rFonts w:hint="default"/>
          <w:color w:val="auto"/>
          <w:spacing w:val="7"/>
          <w:sz w:val="32"/>
          <w:szCs w:val="32"/>
          <w:shd w:val="clear"/>
          <w:lang w:val="en-US" w:eastAsia="zh-CN"/>
        </w:rPr>
        <w:t>年</w:t>
      </w:r>
      <w:r>
        <w:rPr>
          <w:rFonts w:hint="eastAsia"/>
          <w:color w:val="auto"/>
          <w:spacing w:val="7"/>
          <w:sz w:val="32"/>
          <w:szCs w:val="32"/>
          <w:shd w:val="clear"/>
          <w:lang w:val="en-US" w:eastAsia="zh-CN"/>
        </w:rPr>
        <w:t>10</w:t>
      </w:r>
      <w:r>
        <w:rPr>
          <w:rFonts w:hint="default"/>
          <w:color w:val="auto"/>
          <w:spacing w:val="7"/>
          <w:sz w:val="32"/>
          <w:szCs w:val="32"/>
          <w:shd w:val="clear"/>
          <w:lang w:val="en-US" w:eastAsia="zh-CN"/>
        </w:rPr>
        <w:t>月</w:t>
      </w:r>
      <w:r>
        <w:rPr>
          <w:rFonts w:hint="eastAsia"/>
          <w:color w:val="auto"/>
          <w:spacing w:val="7"/>
          <w:sz w:val="32"/>
          <w:szCs w:val="32"/>
          <w:shd w:val="clear"/>
          <w:lang w:val="en-US" w:eastAsia="zh-CN"/>
        </w:rPr>
        <w:t>13</w:t>
      </w:r>
      <w:r>
        <w:rPr>
          <w:rFonts w:hint="default"/>
          <w:color w:val="auto"/>
          <w:spacing w:val="7"/>
          <w:sz w:val="32"/>
          <w:szCs w:val="32"/>
          <w:shd w:val="clear"/>
          <w:lang w:val="en-US" w:eastAsia="zh-CN"/>
        </w:rPr>
        <w:t>日</w:t>
      </w:r>
      <w:r>
        <w:rPr>
          <w:rFonts w:hint="default"/>
          <w:spacing w:val="7"/>
          <w:sz w:val="32"/>
          <w:szCs w:val="32"/>
          <w:shd w:val="clear"/>
          <w:lang w:val="en-US" w:eastAsia="zh-CN"/>
        </w:rPr>
        <w:t>，向</w:t>
      </w:r>
      <w:r>
        <w:rPr>
          <w:rFonts w:hint="eastAsia" w:hAnsi="仿宋_GB2312" w:eastAsia="仿宋_GB2312" w:cs="仿宋_GB2312"/>
          <w:sz w:val="32"/>
          <w:szCs w:val="32"/>
          <w:shd w:val="clear"/>
          <w:lang w:val="en-US" w:eastAsia="zh-CN"/>
        </w:rPr>
        <w:t>瑶海区政府</w:t>
      </w:r>
      <w:r>
        <w:rPr>
          <w:rFonts w:hint="default"/>
          <w:spacing w:val="7"/>
          <w:sz w:val="32"/>
          <w:szCs w:val="32"/>
          <w:shd w:val="clear"/>
          <w:lang w:val="en-US" w:eastAsia="zh-CN"/>
        </w:rPr>
        <w:t>作出深刻书面检查。</w:t>
      </w:r>
    </w:p>
    <w:p w14:paraId="2E0CAD08">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8" w:firstLineChars="200"/>
        <w:jc w:val="both"/>
        <w:textAlignment w:val="baseline"/>
        <w:rPr>
          <w:rFonts w:hint="default"/>
          <w:spacing w:val="7"/>
          <w:sz w:val="32"/>
          <w:szCs w:val="32"/>
          <w:lang w:val="en-US" w:eastAsia="zh-CN"/>
        </w:rPr>
      </w:pPr>
      <w:r>
        <w:rPr>
          <w:rFonts w:hint="default"/>
          <w:spacing w:val="7"/>
          <w:sz w:val="32"/>
          <w:szCs w:val="32"/>
          <w:lang w:val="en-US" w:eastAsia="zh-CN"/>
        </w:rPr>
        <w:t>（2）区住建局，</w:t>
      </w:r>
      <w:r>
        <w:rPr>
          <w:rFonts w:hint="eastAsia"/>
          <w:spacing w:val="7"/>
          <w:sz w:val="32"/>
          <w:szCs w:val="32"/>
          <w:lang w:val="en-US" w:eastAsia="zh-CN"/>
        </w:rPr>
        <w:t>2024</w:t>
      </w:r>
      <w:r>
        <w:rPr>
          <w:rFonts w:hint="default"/>
          <w:spacing w:val="7"/>
          <w:sz w:val="32"/>
          <w:szCs w:val="32"/>
          <w:lang w:val="en-US" w:eastAsia="zh-CN"/>
        </w:rPr>
        <w:t>年</w:t>
      </w:r>
      <w:r>
        <w:rPr>
          <w:rFonts w:hint="eastAsia"/>
          <w:spacing w:val="7"/>
          <w:sz w:val="32"/>
          <w:szCs w:val="32"/>
          <w:lang w:val="en-US" w:eastAsia="zh-CN"/>
        </w:rPr>
        <w:t>12</w:t>
      </w:r>
      <w:r>
        <w:rPr>
          <w:rFonts w:hint="default"/>
          <w:spacing w:val="7"/>
          <w:sz w:val="32"/>
          <w:szCs w:val="32"/>
          <w:lang w:val="en-US" w:eastAsia="zh-CN"/>
        </w:rPr>
        <w:t>月</w:t>
      </w:r>
      <w:r>
        <w:rPr>
          <w:rFonts w:hint="eastAsia"/>
          <w:spacing w:val="7"/>
          <w:sz w:val="32"/>
          <w:szCs w:val="32"/>
          <w:lang w:val="en-US" w:eastAsia="zh-CN"/>
        </w:rPr>
        <w:t>5</w:t>
      </w:r>
      <w:r>
        <w:rPr>
          <w:rFonts w:hint="default"/>
          <w:spacing w:val="7"/>
          <w:sz w:val="32"/>
          <w:szCs w:val="32"/>
          <w:lang w:val="en-US" w:eastAsia="zh-CN"/>
        </w:rPr>
        <w:t>日，向瑶海区政府作出深刻书面检查。</w:t>
      </w:r>
    </w:p>
    <w:p w14:paraId="10C1719A">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8" w:firstLineChars="200"/>
        <w:jc w:val="both"/>
        <w:textAlignment w:val="baseline"/>
        <w:rPr>
          <w:rFonts w:hint="default"/>
          <w:spacing w:val="7"/>
          <w:sz w:val="32"/>
          <w:szCs w:val="32"/>
          <w:lang w:val="en-US" w:eastAsia="zh-CN"/>
        </w:rPr>
      </w:pPr>
      <w:r>
        <w:rPr>
          <w:rFonts w:hint="default"/>
          <w:spacing w:val="7"/>
          <w:sz w:val="32"/>
          <w:szCs w:val="32"/>
          <w:lang w:val="en-US" w:eastAsia="zh-CN"/>
        </w:rPr>
        <w:t>相关责任人员和责任单位责任追究情况（见附件3）。</w:t>
      </w:r>
    </w:p>
    <w:p w14:paraId="5A90D0F0">
      <w:pPr>
        <w:keepNext w:val="0"/>
        <w:keepLines w:val="0"/>
        <w:pageBreakBefore w:val="0"/>
        <w:widowControl/>
        <w:kinsoku w:val="0"/>
        <w:wordWrap/>
        <w:overflowPunct/>
        <w:topLinePunct w:val="0"/>
        <w:autoSpaceDE w:val="0"/>
        <w:autoSpaceDN w:val="0"/>
        <w:bidi w:val="0"/>
        <w:adjustRightInd w:val="0"/>
        <w:snapToGrid w:val="0"/>
        <w:spacing w:line="560" w:lineRule="exact"/>
        <w:ind w:left="0" w:firstLine="679" w:firstLineChars="200"/>
        <w:textAlignment w:val="baseline"/>
        <w:rPr>
          <w:rFonts w:hint="eastAsia" w:ascii="楷体_GB2312" w:hAnsi="楷体_GB2312" w:eastAsia="楷体_GB2312" w:cs="楷体_GB2312"/>
          <w:b/>
          <w:bCs/>
          <w:sz w:val="32"/>
          <w:szCs w:val="32"/>
        </w:rPr>
      </w:pPr>
      <w:r>
        <w:rPr>
          <w:rFonts w:hint="eastAsia" w:ascii="楷体_GB2312" w:hAnsi="楷体_GB2312" w:eastAsia="楷体_GB2312" w:cs="楷体_GB2312"/>
          <w:b/>
          <w:bCs/>
          <w:spacing w:val="9"/>
          <w:sz w:val="32"/>
          <w:szCs w:val="32"/>
        </w:rPr>
        <w:t>（二）有关事故单位落实事故整改措施情况</w:t>
      </w:r>
    </w:p>
    <w:p w14:paraId="2EA3CB43">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8" w:firstLineChars="200"/>
        <w:jc w:val="both"/>
        <w:textAlignment w:val="baseline"/>
        <w:rPr>
          <w:rFonts w:hint="default"/>
          <w:spacing w:val="7"/>
          <w:sz w:val="32"/>
          <w:szCs w:val="32"/>
          <w:lang w:val="en-US" w:eastAsia="zh-CN"/>
        </w:rPr>
      </w:pPr>
      <w:r>
        <w:rPr>
          <w:rFonts w:hint="default"/>
          <w:spacing w:val="7"/>
          <w:sz w:val="32"/>
          <w:szCs w:val="32"/>
          <w:lang w:val="en-US" w:eastAsia="zh-CN"/>
        </w:rPr>
        <w:t>1.合肥康通机电设备有限公司</w:t>
      </w:r>
      <w:r>
        <w:rPr>
          <w:rFonts w:hint="eastAsia"/>
          <w:spacing w:val="7"/>
          <w:sz w:val="32"/>
          <w:szCs w:val="32"/>
          <w:lang w:val="en-US" w:eastAsia="zh-CN"/>
        </w:rPr>
        <w:t>，基本</w:t>
      </w:r>
      <w:r>
        <w:rPr>
          <w:rFonts w:hint="default"/>
          <w:spacing w:val="7"/>
          <w:sz w:val="32"/>
          <w:szCs w:val="32"/>
          <w:lang w:val="en-US" w:eastAsia="zh-CN"/>
        </w:rPr>
        <w:t>落实调查报告要求，</w:t>
      </w:r>
      <w:r>
        <w:rPr>
          <w:rFonts w:hint="eastAsia"/>
          <w:spacing w:val="7"/>
          <w:sz w:val="32"/>
          <w:szCs w:val="32"/>
          <w:lang w:val="en-US" w:eastAsia="zh-CN"/>
        </w:rPr>
        <w:t>但未</w:t>
      </w:r>
      <w:r>
        <w:rPr>
          <w:rFonts w:hint="default"/>
          <w:spacing w:val="7"/>
          <w:sz w:val="32"/>
          <w:szCs w:val="32"/>
          <w:lang w:val="en-US" w:eastAsia="zh-CN"/>
        </w:rPr>
        <w:t>履行行政处罚决定。</w:t>
      </w:r>
    </w:p>
    <w:p w14:paraId="0A5B7F54">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68" w:firstLineChars="200"/>
        <w:jc w:val="both"/>
        <w:textAlignment w:val="auto"/>
        <w:rPr>
          <w:rFonts w:hint="default" w:hAnsi="仿宋_GB2312" w:eastAsia="仿宋_GB2312" w:cs="仿宋_GB2312"/>
          <w:color w:val="auto"/>
          <w:sz w:val="32"/>
          <w:szCs w:val="32"/>
          <w:lang w:val="en-US" w:eastAsia="zh-CN"/>
        </w:rPr>
      </w:pPr>
      <w:r>
        <w:rPr>
          <w:rFonts w:hint="default"/>
          <w:color w:val="auto"/>
          <w:spacing w:val="7"/>
          <w:sz w:val="32"/>
          <w:szCs w:val="32"/>
          <w:lang w:val="en-US" w:eastAsia="zh-CN"/>
        </w:rPr>
        <w:t>2.</w:t>
      </w:r>
      <w:r>
        <w:rPr>
          <w:rFonts w:hint="eastAsia" w:hAnsi="仿宋_GB2312" w:eastAsia="仿宋_GB2312" w:cs="仿宋_GB2312"/>
          <w:color w:val="auto"/>
          <w:sz w:val="32"/>
          <w:szCs w:val="32"/>
          <w:lang w:val="en-US" w:eastAsia="zh-CN"/>
        </w:rPr>
        <w:t>方庙街道，基本落实调查报告的事故防范和整改措施。一是建立健全小散工程和零星作业纳管制度，落实“五个一”要求；二是强化小散工程和零星作业安全监管，由街道建设办牵头，建立建设办、城管办、安监办、市场监管所、经发办等相关部门联合检查机制；三是统筹力量加强对辖区小散工程和零星作业日常宣传教育，积极开展小散工程和零星作业事故警示教育。</w:t>
      </w:r>
    </w:p>
    <w:p w14:paraId="3FC6F2D1">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68" w:firstLineChars="200"/>
        <w:jc w:val="both"/>
        <w:textAlignment w:val="auto"/>
        <w:rPr>
          <w:rFonts w:hint="eastAsia" w:hAnsi="仿宋_GB2312" w:eastAsia="仿宋_GB2312" w:cs="仿宋_GB2312"/>
          <w:sz w:val="32"/>
          <w:szCs w:val="32"/>
          <w:lang w:val="en-US" w:eastAsia="zh-CN"/>
        </w:rPr>
      </w:pPr>
      <w:r>
        <w:rPr>
          <w:rFonts w:hint="eastAsia"/>
          <w:spacing w:val="7"/>
          <w:sz w:val="32"/>
          <w:szCs w:val="32"/>
          <w:lang w:val="en-US" w:eastAsia="zh-CN"/>
        </w:rPr>
        <w:t>3</w:t>
      </w:r>
      <w:r>
        <w:rPr>
          <w:rFonts w:hint="default"/>
          <w:spacing w:val="7"/>
          <w:sz w:val="32"/>
          <w:szCs w:val="32"/>
          <w:lang w:val="en-US" w:eastAsia="zh-CN"/>
        </w:rPr>
        <w:t>.</w:t>
      </w:r>
      <w:r>
        <w:rPr>
          <w:rFonts w:hint="eastAsia" w:hAnsi="仿宋_GB2312" w:eastAsia="仿宋_GB2312" w:cs="仿宋_GB2312"/>
          <w:sz w:val="32"/>
          <w:szCs w:val="32"/>
          <w:lang w:val="en-US" w:eastAsia="zh-CN"/>
        </w:rPr>
        <w:t>区住建局，基本落实调查报告的事故防范和整改措施。一是印发《关于印发&lt;瑶海区房建市政和装饰装修类小散工程安全生产登记工作指引&gt;等文件的通知》，二是强化安全宣传，提高安全意识，三是持续开展建设领域安全生产隐患大起底大排查大整治“百日攻坚行动”，深入研判各类风险，狠抓安全生产隐患排查整改和监管执法，进一步压实企业安全生产主体责任，切实消除建设领域安全隐患。</w:t>
      </w:r>
    </w:p>
    <w:p w14:paraId="5648AE67">
      <w:pPr>
        <w:keepNext w:val="0"/>
        <w:keepLines w:val="0"/>
        <w:pageBreakBefore w:val="0"/>
        <w:widowControl/>
        <w:kinsoku w:val="0"/>
        <w:wordWrap/>
        <w:overflowPunct/>
        <w:topLinePunct w:val="0"/>
        <w:autoSpaceDE w:val="0"/>
        <w:autoSpaceDN w:val="0"/>
        <w:bidi w:val="0"/>
        <w:adjustRightInd w:val="0"/>
        <w:snapToGrid w:val="0"/>
        <w:spacing w:before="15" w:line="560" w:lineRule="exact"/>
        <w:ind w:left="654"/>
        <w:jc w:val="both"/>
        <w:textAlignment w:val="baseline"/>
        <w:outlineLvl w:val="1"/>
        <w:rPr>
          <w:rFonts w:ascii="黑体" w:hAnsi="黑体" w:eastAsia="黑体" w:cs="黑体"/>
          <w:sz w:val="32"/>
          <w:szCs w:val="32"/>
        </w:rPr>
      </w:pPr>
      <w:r>
        <w:rPr>
          <w:rFonts w:ascii="黑体" w:hAnsi="黑体" w:eastAsia="黑体" w:cs="黑体"/>
          <w:spacing w:val="6"/>
          <w:sz w:val="32"/>
          <w:szCs w:val="32"/>
        </w:rPr>
        <w:t>三、评估意见</w:t>
      </w:r>
    </w:p>
    <w:p w14:paraId="1C9A2CE6">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8" w:firstLineChars="200"/>
        <w:jc w:val="both"/>
        <w:textAlignment w:val="baseline"/>
        <w:rPr>
          <w:rFonts w:hint="eastAsia" w:ascii="仿宋_GB2312" w:hAnsi="仿宋_GB2312" w:eastAsia="仿宋_GB2312" w:cs="仿宋_GB2312"/>
          <w:spacing w:val="7"/>
          <w:sz w:val="32"/>
          <w:szCs w:val="32"/>
          <w:lang w:val="en-US" w:eastAsia="zh-CN"/>
        </w:rPr>
      </w:pPr>
      <w:r>
        <w:rPr>
          <w:rFonts w:hint="eastAsia" w:ascii="仿宋_GB2312" w:hAnsi="仿宋_GB2312" w:eastAsia="仿宋_GB2312" w:cs="仿宋_GB2312"/>
          <w:spacing w:val="7"/>
          <w:sz w:val="32"/>
          <w:szCs w:val="32"/>
          <w:lang w:val="en-US" w:eastAsia="zh-CN"/>
        </w:rPr>
        <w:t>评估组综合评估后认为，事故有关单位能吸取事故教训，认真开展了整改，取得了积极成效。为深刻吸取事故教训，深化防范措施，有效防范和减少同类事故的发生，提出如下意见：</w:t>
      </w:r>
    </w:p>
    <w:p w14:paraId="1062CBA1">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8" w:firstLineChars="200"/>
        <w:jc w:val="both"/>
        <w:textAlignment w:val="baseline"/>
        <w:rPr>
          <w:rFonts w:hint="eastAsia" w:ascii="仿宋_GB2312" w:hAnsi="仿宋_GB2312" w:eastAsia="仿宋_GB2312" w:cs="仿宋_GB2312"/>
          <w:spacing w:val="7"/>
          <w:sz w:val="32"/>
          <w:szCs w:val="32"/>
          <w:lang w:val="en-US" w:eastAsia="zh-CN"/>
        </w:rPr>
      </w:pPr>
      <w:r>
        <w:rPr>
          <w:rFonts w:hint="eastAsia" w:ascii="仿宋_GB2312" w:hAnsi="仿宋_GB2312" w:eastAsia="仿宋_GB2312" w:cs="仿宋_GB2312"/>
          <w:spacing w:val="7"/>
          <w:sz w:val="32"/>
          <w:szCs w:val="32"/>
          <w:lang w:val="en-US" w:eastAsia="zh-CN"/>
        </w:rPr>
        <w:t>（一）加强部门协作推动责任追究落实到位。要进一步完善部门协作机制，推动各项责任追究工作依法依规、快速高效落实到位。</w:t>
      </w:r>
    </w:p>
    <w:p w14:paraId="45472D9D">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8" w:firstLineChars="200"/>
        <w:jc w:val="both"/>
        <w:textAlignment w:val="baseline"/>
        <w:rPr>
          <w:rFonts w:hint="eastAsia" w:ascii="仿宋_GB2312" w:hAnsi="仿宋_GB2312" w:eastAsia="仿宋_GB2312" w:cs="仿宋_GB2312"/>
          <w:spacing w:val="7"/>
          <w:sz w:val="32"/>
          <w:szCs w:val="32"/>
          <w:lang w:val="en-US" w:eastAsia="zh-CN"/>
        </w:rPr>
      </w:pPr>
      <w:r>
        <w:rPr>
          <w:rFonts w:hint="eastAsia" w:ascii="仿宋_GB2312" w:hAnsi="仿宋_GB2312" w:eastAsia="仿宋_GB2312" w:cs="仿宋_GB2312"/>
          <w:spacing w:val="7"/>
          <w:sz w:val="32"/>
          <w:szCs w:val="32"/>
          <w:lang w:val="en-US" w:eastAsia="zh-CN"/>
        </w:rPr>
        <w:t>（二）要狠抓事故防范措施落地生效。要全面梳理事故防范和整改措施清单，常抓不懈，落地落细防范措施。举一反三，紧盯安全生产领域顽固性问题攻坚，深挖问题根源，采取切实可行的工作举措，推进事故整改工作高质量完成。</w:t>
      </w:r>
    </w:p>
    <w:p w14:paraId="31D8F14B">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8" w:firstLineChars="200"/>
        <w:jc w:val="both"/>
        <w:textAlignment w:val="baseline"/>
        <w:rPr>
          <w:rFonts w:hint="eastAsia" w:ascii="仿宋_GB2312" w:hAnsi="仿宋_GB2312" w:eastAsia="仿宋_GB2312" w:cs="仿宋_GB2312"/>
          <w:spacing w:val="7"/>
          <w:sz w:val="32"/>
          <w:szCs w:val="32"/>
          <w:lang w:val="en-US" w:eastAsia="zh-CN"/>
        </w:rPr>
      </w:pPr>
      <w:r>
        <w:rPr>
          <w:rFonts w:hint="eastAsia" w:ascii="仿宋_GB2312" w:hAnsi="仿宋_GB2312" w:eastAsia="仿宋_GB2312" w:cs="仿宋_GB2312"/>
          <w:spacing w:val="7"/>
          <w:sz w:val="32"/>
          <w:szCs w:val="32"/>
          <w:lang w:val="en-US" w:eastAsia="zh-CN"/>
        </w:rPr>
        <w:t>（三）强化安全生产宣传实效。切实加强安全生产宣传引导，可通过各种奖励措施，激励一线员工主动学习安全生产知识的热情，确保学习取得实效。同时，充分借助各类新闻媒体渠道，加强宣传报道，通过剖析典型案例，以案说法，进一步提升作业人员的安全生产意识。</w:t>
      </w:r>
    </w:p>
    <w:p w14:paraId="205A3F92">
      <w:pPr>
        <w:pStyle w:val="3"/>
        <w:keepNext w:val="0"/>
        <w:keepLines w:val="0"/>
        <w:pageBreakBefore w:val="0"/>
        <w:widowControl/>
        <w:kinsoku w:val="0"/>
        <w:wordWrap/>
        <w:overflowPunct/>
        <w:topLinePunct w:val="0"/>
        <w:autoSpaceDE w:val="0"/>
        <w:autoSpaceDN w:val="0"/>
        <w:bidi w:val="0"/>
        <w:adjustRightInd w:val="0"/>
        <w:snapToGrid w:val="0"/>
        <w:spacing w:line="560" w:lineRule="exact"/>
        <w:ind w:right="0"/>
        <w:jc w:val="both"/>
        <w:textAlignment w:val="baseline"/>
        <w:rPr>
          <w:rFonts w:hint="default"/>
          <w:spacing w:val="7"/>
          <w:sz w:val="32"/>
          <w:szCs w:val="32"/>
          <w:lang w:val="en-US" w:eastAsia="zh-CN"/>
        </w:rPr>
      </w:pPr>
    </w:p>
    <w:p w14:paraId="50C2B436">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8" w:firstLineChars="200"/>
        <w:jc w:val="both"/>
        <w:textAlignment w:val="baseline"/>
        <w:rPr>
          <w:rFonts w:hint="eastAsia" w:ascii="仿宋_GB2312" w:hAnsi="仿宋_GB2312" w:eastAsia="仿宋_GB2312" w:cs="仿宋_GB2312"/>
          <w:spacing w:val="7"/>
          <w:sz w:val="32"/>
          <w:szCs w:val="32"/>
          <w:lang w:val="en-US" w:eastAsia="zh-CN"/>
        </w:rPr>
      </w:pPr>
      <w:r>
        <w:rPr>
          <w:rFonts w:hint="eastAsia" w:ascii="仿宋_GB2312" w:hAnsi="仿宋_GB2312" w:eastAsia="仿宋_GB2312" w:cs="仿宋_GB2312"/>
          <w:spacing w:val="7"/>
          <w:sz w:val="32"/>
          <w:szCs w:val="32"/>
          <w:lang w:val="en-US" w:eastAsia="zh-CN"/>
        </w:rPr>
        <w:t>附件：</w:t>
      </w:r>
    </w:p>
    <w:p w14:paraId="4CDB598E">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8" w:firstLineChars="200"/>
        <w:jc w:val="both"/>
        <w:textAlignment w:val="baseline"/>
        <w:rPr>
          <w:rFonts w:hint="eastAsia" w:ascii="仿宋_GB2312" w:hAnsi="仿宋_GB2312" w:eastAsia="仿宋_GB2312" w:cs="仿宋_GB2312"/>
          <w:spacing w:val="7"/>
          <w:sz w:val="32"/>
          <w:szCs w:val="32"/>
          <w:lang w:val="en-US" w:eastAsia="zh-CN"/>
        </w:rPr>
      </w:pPr>
      <w:r>
        <w:rPr>
          <w:rFonts w:hint="eastAsia" w:ascii="仿宋_GB2312" w:hAnsi="仿宋_GB2312" w:eastAsia="仿宋_GB2312" w:cs="仿宋_GB2312"/>
          <w:spacing w:val="7"/>
          <w:sz w:val="32"/>
          <w:szCs w:val="32"/>
          <w:lang w:val="en-US" w:eastAsia="zh-CN"/>
        </w:rPr>
        <w:t>1.事故评估组成员名单</w:t>
      </w:r>
    </w:p>
    <w:p w14:paraId="5E87B013">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8" w:firstLineChars="200"/>
        <w:jc w:val="both"/>
        <w:textAlignment w:val="baseline"/>
        <w:rPr>
          <w:rFonts w:hint="eastAsia" w:ascii="仿宋_GB2312" w:hAnsi="仿宋_GB2312" w:eastAsia="仿宋_GB2312" w:cs="仿宋_GB2312"/>
          <w:spacing w:val="7"/>
          <w:sz w:val="32"/>
          <w:szCs w:val="32"/>
          <w:lang w:val="en-US" w:eastAsia="zh-CN"/>
        </w:rPr>
      </w:pPr>
      <w:r>
        <w:rPr>
          <w:rFonts w:hint="eastAsia" w:ascii="仿宋_GB2312" w:hAnsi="仿宋_GB2312" w:eastAsia="仿宋_GB2312" w:cs="仿宋_GB2312"/>
          <w:spacing w:val="7"/>
          <w:sz w:val="32"/>
          <w:szCs w:val="32"/>
          <w:lang w:val="en-US" w:eastAsia="zh-CN"/>
        </w:rPr>
        <w:t>2.瑶海方庙龙湖上城小区“7·28”一般高坠事故防范和整改措施落实情况评估表</w:t>
      </w:r>
    </w:p>
    <w:p w14:paraId="744CD64A">
      <w:pPr>
        <w:pStyle w:val="3"/>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68" w:firstLineChars="200"/>
        <w:jc w:val="both"/>
        <w:textAlignment w:val="baseline"/>
        <w:rPr>
          <w:rFonts w:hint="eastAsia" w:ascii="仿宋_GB2312" w:hAnsi="仿宋_GB2312" w:eastAsia="仿宋_GB2312" w:cs="仿宋_GB2312"/>
          <w:spacing w:val="7"/>
          <w:sz w:val="32"/>
          <w:szCs w:val="32"/>
          <w:lang w:val="en-US" w:eastAsia="zh-CN"/>
        </w:rPr>
      </w:pPr>
      <w:r>
        <w:rPr>
          <w:rFonts w:hint="eastAsia" w:ascii="仿宋_GB2312" w:hAnsi="仿宋_GB2312" w:eastAsia="仿宋_GB2312" w:cs="仿宋_GB2312"/>
          <w:spacing w:val="7"/>
          <w:sz w:val="32"/>
          <w:szCs w:val="32"/>
          <w:lang w:val="en-US" w:eastAsia="zh-CN"/>
        </w:rPr>
        <w:t>3.瑶海方庙龙湖上城小区“7·28”一般高坠事故责任追究落实情况表</w:t>
      </w:r>
    </w:p>
    <w:p w14:paraId="683775E4">
      <w:pPr>
        <w:pStyle w:val="3"/>
        <w:keepNext w:val="0"/>
        <w:keepLines w:val="0"/>
        <w:pageBreakBefore w:val="0"/>
        <w:widowControl/>
        <w:kinsoku w:val="0"/>
        <w:wordWrap/>
        <w:overflowPunct/>
        <w:topLinePunct w:val="0"/>
        <w:autoSpaceDE w:val="0"/>
        <w:autoSpaceDN w:val="0"/>
        <w:bidi w:val="0"/>
        <w:adjustRightInd w:val="0"/>
        <w:snapToGrid w:val="0"/>
        <w:spacing w:line="560" w:lineRule="exact"/>
        <w:ind w:right="0"/>
        <w:jc w:val="both"/>
        <w:textAlignment w:val="baseline"/>
        <w:rPr>
          <w:rFonts w:hint="eastAsia" w:ascii="仿宋_GB2312" w:hAnsi="仿宋_GB2312" w:eastAsia="仿宋_GB2312" w:cs="仿宋_GB2312"/>
          <w:spacing w:val="7"/>
          <w:sz w:val="32"/>
          <w:szCs w:val="32"/>
          <w:lang w:val="en-US" w:eastAsia="zh-CN"/>
        </w:rPr>
      </w:pPr>
    </w:p>
    <w:p w14:paraId="16C476FA">
      <w:pPr>
        <w:pStyle w:val="3"/>
        <w:keepNext w:val="0"/>
        <w:keepLines w:val="0"/>
        <w:pageBreakBefore w:val="0"/>
        <w:widowControl/>
        <w:kinsoku w:val="0"/>
        <w:wordWrap/>
        <w:overflowPunct/>
        <w:topLinePunct w:val="0"/>
        <w:autoSpaceDE w:val="0"/>
        <w:autoSpaceDN w:val="0"/>
        <w:bidi w:val="0"/>
        <w:adjustRightInd w:val="0"/>
        <w:snapToGrid w:val="0"/>
        <w:spacing w:line="560" w:lineRule="exact"/>
        <w:ind w:right="0"/>
        <w:jc w:val="both"/>
        <w:textAlignment w:val="baseline"/>
        <w:rPr>
          <w:rFonts w:hint="eastAsia" w:ascii="仿宋_GB2312" w:hAnsi="仿宋_GB2312" w:eastAsia="仿宋_GB2312" w:cs="仿宋_GB2312"/>
          <w:spacing w:val="7"/>
          <w:sz w:val="32"/>
          <w:szCs w:val="32"/>
          <w:lang w:val="en-US" w:eastAsia="zh-CN"/>
        </w:rPr>
      </w:pPr>
    </w:p>
    <w:p w14:paraId="3602A579">
      <w:pPr>
        <w:pStyle w:val="3"/>
        <w:keepNext w:val="0"/>
        <w:keepLines w:val="0"/>
        <w:pageBreakBefore w:val="0"/>
        <w:widowControl/>
        <w:kinsoku w:val="0"/>
        <w:wordWrap/>
        <w:overflowPunct/>
        <w:topLinePunct w:val="0"/>
        <w:autoSpaceDE w:val="0"/>
        <w:autoSpaceDN w:val="0"/>
        <w:bidi w:val="0"/>
        <w:adjustRightInd w:val="0"/>
        <w:snapToGrid w:val="0"/>
        <w:spacing w:line="560" w:lineRule="exact"/>
        <w:ind w:right="0"/>
        <w:jc w:val="right"/>
        <w:textAlignment w:val="baseline"/>
        <w:rPr>
          <w:rFonts w:hint="eastAsia" w:ascii="仿宋_GB2312" w:hAnsi="仿宋_GB2312" w:eastAsia="仿宋_GB2312" w:cs="仿宋_GB2312"/>
          <w:spacing w:val="7"/>
          <w:sz w:val="32"/>
          <w:szCs w:val="32"/>
          <w:lang w:val="en-US" w:eastAsia="zh-CN"/>
        </w:rPr>
      </w:pPr>
      <w:r>
        <w:rPr>
          <w:rFonts w:hint="eastAsia" w:ascii="仿宋_GB2312" w:hAnsi="仿宋_GB2312" w:eastAsia="仿宋_GB2312" w:cs="仿宋_GB2312"/>
          <w:spacing w:val="7"/>
          <w:sz w:val="32"/>
          <w:szCs w:val="32"/>
          <w:lang w:val="en-US" w:eastAsia="zh-CN"/>
        </w:rPr>
        <w:t>瑶海方庙龙湖上城小区“7·28”一般高坠事故</w:t>
      </w:r>
    </w:p>
    <w:p w14:paraId="4B0EFD4F">
      <w:pPr>
        <w:pStyle w:val="3"/>
        <w:keepNext w:val="0"/>
        <w:keepLines w:val="0"/>
        <w:pageBreakBefore w:val="0"/>
        <w:widowControl/>
        <w:kinsoku w:val="0"/>
        <w:wordWrap/>
        <w:overflowPunct/>
        <w:topLinePunct w:val="0"/>
        <w:autoSpaceDE w:val="0"/>
        <w:autoSpaceDN w:val="0"/>
        <w:bidi w:val="0"/>
        <w:adjustRightInd w:val="0"/>
        <w:snapToGrid w:val="0"/>
        <w:spacing w:line="560" w:lineRule="exact"/>
        <w:ind w:right="0"/>
        <w:jc w:val="right"/>
        <w:textAlignment w:val="baseline"/>
        <w:rPr>
          <w:rFonts w:hint="eastAsia" w:ascii="仿宋_GB2312" w:hAnsi="仿宋_GB2312" w:eastAsia="仿宋_GB2312" w:cs="仿宋_GB2312"/>
          <w:spacing w:val="7"/>
          <w:sz w:val="32"/>
          <w:szCs w:val="32"/>
          <w:lang w:val="en-US" w:eastAsia="zh-CN"/>
        </w:rPr>
      </w:pPr>
      <w:r>
        <w:rPr>
          <w:rFonts w:hint="eastAsia" w:ascii="仿宋_GB2312" w:hAnsi="仿宋_GB2312" w:eastAsia="仿宋_GB2312" w:cs="仿宋_GB2312"/>
          <w:spacing w:val="7"/>
          <w:sz w:val="32"/>
          <w:szCs w:val="32"/>
          <w:lang w:val="en-US" w:eastAsia="zh-CN"/>
        </w:rPr>
        <w:t>防范和整改措施落实情况评估工作组</w:t>
      </w:r>
    </w:p>
    <w:p w14:paraId="5514D6BC">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pacing w:val="7"/>
          <w:sz w:val="32"/>
          <w:szCs w:val="32"/>
          <w:lang w:val="en-US" w:eastAsia="zh-CN"/>
        </w:rPr>
        <w:t xml:space="preserve">                  2025年5月30日</w:t>
      </w:r>
    </w:p>
    <w:p w14:paraId="1C388166">
      <w:pPr>
        <w:keepNext w:val="0"/>
        <w:keepLines w:val="0"/>
        <w:pageBreakBefore w:val="0"/>
        <w:widowControl/>
        <w:kinsoku w:val="0"/>
        <w:wordWrap/>
        <w:overflowPunct/>
        <w:topLinePunct w:val="0"/>
        <w:autoSpaceDE w:val="0"/>
        <w:autoSpaceDN w:val="0"/>
        <w:bidi w:val="0"/>
        <w:adjustRightInd w:val="0"/>
        <w:snapToGrid w:val="0"/>
        <w:spacing w:before="101" w:line="560" w:lineRule="exact"/>
        <w:jc w:val="right"/>
        <w:textAlignment w:val="baseline"/>
        <w:rPr>
          <w:rFonts w:ascii="黑体" w:hAnsi="黑体" w:eastAsia="黑体" w:cs="黑体"/>
          <w:spacing w:val="-4"/>
          <w:sz w:val="31"/>
          <w:szCs w:val="31"/>
        </w:rPr>
      </w:pPr>
    </w:p>
    <w:p w14:paraId="1A77D5A6">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黑体" w:hAnsi="黑体" w:eastAsia="黑体" w:cs="黑体"/>
          <w:spacing w:val="-4"/>
          <w:sz w:val="31"/>
          <w:szCs w:val="31"/>
        </w:rPr>
      </w:pPr>
    </w:p>
    <w:p w14:paraId="590B108E">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黑体" w:hAnsi="黑体" w:eastAsia="黑体" w:cs="黑体"/>
          <w:spacing w:val="-4"/>
          <w:sz w:val="31"/>
          <w:szCs w:val="31"/>
        </w:rPr>
      </w:pPr>
    </w:p>
    <w:p w14:paraId="343BE907">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黑体" w:hAnsi="黑体" w:eastAsia="黑体" w:cs="黑体"/>
          <w:spacing w:val="-4"/>
          <w:sz w:val="31"/>
          <w:szCs w:val="31"/>
        </w:rPr>
      </w:pPr>
    </w:p>
    <w:p w14:paraId="57D8AD4F">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黑体" w:hAnsi="黑体" w:eastAsia="黑体" w:cs="黑体"/>
          <w:spacing w:val="-4"/>
          <w:sz w:val="31"/>
          <w:szCs w:val="31"/>
        </w:rPr>
      </w:pPr>
    </w:p>
    <w:p w14:paraId="0970E590">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黑体" w:hAnsi="黑体" w:eastAsia="黑体" w:cs="黑体"/>
          <w:spacing w:val="-4"/>
          <w:sz w:val="31"/>
          <w:szCs w:val="31"/>
        </w:rPr>
      </w:pPr>
    </w:p>
    <w:p w14:paraId="026F7E54">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黑体" w:hAnsi="黑体" w:eastAsia="黑体" w:cs="黑体"/>
          <w:spacing w:val="-4"/>
          <w:sz w:val="31"/>
          <w:szCs w:val="31"/>
        </w:rPr>
      </w:pPr>
    </w:p>
    <w:p w14:paraId="6C152CF3">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黑体" w:hAnsi="黑体" w:eastAsia="黑体" w:cs="黑体"/>
          <w:spacing w:val="-4"/>
          <w:sz w:val="31"/>
          <w:szCs w:val="31"/>
        </w:rPr>
      </w:pPr>
    </w:p>
    <w:p w14:paraId="15191619">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黑体" w:hAnsi="黑体" w:eastAsia="黑体" w:cs="黑体"/>
          <w:spacing w:val="-4"/>
          <w:sz w:val="31"/>
          <w:szCs w:val="31"/>
        </w:rPr>
      </w:pPr>
    </w:p>
    <w:p w14:paraId="24854594">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黑体" w:hAnsi="黑体" w:eastAsia="黑体" w:cs="黑体"/>
          <w:spacing w:val="-4"/>
          <w:sz w:val="31"/>
          <w:szCs w:val="31"/>
        </w:rPr>
      </w:pPr>
    </w:p>
    <w:p w14:paraId="05CF08B0">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黑体" w:hAnsi="黑体" w:eastAsia="黑体" w:cs="黑体"/>
          <w:spacing w:val="-4"/>
          <w:sz w:val="31"/>
          <w:szCs w:val="31"/>
        </w:rPr>
      </w:pPr>
    </w:p>
    <w:p w14:paraId="727D3229">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黑体" w:hAnsi="黑体" w:eastAsia="黑体" w:cs="黑体"/>
          <w:spacing w:val="-4"/>
          <w:sz w:val="31"/>
          <w:szCs w:val="31"/>
        </w:rPr>
      </w:pPr>
    </w:p>
    <w:p w14:paraId="7E93289A">
      <w:pPr>
        <w:pStyle w:val="2"/>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ascii="黑体" w:hAnsi="黑体" w:eastAsia="黑体" w:cs="黑体"/>
          <w:spacing w:val="-4"/>
          <w:sz w:val="31"/>
          <w:szCs w:val="31"/>
        </w:rPr>
      </w:pPr>
    </w:p>
    <w:p w14:paraId="53FF27B2">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黑体" w:hAnsi="黑体" w:eastAsia="黑体" w:cs="黑体"/>
          <w:spacing w:val="-4"/>
          <w:sz w:val="31"/>
          <w:szCs w:val="31"/>
        </w:rPr>
      </w:pPr>
    </w:p>
    <w:p w14:paraId="2C822B4E">
      <w:pPr>
        <w:pStyle w:val="2"/>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ascii="黑体" w:hAnsi="黑体" w:eastAsia="黑体" w:cs="黑体"/>
          <w:spacing w:val="-4"/>
          <w:sz w:val="31"/>
          <w:szCs w:val="31"/>
        </w:rPr>
      </w:pPr>
    </w:p>
    <w:p w14:paraId="456A37AE">
      <w:pPr>
        <w:spacing w:before="101" w:line="230" w:lineRule="auto"/>
        <w:ind w:left="9"/>
        <w:rPr>
          <w:rFonts w:ascii="黑体" w:hAnsi="黑体" w:eastAsia="黑体" w:cs="黑体"/>
          <w:sz w:val="31"/>
          <w:szCs w:val="31"/>
        </w:rPr>
      </w:pPr>
      <w:r>
        <w:rPr>
          <w:rFonts w:ascii="黑体" w:hAnsi="黑体" w:eastAsia="黑体" w:cs="黑体"/>
          <w:spacing w:val="-4"/>
          <w:sz w:val="31"/>
          <w:szCs w:val="31"/>
        </w:rPr>
        <w:t>附件1</w:t>
      </w:r>
    </w:p>
    <w:p w14:paraId="7BD4EC56">
      <w:pPr>
        <w:spacing w:line="456" w:lineRule="auto"/>
        <w:rPr>
          <w:rFonts w:ascii="Arial"/>
          <w:sz w:val="21"/>
        </w:rPr>
      </w:pPr>
    </w:p>
    <w:p w14:paraId="5708320D">
      <w:pPr>
        <w:spacing w:before="167" w:line="216" w:lineRule="auto"/>
        <w:ind w:left="459" w:right="1" w:hanging="459"/>
        <w:jc w:val="center"/>
        <w:rPr>
          <w:rFonts w:hint="default" w:ascii="方正小标宋简体" w:hAnsi="方正小标宋简体" w:eastAsia="方正小标宋简体" w:cs="方正小标宋简体"/>
          <w:sz w:val="43"/>
          <w:szCs w:val="43"/>
        </w:rPr>
      </w:pPr>
      <w:r>
        <w:rPr>
          <w:rFonts w:hint="default" w:ascii="方正小标宋简体" w:hAnsi="方正小标宋简体" w:eastAsia="方正小标宋简体" w:cs="方正小标宋简体"/>
          <w:sz w:val="43"/>
          <w:szCs w:val="43"/>
          <w:lang w:eastAsia="zh-CN"/>
        </w:rPr>
        <w:t>事故评估</w:t>
      </w:r>
      <w:r>
        <w:rPr>
          <w:rFonts w:hint="default" w:ascii="方正小标宋简体" w:hAnsi="方正小标宋简体" w:eastAsia="方正小标宋简体" w:cs="方正小标宋简体"/>
          <w:sz w:val="43"/>
          <w:szCs w:val="43"/>
        </w:rPr>
        <w:t>组成员名单</w:t>
      </w:r>
    </w:p>
    <w:tbl>
      <w:tblPr>
        <w:tblStyle w:val="8"/>
        <w:tblpPr w:leftFromText="180" w:rightFromText="180" w:vertAnchor="text" w:horzAnchor="page" w:tblpX="1598" w:tblpY="53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7"/>
        <w:gridCol w:w="1753"/>
        <w:gridCol w:w="5391"/>
      </w:tblGrid>
      <w:tr w14:paraId="3B869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807" w:type="dxa"/>
            <w:noWrap w:val="0"/>
            <w:vAlign w:val="center"/>
          </w:tcPr>
          <w:p w14:paraId="58A982CD">
            <w:pPr>
              <w:keepNext w:val="0"/>
              <w:keepLines w:val="0"/>
              <w:pageBreakBefore w:val="0"/>
              <w:widowControl/>
              <w:suppressLineNumbers w:val="0"/>
              <w:kinsoku/>
              <w:wordWrap/>
              <w:overflowPunct/>
              <w:topLinePunct w:val="0"/>
              <w:autoSpaceDE/>
              <w:bidi w:val="0"/>
              <w:adjustRightInd/>
              <w:snapToGrid/>
              <w:spacing w:line="560" w:lineRule="exact"/>
              <w:ind w:left="0" w:leftChars="0" w:right="0" w:rightChars="0" w:firstLine="0" w:firstLineChars="0"/>
              <w:jc w:val="center"/>
              <w:textAlignment w:val="auto"/>
              <w:rPr>
                <w:rFonts w:hint="default" w:ascii="Times New Roman" w:hAnsi="Times New Roman" w:eastAsia="黑体" w:cs="Times New Roman"/>
                <w:snapToGrid w:val="0"/>
                <w:kern w:val="0"/>
                <w:sz w:val="32"/>
                <w:szCs w:val="32"/>
                <w:vertAlign w:val="baseline"/>
              </w:rPr>
            </w:pPr>
            <w:r>
              <w:rPr>
                <w:rFonts w:hint="default" w:ascii="Times New Roman" w:hAnsi="Times New Roman" w:eastAsia="黑体" w:cs="Times New Roman"/>
                <w:color w:val="191919"/>
                <w:kern w:val="0"/>
                <w:sz w:val="32"/>
                <w:szCs w:val="32"/>
                <w:lang w:val="en-US" w:eastAsia="zh-CN" w:bidi="ar"/>
              </w:rPr>
              <w:t>评估组</w:t>
            </w:r>
          </w:p>
        </w:tc>
        <w:tc>
          <w:tcPr>
            <w:tcW w:w="1753" w:type="dxa"/>
            <w:noWrap w:val="0"/>
            <w:vAlign w:val="center"/>
          </w:tcPr>
          <w:p w14:paraId="745C7DD4">
            <w:pPr>
              <w:keepNext w:val="0"/>
              <w:keepLines w:val="0"/>
              <w:pageBreakBefore w:val="0"/>
              <w:widowControl w:val="0"/>
              <w:kinsoku/>
              <w:wordWrap/>
              <w:overflowPunct/>
              <w:topLinePunct w:val="0"/>
              <w:autoSpaceDE/>
              <w:bidi w:val="0"/>
              <w:adjustRightInd/>
              <w:snapToGrid/>
              <w:spacing w:line="560" w:lineRule="exact"/>
              <w:ind w:left="0" w:leftChars="0" w:right="0" w:rightChars="0" w:firstLine="0" w:firstLineChars="0"/>
              <w:jc w:val="center"/>
              <w:textAlignment w:val="auto"/>
              <w:rPr>
                <w:rFonts w:hint="default" w:ascii="Times New Roman" w:hAnsi="Times New Roman" w:eastAsia="黑体" w:cs="Times New Roman"/>
                <w:snapToGrid w:val="0"/>
                <w:kern w:val="0"/>
                <w:sz w:val="32"/>
                <w:szCs w:val="32"/>
                <w:vertAlign w:val="baseline"/>
              </w:rPr>
            </w:pPr>
            <w:r>
              <w:rPr>
                <w:rFonts w:hint="default" w:ascii="Times New Roman" w:hAnsi="Times New Roman" w:eastAsia="黑体" w:cs="Times New Roman"/>
                <w:color w:val="191919"/>
                <w:kern w:val="0"/>
                <w:sz w:val="32"/>
                <w:szCs w:val="32"/>
                <w:lang w:val="en-US" w:eastAsia="zh-CN" w:bidi="ar"/>
              </w:rPr>
              <w:t>姓名</w:t>
            </w:r>
          </w:p>
        </w:tc>
        <w:tc>
          <w:tcPr>
            <w:tcW w:w="5391" w:type="dxa"/>
            <w:noWrap w:val="0"/>
            <w:vAlign w:val="center"/>
          </w:tcPr>
          <w:p w14:paraId="424AC8CD">
            <w:pPr>
              <w:keepNext w:val="0"/>
              <w:keepLines w:val="0"/>
              <w:pageBreakBefore w:val="0"/>
              <w:widowControl/>
              <w:suppressLineNumbers w:val="0"/>
              <w:kinsoku/>
              <w:wordWrap/>
              <w:overflowPunct/>
              <w:topLinePunct w:val="0"/>
              <w:autoSpaceDE/>
              <w:bidi w:val="0"/>
              <w:adjustRightInd/>
              <w:snapToGrid/>
              <w:spacing w:line="560" w:lineRule="exact"/>
              <w:ind w:left="0" w:leftChars="0" w:right="0" w:rightChars="0" w:firstLine="0" w:firstLineChars="0"/>
              <w:jc w:val="center"/>
              <w:textAlignment w:val="auto"/>
              <w:rPr>
                <w:rFonts w:hint="default" w:ascii="Times New Roman" w:hAnsi="Times New Roman" w:eastAsia="黑体" w:cs="Times New Roman"/>
                <w:snapToGrid w:val="0"/>
                <w:kern w:val="0"/>
                <w:sz w:val="32"/>
                <w:szCs w:val="32"/>
                <w:vertAlign w:val="baseline"/>
              </w:rPr>
            </w:pPr>
            <w:r>
              <w:rPr>
                <w:rFonts w:hint="default" w:ascii="Times New Roman" w:hAnsi="Times New Roman" w:eastAsia="黑体" w:cs="Times New Roman"/>
                <w:color w:val="191919"/>
                <w:kern w:val="0"/>
                <w:sz w:val="32"/>
                <w:szCs w:val="32"/>
                <w:lang w:val="en-US" w:eastAsia="zh-CN" w:bidi="ar"/>
              </w:rPr>
              <w:t>职务</w:t>
            </w:r>
          </w:p>
        </w:tc>
      </w:tr>
      <w:tr w14:paraId="01370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807" w:type="dxa"/>
            <w:noWrap w:val="0"/>
            <w:vAlign w:val="center"/>
          </w:tcPr>
          <w:p w14:paraId="2C51A89C">
            <w:pPr>
              <w:keepNext w:val="0"/>
              <w:keepLines w:val="0"/>
              <w:pageBreakBefore w:val="0"/>
              <w:widowControl/>
              <w:suppressLineNumbers w:val="0"/>
              <w:kinsoku/>
              <w:wordWrap/>
              <w:overflowPunct/>
              <w:topLinePunct w:val="0"/>
              <w:autoSpaceDE/>
              <w:bidi w:val="0"/>
              <w:adjustRightInd/>
              <w:snapToGrid/>
              <w:spacing w:line="560" w:lineRule="exact"/>
              <w:ind w:left="0" w:leftChars="0" w:right="0" w:rightChars="0" w:firstLine="0" w:firstLineChars="0"/>
              <w:jc w:val="center"/>
              <w:textAlignment w:val="auto"/>
              <w:rPr>
                <w:rFonts w:hint="default" w:ascii="Times New Roman" w:hAnsi="Times New Roman" w:eastAsia="仿宋_GB2312" w:cs="Times New Roman"/>
                <w:color w:val="191919"/>
                <w:kern w:val="0"/>
                <w:sz w:val="32"/>
                <w:szCs w:val="32"/>
                <w:lang w:val="en-US" w:eastAsia="zh-CN" w:bidi="ar"/>
              </w:rPr>
            </w:pPr>
            <w:r>
              <w:rPr>
                <w:rFonts w:hint="default" w:ascii="Times New Roman" w:hAnsi="Times New Roman" w:eastAsia="仿宋_GB2312" w:cs="Times New Roman"/>
                <w:color w:val="191919"/>
                <w:kern w:val="0"/>
                <w:sz w:val="32"/>
                <w:szCs w:val="32"/>
                <w:lang w:val="en-US" w:eastAsia="zh-CN" w:bidi="ar"/>
              </w:rPr>
              <w:t>组长</w:t>
            </w:r>
          </w:p>
        </w:tc>
        <w:tc>
          <w:tcPr>
            <w:tcW w:w="1753" w:type="dxa"/>
            <w:noWrap w:val="0"/>
            <w:vAlign w:val="center"/>
          </w:tcPr>
          <w:p w14:paraId="480398B7">
            <w:pPr>
              <w:keepNext w:val="0"/>
              <w:keepLines w:val="0"/>
              <w:pageBreakBefore w:val="0"/>
              <w:widowControl/>
              <w:suppressLineNumbers w:val="0"/>
              <w:kinsoku/>
              <w:wordWrap/>
              <w:overflowPunct/>
              <w:topLinePunct w:val="0"/>
              <w:autoSpaceDE/>
              <w:bidi w:val="0"/>
              <w:adjustRightInd/>
              <w:snapToGrid/>
              <w:spacing w:line="560" w:lineRule="exact"/>
              <w:ind w:left="0" w:leftChars="0" w:right="0" w:rightChars="0" w:firstLine="0" w:firstLineChars="0"/>
              <w:jc w:val="center"/>
              <w:textAlignment w:val="auto"/>
              <w:rPr>
                <w:rFonts w:hint="default" w:ascii="Times New Roman" w:hAnsi="Times New Roman" w:eastAsia="仿宋_GB2312" w:cs="Times New Roman"/>
                <w:color w:val="191919"/>
                <w:kern w:val="0"/>
                <w:sz w:val="32"/>
                <w:szCs w:val="32"/>
                <w:lang w:val="en-US" w:eastAsia="zh-CN" w:bidi="ar"/>
              </w:rPr>
            </w:pPr>
            <w:r>
              <w:rPr>
                <w:rFonts w:hint="default" w:ascii="Times New Roman" w:hAnsi="Times New Roman" w:eastAsia="仿宋_GB2312" w:cs="Times New Roman"/>
                <w:color w:val="191919"/>
                <w:kern w:val="0"/>
                <w:sz w:val="32"/>
                <w:szCs w:val="32"/>
                <w:lang w:val="en-US" w:eastAsia="zh-CN" w:bidi="ar"/>
              </w:rPr>
              <w:t>董明强</w:t>
            </w:r>
          </w:p>
        </w:tc>
        <w:tc>
          <w:tcPr>
            <w:tcW w:w="5391" w:type="dxa"/>
            <w:noWrap w:val="0"/>
            <w:vAlign w:val="center"/>
          </w:tcPr>
          <w:p w14:paraId="57C8E70C">
            <w:pPr>
              <w:keepNext w:val="0"/>
              <w:keepLines w:val="0"/>
              <w:pageBreakBefore w:val="0"/>
              <w:widowControl/>
              <w:suppressLineNumbers w:val="0"/>
              <w:kinsoku/>
              <w:wordWrap/>
              <w:overflowPunct/>
              <w:topLinePunct w:val="0"/>
              <w:autoSpaceDE/>
              <w:bidi w:val="0"/>
              <w:adjustRightInd/>
              <w:snapToGrid/>
              <w:spacing w:line="560" w:lineRule="exact"/>
              <w:ind w:left="0" w:leftChars="0" w:right="0" w:rightChars="0" w:firstLine="0" w:firstLineChars="0"/>
              <w:jc w:val="center"/>
              <w:textAlignment w:val="auto"/>
              <w:rPr>
                <w:rFonts w:hint="default" w:ascii="Times New Roman" w:hAnsi="Times New Roman" w:eastAsia="仿宋_GB2312" w:cs="Times New Roman"/>
                <w:color w:val="191919"/>
                <w:kern w:val="0"/>
                <w:sz w:val="32"/>
                <w:szCs w:val="32"/>
                <w:lang w:val="en-US" w:eastAsia="zh-CN" w:bidi="ar"/>
              </w:rPr>
            </w:pPr>
            <w:r>
              <w:rPr>
                <w:rFonts w:hint="default" w:ascii="Times New Roman" w:hAnsi="Times New Roman" w:eastAsia="仿宋_GB2312" w:cs="Times New Roman"/>
                <w:color w:val="191919"/>
                <w:kern w:val="0"/>
                <w:sz w:val="32"/>
                <w:szCs w:val="32"/>
                <w:lang w:val="en-US" w:eastAsia="zh-CN" w:bidi="ar"/>
              </w:rPr>
              <w:t>区应急管理局党委委员、副局长</w:t>
            </w:r>
          </w:p>
        </w:tc>
      </w:tr>
      <w:tr w14:paraId="437CC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807" w:type="dxa"/>
            <w:noWrap w:val="0"/>
            <w:vAlign w:val="center"/>
          </w:tcPr>
          <w:p w14:paraId="591691B0">
            <w:pPr>
              <w:keepNext w:val="0"/>
              <w:keepLines w:val="0"/>
              <w:pageBreakBefore w:val="0"/>
              <w:widowControl/>
              <w:suppressLineNumbers w:val="0"/>
              <w:kinsoku/>
              <w:wordWrap/>
              <w:overflowPunct/>
              <w:topLinePunct w:val="0"/>
              <w:autoSpaceDE/>
              <w:bidi w:val="0"/>
              <w:adjustRightInd/>
              <w:snapToGrid/>
              <w:spacing w:line="560" w:lineRule="exact"/>
              <w:ind w:left="0" w:leftChars="0" w:right="0" w:rightChars="0" w:firstLine="0" w:firstLineChars="0"/>
              <w:jc w:val="center"/>
              <w:textAlignment w:val="auto"/>
              <w:rPr>
                <w:rFonts w:hint="default" w:ascii="Times New Roman" w:hAnsi="Times New Roman" w:eastAsia="仿宋_GB2312" w:cs="Times New Roman"/>
                <w:color w:val="191919"/>
                <w:kern w:val="0"/>
                <w:sz w:val="32"/>
                <w:szCs w:val="32"/>
                <w:lang w:val="en-US" w:eastAsia="zh-CN" w:bidi="ar"/>
              </w:rPr>
            </w:pPr>
            <w:r>
              <w:rPr>
                <w:rFonts w:hint="default" w:ascii="Times New Roman" w:hAnsi="Times New Roman" w:eastAsia="仿宋_GB2312" w:cs="Times New Roman"/>
                <w:color w:val="191919"/>
                <w:kern w:val="0"/>
                <w:sz w:val="32"/>
                <w:szCs w:val="32"/>
                <w:lang w:val="en-US" w:eastAsia="zh-CN" w:bidi="ar"/>
              </w:rPr>
              <w:t>副组长</w:t>
            </w:r>
          </w:p>
        </w:tc>
        <w:tc>
          <w:tcPr>
            <w:tcW w:w="1753" w:type="dxa"/>
            <w:noWrap w:val="0"/>
            <w:vAlign w:val="center"/>
          </w:tcPr>
          <w:p w14:paraId="1D4A18C0">
            <w:pPr>
              <w:keepNext w:val="0"/>
              <w:keepLines w:val="0"/>
              <w:pageBreakBefore w:val="0"/>
              <w:widowControl/>
              <w:suppressLineNumbers w:val="0"/>
              <w:kinsoku/>
              <w:wordWrap/>
              <w:overflowPunct/>
              <w:topLinePunct w:val="0"/>
              <w:autoSpaceDE/>
              <w:bidi w:val="0"/>
              <w:adjustRightInd/>
              <w:snapToGrid/>
              <w:spacing w:line="560" w:lineRule="exact"/>
              <w:ind w:left="0" w:leftChars="0" w:right="0" w:rightChars="0" w:firstLine="0" w:firstLineChars="0"/>
              <w:jc w:val="center"/>
              <w:textAlignment w:val="auto"/>
              <w:rPr>
                <w:rFonts w:hint="default" w:ascii="Times New Roman" w:hAnsi="Times New Roman" w:eastAsia="仿宋_GB2312" w:cs="Times New Roman"/>
                <w:color w:val="191919"/>
                <w:kern w:val="0"/>
                <w:sz w:val="32"/>
                <w:szCs w:val="32"/>
                <w:lang w:val="en-US" w:eastAsia="zh-CN" w:bidi="ar"/>
              </w:rPr>
            </w:pPr>
            <w:r>
              <w:rPr>
                <w:rFonts w:hint="default" w:ascii="Times New Roman" w:hAnsi="Times New Roman" w:eastAsia="仿宋_GB2312" w:cs="Times New Roman"/>
                <w:color w:val="191919"/>
                <w:kern w:val="0"/>
                <w:sz w:val="32"/>
                <w:szCs w:val="32"/>
                <w:lang w:val="en-US" w:eastAsia="zh-CN" w:bidi="ar"/>
              </w:rPr>
              <w:t>张韶龙</w:t>
            </w:r>
          </w:p>
        </w:tc>
        <w:tc>
          <w:tcPr>
            <w:tcW w:w="5391" w:type="dxa"/>
            <w:noWrap w:val="0"/>
            <w:vAlign w:val="center"/>
          </w:tcPr>
          <w:p w14:paraId="226C2592">
            <w:pPr>
              <w:keepNext w:val="0"/>
              <w:keepLines w:val="0"/>
              <w:pageBreakBefore w:val="0"/>
              <w:widowControl/>
              <w:suppressLineNumbers w:val="0"/>
              <w:kinsoku/>
              <w:wordWrap/>
              <w:overflowPunct/>
              <w:topLinePunct w:val="0"/>
              <w:autoSpaceDE/>
              <w:bidi w:val="0"/>
              <w:adjustRightInd/>
              <w:snapToGrid/>
              <w:spacing w:line="560" w:lineRule="exact"/>
              <w:ind w:left="0" w:leftChars="0" w:right="0" w:rightChars="0" w:firstLine="0" w:firstLineChars="0"/>
              <w:jc w:val="center"/>
              <w:textAlignment w:val="auto"/>
              <w:rPr>
                <w:rFonts w:hint="default" w:ascii="Times New Roman" w:hAnsi="Times New Roman" w:eastAsia="仿宋_GB2312" w:cs="Times New Roman"/>
                <w:color w:val="191919"/>
                <w:kern w:val="0"/>
                <w:sz w:val="32"/>
                <w:szCs w:val="32"/>
                <w:lang w:val="en-US" w:eastAsia="zh-CN" w:bidi="ar"/>
              </w:rPr>
            </w:pPr>
            <w:r>
              <w:rPr>
                <w:rFonts w:hint="default" w:ascii="Times New Roman" w:hAnsi="Times New Roman" w:eastAsia="仿宋_GB2312" w:cs="Times New Roman"/>
                <w:color w:val="191919"/>
                <w:kern w:val="0"/>
                <w:sz w:val="32"/>
                <w:szCs w:val="32"/>
                <w:lang w:val="en-US" w:eastAsia="zh-CN" w:bidi="ar"/>
              </w:rPr>
              <w:t>区应急管理综合行政执法大队大队长</w:t>
            </w:r>
          </w:p>
        </w:tc>
      </w:tr>
      <w:tr w14:paraId="2FACF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807" w:type="dxa"/>
            <w:vMerge w:val="restart"/>
            <w:noWrap w:val="0"/>
            <w:vAlign w:val="center"/>
          </w:tcPr>
          <w:p w14:paraId="197F0A8E">
            <w:pPr>
              <w:keepNext w:val="0"/>
              <w:keepLines w:val="0"/>
              <w:pageBreakBefore w:val="0"/>
              <w:widowControl/>
              <w:suppressLineNumbers w:val="0"/>
              <w:kinsoku/>
              <w:wordWrap/>
              <w:overflowPunct/>
              <w:topLinePunct w:val="0"/>
              <w:autoSpaceDE/>
              <w:bidi w:val="0"/>
              <w:adjustRightInd/>
              <w:snapToGrid/>
              <w:spacing w:line="560" w:lineRule="exact"/>
              <w:ind w:left="0" w:leftChars="0" w:right="0" w:rightChars="0" w:firstLine="0" w:firstLineChars="0"/>
              <w:jc w:val="center"/>
              <w:textAlignment w:val="auto"/>
              <w:rPr>
                <w:rFonts w:hint="default" w:ascii="Times New Roman" w:hAnsi="Times New Roman" w:eastAsia="仿宋_GB2312" w:cs="Times New Roman"/>
                <w:color w:val="191919"/>
                <w:kern w:val="0"/>
                <w:sz w:val="32"/>
                <w:szCs w:val="32"/>
                <w:lang w:val="en-US" w:eastAsia="zh-CN" w:bidi="ar"/>
              </w:rPr>
            </w:pPr>
            <w:r>
              <w:rPr>
                <w:rFonts w:hint="default" w:ascii="Times New Roman" w:hAnsi="Times New Roman" w:eastAsia="仿宋_GB2312" w:cs="Times New Roman"/>
                <w:color w:val="191919"/>
                <w:kern w:val="0"/>
                <w:sz w:val="32"/>
                <w:szCs w:val="32"/>
                <w:lang w:val="en-US" w:eastAsia="zh-CN" w:bidi="ar"/>
              </w:rPr>
              <w:t>成员</w:t>
            </w:r>
          </w:p>
        </w:tc>
        <w:tc>
          <w:tcPr>
            <w:tcW w:w="1753" w:type="dxa"/>
            <w:noWrap w:val="0"/>
            <w:vAlign w:val="center"/>
          </w:tcPr>
          <w:p w14:paraId="1FCAC7A6">
            <w:pPr>
              <w:keepNext w:val="0"/>
              <w:keepLines w:val="0"/>
              <w:pageBreakBefore w:val="0"/>
              <w:widowControl/>
              <w:suppressLineNumbers w:val="0"/>
              <w:kinsoku/>
              <w:wordWrap/>
              <w:overflowPunct/>
              <w:topLinePunct w:val="0"/>
              <w:autoSpaceDE/>
              <w:bidi w:val="0"/>
              <w:adjustRightInd/>
              <w:snapToGrid/>
              <w:spacing w:line="560" w:lineRule="exact"/>
              <w:ind w:left="0" w:leftChars="0" w:right="0" w:rightChars="0" w:firstLine="0" w:firstLineChars="0"/>
              <w:jc w:val="center"/>
              <w:textAlignment w:val="auto"/>
              <w:rPr>
                <w:rFonts w:hint="default" w:ascii="Times New Roman" w:hAnsi="Times New Roman" w:eastAsia="仿宋_GB2312" w:cs="Times New Roman"/>
                <w:color w:val="191919"/>
                <w:kern w:val="0"/>
                <w:sz w:val="32"/>
                <w:szCs w:val="32"/>
                <w:lang w:val="en-US" w:eastAsia="zh-CN" w:bidi="ar"/>
              </w:rPr>
            </w:pPr>
            <w:r>
              <w:rPr>
                <w:rFonts w:hint="default" w:ascii="Times New Roman" w:hAnsi="Times New Roman" w:eastAsia="仿宋_GB2312" w:cs="Times New Roman"/>
                <w:color w:val="191919"/>
                <w:kern w:val="0"/>
                <w:sz w:val="32"/>
                <w:szCs w:val="32"/>
                <w:lang w:val="en-US" w:eastAsia="zh-CN" w:bidi="ar"/>
              </w:rPr>
              <w:t>徐王先</w:t>
            </w:r>
          </w:p>
        </w:tc>
        <w:tc>
          <w:tcPr>
            <w:tcW w:w="5391" w:type="dxa"/>
            <w:noWrap w:val="0"/>
            <w:vAlign w:val="center"/>
          </w:tcPr>
          <w:p w14:paraId="2E4F4994">
            <w:pPr>
              <w:keepNext w:val="0"/>
              <w:keepLines w:val="0"/>
              <w:pageBreakBefore w:val="0"/>
              <w:widowControl/>
              <w:suppressLineNumbers w:val="0"/>
              <w:kinsoku/>
              <w:wordWrap/>
              <w:overflowPunct/>
              <w:topLinePunct w:val="0"/>
              <w:autoSpaceDE/>
              <w:bidi w:val="0"/>
              <w:adjustRightInd/>
              <w:snapToGrid/>
              <w:spacing w:line="560" w:lineRule="exact"/>
              <w:ind w:left="0" w:leftChars="0" w:right="0" w:rightChars="0" w:firstLine="0" w:firstLineChars="0"/>
              <w:jc w:val="center"/>
              <w:textAlignment w:val="auto"/>
              <w:rPr>
                <w:rFonts w:hint="default" w:ascii="Times New Roman" w:hAnsi="Times New Roman" w:eastAsia="仿宋_GB2312" w:cs="Times New Roman"/>
                <w:color w:val="191919"/>
                <w:kern w:val="0"/>
                <w:sz w:val="32"/>
                <w:szCs w:val="32"/>
                <w:lang w:val="en-US" w:eastAsia="zh-CN" w:bidi="ar"/>
              </w:rPr>
            </w:pPr>
            <w:r>
              <w:rPr>
                <w:rFonts w:hint="default" w:ascii="Times New Roman" w:hAnsi="Times New Roman" w:eastAsia="仿宋_GB2312" w:cs="Times New Roman"/>
                <w:color w:val="191919"/>
                <w:kern w:val="0"/>
                <w:sz w:val="32"/>
                <w:szCs w:val="32"/>
                <w:lang w:val="en-US" w:eastAsia="zh-CN" w:bidi="ar"/>
              </w:rPr>
              <w:t>区应急管理综合行政执法大队队员</w:t>
            </w:r>
          </w:p>
        </w:tc>
      </w:tr>
      <w:tr w14:paraId="10F4F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807" w:type="dxa"/>
            <w:vMerge w:val="continue"/>
            <w:noWrap w:val="0"/>
            <w:vAlign w:val="center"/>
          </w:tcPr>
          <w:p w14:paraId="01EDDABB">
            <w:pPr>
              <w:keepNext w:val="0"/>
              <w:keepLines w:val="0"/>
              <w:pageBreakBefore w:val="0"/>
              <w:widowControl/>
              <w:suppressLineNumbers w:val="0"/>
              <w:kinsoku/>
              <w:wordWrap/>
              <w:overflowPunct/>
              <w:topLinePunct w:val="0"/>
              <w:autoSpaceDE/>
              <w:bidi w:val="0"/>
              <w:adjustRightInd/>
              <w:snapToGrid/>
              <w:spacing w:line="560" w:lineRule="exact"/>
              <w:ind w:left="0" w:leftChars="0" w:right="0" w:rightChars="0" w:firstLine="0" w:firstLineChars="0"/>
              <w:jc w:val="center"/>
              <w:textAlignment w:val="auto"/>
              <w:rPr>
                <w:rFonts w:hint="default" w:ascii="Times New Roman" w:hAnsi="Times New Roman" w:eastAsia="仿宋_GB2312" w:cs="Times New Roman"/>
                <w:color w:val="191919"/>
                <w:kern w:val="0"/>
                <w:sz w:val="32"/>
                <w:szCs w:val="32"/>
                <w:lang w:val="en-US" w:eastAsia="zh-CN" w:bidi="ar"/>
              </w:rPr>
            </w:pPr>
          </w:p>
        </w:tc>
        <w:tc>
          <w:tcPr>
            <w:tcW w:w="1753" w:type="dxa"/>
            <w:noWrap w:val="0"/>
            <w:vAlign w:val="center"/>
          </w:tcPr>
          <w:p w14:paraId="5E3712A9">
            <w:pPr>
              <w:keepNext w:val="0"/>
              <w:keepLines w:val="0"/>
              <w:pageBreakBefore w:val="0"/>
              <w:widowControl/>
              <w:suppressLineNumbers w:val="0"/>
              <w:kinsoku/>
              <w:wordWrap/>
              <w:overflowPunct/>
              <w:topLinePunct w:val="0"/>
              <w:autoSpaceDE/>
              <w:bidi w:val="0"/>
              <w:adjustRightInd/>
              <w:snapToGrid/>
              <w:spacing w:line="560" w:lineRule="exact"/>
              <w:ind w:left="0" w:leftChars="0" w:right="0" w:rightChars="0" w:firstLine="0" w:firstLineChars="0"/>
              <w:jc w:val="center"/>
              <w:textAlignment w:val="auto"/>
              <w:rPr>
                <w:rFonts w:hint="default" w:ascii="Times New Roman" w:hAnsi="Times New Roman" w:eastAsia="仿宋_GB2312" w:cs="Times New Roman"/>
                <w:color w:val="191919"/>
                <w:kern w:val="0"/>
                <w:sz w:val="32"/>
                <w:szCs w:val="32"/>
                <w:lang w:val="en-US" w:eastAsia="zh-CN" w:bidi="ar"/>
              </w:rPr>
            </w:pPr>
            <w:r>
              <w:rPr>
                <w:rFonts w:hint="default" w:ascii="Times New Roman" w:hAnsi="Times New Roman" w:eastAsia="仿宋_GB2312" w:cs="Times New Roman"/>
                <w:color w:val="191919"/>
                <w:kern w:val="0"/>
                <w:sz w:val="32"/>
                <w:szCs w:val="32"/>
                <w:lang w:val="en-US" w:eastAsia="zh-CN" w:bidi="ar"/>
              </w:rPr>
              <w:t>鲍</w:t>
            </w:r>
            <w:r>
              <w:rPr>
                <w:rFonts w:hint="eastAsia" w:ascii="Times New Roman" w:hAnsi="Times New Roman" w:eastAsia="仿宋_GB2312" w:cs="Times New Roman"/>
                <w:color w:val="191919"/>
                <w:kern w:val="0"/>
                <w:sz w:val="32"/>
                <w:szCs w:val="32"/>
                <w:lang w:val="en-US" w:eastAsia="zh-CN" w:bidi="ar"/>
              </w:rPr>
              <w:t xml:space="preserve">  </w:t>
            </w:r>
            <w:r>
              <w:rPr>
                <w:rFonts w:hint="default" w:ascii="Times New Roman" w:hAnsi="Times New Roman" w:eastAsia="仿宋_GB2312" w:cs="Times New Roman"/>
                <w:color w:val="191919"/>
                <w:kern w:val="0"/>
                <w:sz w:val="32"/>
                <w:szCs w:val="32"/>
                <w:lang w:val="en-US" w:eastAsia="zh-CN" w:bidi="ar"/>
              </w:rPr>
              <w:t>丹</w:t>
            </w:r>
          </w:p>
        </w:tc>
        <w:tc>
          <w:tcPr>
            <w:tcW w:w="5391" w:type="dxa"/>
            <w:noWrap w:val="0"/>
            <w:vAlign w:val="center"/>
          </w:tcPr>
          <w:p w14:paraId="51BF0AB1">
            <w:pPr>
              <w:keepNext w:val="0"/>
              <w:keepLines w:val="0"/>
              <w:pageBreakBefore w:val="0"/>
              <w:widowControl/>
              <w:suppressLineNumbers w:val="0"/>
              <w:kinsoku/>
              <w:wordWrap/>
              <w:overflowPunct/>
              <w:topLinePunct w:val="0"/>
              <w:autoSpaceDE/>
              <w:bidi w:val="0"/>
              <w:adjustRightInd/>
              <w:snapToGrid/>
              <w:spacing w:line="560" w:lineRule="exact"/>
              <w:ind w:left="0" w:leftChars="0" w:right="0" w:rightChars="0" w:firstLine="0" w:firstLineChars="0"/>
              <w:jc w:val="center"/>
              <w:textAlignment w:val="auto"/>
              <w:rPr>
                <w:rFonts w:hint="default" w:ascii="Times New Roman" w:hAnsi="Times New Roman" w:eastAsia="仿宋_GB2312" w:cs="Times New Roman"/>
                <w:color w:val="191919"/>
                <w:kern w:val="0"/>
                <w:sz w:val="32"/>
                <w:szCs w:val="32"/>
                <w:lang w:val="en-US" w:eastAsia="zh-CN" w:bidi="ar"/>
              </w:rPr>
            </w:pPr>
            <w:r>
              <w:rPr>
                <w:rFonts w:hint="default" w:ascii="Times New Roman" w:hAnsi="Times New Roman" w:eastAsia="仿宋_GB2312" w:cs="Times New Roman"/>
                <w:color w:val="191919"/>
                <w:kern w:val="0"/>
                <w:sz w:val="32"/>
                <w:szCs w:val="32"/>
                <w:lang w:val="en-US" w:eastAsia="zh-CN" w:bidi="ar"/>
              </w:rPr>
              <w:t>区住建局房管中心工作人员</w:t>
            </w:r>
          </w:p>
        </w:tc>
      </w:tr>
      <w:tr w14:paraId="090B2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807" w:type="dxa"/>
            <w:vMerge w:val="continue"/>
            <w:noWrap w:val="0"/>
            <w:vAlign w:val="center"/>
          </w:tcPr>
          <w:p w14:paraId="6ABCDE22">
            <w:pPr>
              <w:keepNext w:val="0"/>
              <w:keepLines w:val="0"/>
              <w:pageBreakBefore w:val="0"/>
              <w:widowControl/>
              <w:suppressLineNumbers w:val="0"/>
              <w:kinsoku/>
              <w:wordWrap/>
              <w:overflowPunct/>
              <w:topLinePunct w:val="0"/>
              <w:autoSpaceDE/>
              <w:bidi w:val="0"/>
              <w:adjustRightInd/>
              <w:snapToGrid/>
              <w:spacing w:line="560" w:lineRule="exact"/>
              <w:ind w:left="0" w:leftChars="0" w:right="0" w:rightChars="0" w:firstLine="0" w:firstLineChars="0"/>
              <w:jc w:val="center"/>
              <w:textAlignment w:val="auto"/>
              <w:rPr>
                <w:rFonts w:hint="default" w:ascii="Times New Roman" w:hAnsi="Times New Roman" w:eastAsia="仿宋_GB2312" w:cs="Times New Roman"/>
                <w:color w:val="191919"/>
                <w:kern w:val="0"/>
                <w:sz w:val="32"/>
                <w:szCs w:val="32"/>
                <w:lang w:val="en-US" w:eastAsia="zh-CN" w:bidi="ar"/>
              </w:rPr>
            </w:pPr>
          </w:p>
        </w:tc>
        <w:tc>
          <w:tcPr>
            <w:tcW w:w="1753" w:type="dxa"/>
            <w:noWrap w:val="0"/>
            <w:vAlign w:val="center"/>
          </w:tcPr>
          <w:p w14:paraId="0BFBB819">
            <w:pPr>
              <w:keepNext w:val="0"/>
              <w:keepLines w:val="0"/>
              <w:pageBreakBefore w:val="0"/>
              <w:widowControl/>
              <w:suppressLineNumbers w:val="0"/>
              <w:kinsoku/>
              <w:wordWrap/>
              <w:overflowPunct/>
              <w:topLinePunct w:val="0"/>
              <w:autoSpaceDE/>
              <w:bidi w:val="0"/>
              <w:adjustRightInd/>
              <w:snapToGrid/>
              <w:spacing w:line="560" w:lineRule="exact"/>
              <w:ind w:left="0" w:leftChars="0" w:right="0" w:rightChars="0" w:firstLine="0" w:firstLineChars="0"/>
              <w:jc w:val="center"/>
              <w:textAlignment w:val="auto"/>
              <w:rPr>
                <w:rFonts w:hint="default" w:ascii="Times New Roman" w:hAnsi="Times New Roman" w:eastAsia="仿宋_GB2312" w:cs="Times New Roman"/>
                <w:color w:val="191919"/>
                <w:kern w:val="0"/>
                <w:sz w:val="32"/>
                <w:szCs w:val="32"/>
                <w:lang w:val="en-US" w:eastAsia="zh-CN" w:bidi="ar"/>
              </w:rPr>
            </w:pPr>
            <w:r>
              <w:rPr>
                <w:rFonts w:hint="default" w:ascii="Times New Roman" w:hAnsi="Times New Roman" w:eastAsia="仿宋_GB2312" w:cs="Times New Roman"/>
                <w:color w:val="191919"/>
                <w:kern w:val="0"/>
                <w:sz w:val="32"/>
                <w:szCs w:val="32"/>
                <w:lang w:val="en-US" w:eastAsia="zh-CN" w:bidi="ar"/>
              </w:rPr>
              <w:t>张</w:t>
            </w:r>
            <w:r>
              <w:rPr>
                <w:rFonts w:hint="eastAsia" w:ascii="Times New Roman" w:hAnsi="Times New Roman" w:eastAsia="仿宋_GB2312" w:cs="Times New Roman"/>
                <w:color w:val="191919"/>
                <w:kern w:val="0"/>
                <w:sz w:val="32"/>
                <w:szCs w:val="32"/>
                <w:lang w:val="en-US" w:eastAsia="zh-CN" w:bidi="ar"/>
              </w:rPr>
              <w:t xml:space="preserve">  </w:t>
            </w:r>
            <w:r>
              <w:rPr>
                <w:rFonts w:hint="default" w:ascii="Times New Roman" w:hAnsi="Times New Roman" w:eastAsia="仿宋_GB2312" w:cs="Times New Roman"/>
                <w:color w:val="191919"/>
                <w:kern w:val="0"/>
                <w:sz w:val="32"/>
                <w:szCs w:val="32"/>
                <w:lang w:val="en-US" w:eastAsia="zh-CN" w:bidi="ar"/>
              </w:rPr>
              <w:t>义</w:t>
            </w:r>
          </w:p>
        </w:tc>
        <w:tc>
          <w:tcPr>
            <w:tcW w:w="5391" w:type="dxa"/>
            <w:noWrap w:val="0"/>
            <w:vAlign w:val="center"/>
          </w:tcPr>
          <w:p w14:paraId="7A222D82">
            <w:pPr>
              <w:keepNext w:val="0"/>
              <w:keepLines w:val="0"/>
              <w:pageBreakBefore w:val="0"/>
              <w:widowControl/>
              <w:suppressLineNumbers w:val="0"/>
              <w:kinsoku/>
              <w:wordWrap/>
              <w:overflowPunct/>
              <w:topLinePunct w:val="0"/>
              <w:autoSpaceDE/>
              <w:bidi w:val="0"/>
              <w:adjustRightInd/>
              <w:snapToGrid/>
              <w:spacing w:line="560" w:lineRule="exact"/>
              <w:ind w:left="0" w:leftChars="0" w:right="0" w:rightChars="0" w:firstLine="0" w:firstLineChars="0"/>
              <w:jc w:val="center"/>
              <w:textAlignment w:val="auto"/>
              <w:rPr>
                <w:rFonts w:hint="default" w:ascii="Times New Roman" w:hAnsi="Times New Roman" w:eastAsia="仿宋_GB2312" w:cs="Times New Roman"/>
                <w:color w:val="191919"/>
                <w:kern w:val="0"/>
                <w:sz w:val="32"/>
                <w:szCs w:val="32"/>
                <w:lang w:val="en-US" w:eastAsia="zh-CN" w:bidi="ar"/>
              </w:rPr>
            </w:pPr>
            <w:r>
              <w:rPr>
                <w:rFonts w:hint="default" w:ascii="Times New Roman" w:hAnsi="Times New Roman" w:eastAsia="仿宋_GB2312" w:cs="Times New Roman"/>
                <w:color w:val="191919"/>
                <w:kern w:val="0"/>
                <w:sz w:val="32"/>
                <w:szCs w:val="32"/>
                <w:lang w:val="en-US" w:eastAsia="zh-CN" w:bidi="ar"/>
              </w:rPr>
              <w:t>方庙街道安监站负责人</w:t>
            </w:r>
          </w:p>
        </w:tc>
      </w:tr>
      <w:tr w14:paraId="09C24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807" w:type="dxa"/>
            <w:vMerge w:val="continue"/>
            <w:noWrap w:val="0"/>
            <w:vAlign w:val="center"/>
          </w:tcPr>
          <w:p w14:paraId="68F3BDB1">
            <w:pPr>
              <w:keepNext w:val="0"/>
              <w:keepLines w:val="0"/>
              <w:pageBreakBefore w:val="0"/>
              <w:widowControl/>
              <w:suppressLineNumbers w:val="0"/>
              <w:kinsoku/>
              <w:wordWrap/>
              <w:overflowPunct/>
              <w:topLinePunct w:val="0"/>
              <w:autoSpaceDE/>
              <w:bidi w:val="0"/>
              <w:adjustRightInd/>
              <w:snapToGrid/>
              <w:spacing w:line="560" w:lineRule="exact"/>
              <w:ind w:left="0" w:leftChars="0" w:right="0" w:rightChars="0" w:firstLine="0" w:firstLineChars="0"/>
              <w:jc w:val="center"/>
              <w:textAlignment w:val="auto"/>
              <w:rPr>
                <w:rFonts w:hint="default" w:ascii="Times New Roman" w:hAnsi="Times New Roman" w:eastAsia="仿宋_GB2312" w:cs="Times New Roman"/>
                <w:color w:val="191919"/>
                <w:kern w:val="0"/>
                <w:sz w:val="32"/>
                <w:szCs w:val="32"/>
                <w:lang w:val="en-US" w:eastAsia="zh-CN" w:bidi="ar"/>
              </w:rPr>
            </w:pPr>
          </w:p>
        </w:tc>
        <w:tc>
          <w:tcPr>
            <w:tcW w:w="1753" w:type="dxa"/>
            <w:noWrap w:val="0"/>
            <w:vAlign w:val="center"/>
          </w:tcPr>
          <w:p w14:paraId="78B3CFFD">
            <w:pPr>
              <w:keepNext w:val="0"/>
              <w:keepLines w:val="0"/>
              <w:pageBreakBefore w:val="0"/>
              <w:widowControl/>
              <w:suppressLineNumbers w:val="0"/>
              <w:kinsoku/>
              <w:wordWrap/>
              <w:overflowPunct/>
              <w:topLinePunct w:val="0"/>
              <w:autoSpaceDE/>
              <w:bidi w:val="0"/>
              <w:adjustRightInd/>
              <w:snapToGrid/>
              <w:spacing w:line="560" w:lineRule="exact"/>
              <w:ind w:left="0" w:leftChars="0" w:right="0" w:rightChars="0" w:firstLine="0" w:firstLineChars="0"/>
              <w:jc w:val="center"/>
              <w:textAlignment w:val="auto"/>
              <w:rPr>
                <w:rFonts w:hint="default" w:ascii="Times New Roman" w:hAnsi="Times New Roman" w:eastAsia="仿宋_GB2312" w:cs="Times New Roman"/>
                <w:color w:val="191919"/>
                <w:kern w:val="0"/>
                <w:sz w:val="32"/>
                <w:szCs w:val="32"/>
                <w:lang w:val="en-US" w:eastAsia="zh-CN" w:bidi="ar"/>
              </w:rPr>
            </w:pPr>
            <w:r>
              <w:rPr>
                <w:rFonts w:hint="default" w:ascii="Times New Roman" w:hAnsi="Times New Roman" w:eastAsia="仿宋_GB2312" w:cs="Times New Roman"/>
                <w:color w:val="191919"/>
                <w:kern w:val="0"/>
                <w:sz w:val="32"/>
                <w:szCs w:val="32"/>
                <w:lang w:val="en-US" w:eastAsia="zh-CN" w:bidi="ar"/>
              </w:rPr>
              <w:t>王大业</w:t>
            </w:r>
          </w:p>
        </w:tc>
        <w:tc>
          <w:tcPr>
            <w:tcW w:w="5391" w:type="dxa"/>
            <w:noWrap w:val="0"/>
            <w:vAlign w:val="center"/>
          </w:tcPr>
          <w:p w14:paraId="2A07EBC0">
            <w:pPr>
              <w:keepNext w:val="0"/>
              <w:keepLines w:val="0"/>
              <w:pageBreakBefore w:val="0"/>
              <w:widowControl/>
              <w:suppressLineNumbers w:val="0"/>
              <w:kinsoku/>
              <w:wordWrap/>
              <w:overflowPunct/>
              <w:topLinePunct w:val="0"/>
              <w:autoSpaceDE/>
              <w:bidi w:val="0"/>
              <w:adjustRightInd/>
              <w:snapToGrid/>
              <w:spacing w:line="560" w:lineRule="exact"/>
              <w:ind w:left="0" w:leftChars="0" w:right="0" w:rightChars="0" w:firstLine="0" w:firstLineChars="0"/>
              <w:jc w:val="center"/>
              <w:textAlignment w:val="auto"/>
              <w:rPr>
                <w:rFonts w:hint="default" w:ascii="Times New Roman" w:hAnsi="Times New Roman" w:eastAsia="仿宋_GB2312" w:cs="Times New Roman"/>
                <w:color w:val="191919"/>
                <w:kern w:val="0"/>
                <w:sz w:val="32"/>
                <w:szCs w:val="32"/>
                <w:lang w:val="en-US" w:eastAsia="zh-CN" w:bidi="ar"/>
              </w:rPr>
            </w:pPr>
            <w:r>
              <w:rPr>
                <w:rFonts w:hint="default" w:ascii="Times New Roman" w:hAnsi="Times New Roman" w:eastAsia="仿宋_GB2312" w:cs="Times New Roman"/>
                <w:color w:val="191919"/>
                <w:kern w:val="0"/>
                <w:sz w:val="32"/>
                <w:szCs w:val="32"/>
                <w:lang w:val="en-US" w:eastAsia="zh-CN" w:bidi="ar"/>
              </w:rPr>
              <w:t>区安全生产专家库专家</w:t>
            </w:r>
          </w:p>
        </w:tc>
      </w:tr>
      <w:tr w14:paraId="621BB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807" w:type="dxa"/>
            <w:vMerge w:val="continue"/>
            <w:noWrap w:val="0"/>
            <w:vAlign w:val="center"/>
          </w:tcPr>
          <w:p w14:paraId="43CB3501">
            <w:pPr>
              <w:keepNext w:val="0"/>
              <w:keepLines w:val="0"/>
              <w:pageBreakBefore w:val="0"/>
              <w:widowControl/>
              <w:suppressLineNumbers w:val="0"/>
              <w:kinsoku/>
              <w:wordWrap/>
              <w:overflowPunct/>
              <w:topLinePunct w:val="0"/>
              <w:autoSpaceDE/>
              <w:bidi w:val="0"/>
              <w:adjustRightInd/>
              <w:snapToGrid/>
              <w:spacing w:line="560" w:lineRule="exact"/>
              <w:ind w:left="0" w:leftChars="0" w:right="0" w:rightChars="0" w:firstLine="0" w:firstLineChars="0"/>
              <w:jc w:val="center"/>
              <w:textAlignment w:val="auto"/>
              <w:rPr>
                <w:rFonts w:hint="default" w:ascii="Times New Roman" w:hAnsi="Times New Roman" w:eastAsia="仿宋_GB2312" w:cs="Times New Roman"/>
                <w:color w:val="191919"/>
                <w:kern w:val="0"/>
                <w:sz w:val="32"/>
                <w:szCs w:val="32"/>
                <w:lang w:val="en-US" w:eastAsia="zh-CN" w:bidi="ar"/>
              </w:rPr>
            </w:pPr>
          </w:p>
        </w:tc>
        <w:tc>
          <w:tcPr>
            <w:tcW w:w="1753" w:type="dxa"/>
            <w:noWrap w:val="0"/>
            <w:vAlign w:val="center"/>
          </w:tcPr>
          <w:p w14:paraId="03BD3A84">
            <w:pPr>
              <w:keepNext w:val="0"/>
              <w:keepLines w:val="0"/>
              <w:pageBreakBefore w:val="0"/>
              <w:widowControl/>
              <w:suppressLineNumbers w:val="0"/>
              <w:kinsoku/>
              <w:wordWrap/>
              <w:overflowPunct/>
              <w:topLinePunct w:val="0"/>
              <w:autoSpaceDE/>
              <w:bidi w:val="0"/>
              <w:adjustRightInd/>
              <w:snapToGrid/>
              <w:spacing w:line="560" w:lineRule="exact"/>
              <w:ind w:left="0" w:leftChars="0" w:right="0" w:rightChars="0" w:firstLine="0" w:firstLineChars="0"/>
              <w:jc w:val="center"/>
              <w:textAlignment w:val="auto"/>
              <w:rPr>
                <w:rFonts w:hint="default" w:ascii="Times New Roman" w:hAnsi="Times New Roman" w:eastAsia="仿宋_GB2312" w:cs="Times New Roman"/>
                <w:color w:val="191919"/>
                <w:kern w:val="0"/>
                <w:sz w:val="32"/>
                <w:szCs w:val="32"/>
                <w:lang w:val="en-US" w:eastAsia="zh-CN" w:bidi="ar"/>
              </w:rPr>
            </w:pPr>
            <w:r>
              <w:rPr>
                <w:rFonts w:hint="default" w:ascii="Times New Roman" w:hAnsi="Times New Roman" w:eastAsia="仿宋_GB2312" w:cs="Times New Roman"/>
                <w:color w:val="191919"/>
                <w:kern w:val="0"/>
                <w:sz w:val="32"/>
                <w:szCs w:val="32"/>
                <w:lang w:val="en-US" w:eastAsia="zh-CN" w:bidi="ar"/>
              </w:rPr>
              <w:t>解向华</w:t>
            </w:r>
          </w:p>
        </w:tc>
        <w:tc>
          <w:tcPr>
            <w:tcW w:w="5391" w:type="dxa"/>
            <w:noWrap w:val="0"/>
            <w:vAlign w:val="center"/>
          </w:tcPr>
          <w:p w14:paraId="2DF85EDC">
            <w:pPr>
              <w:keepNext w:val="0"/>
              <w:keepLines w:val="0"/>
              <w:pageBreakBefore w:val="0"/>
              <w:widowControl/>
              <w:suppressLineNumbers w:val="0"/>
              <w:kinsoku/>
              <w:wordWrap/>
              <w:overflowPunct/>
              <w:topLinePunct w:val="0"/>
              <w:autoSpaceDE/>
              <w:bidi w:val="0"/>
              <w:adjustRightInd/>
              <w:snapToGrid/>
              <w:spacing w:line="560" w:lineRule="exact"/>
              <w:ind w:left="0" w:leftChars="0" w:right="0" w:rightChars="0" w:firstLine="0" w:firstLineChars="0"/>
              <w:jc w:val="center"/>
              <w:textAlignment w:val="auto"/>
              <w:rPr>
                <w:rFonts w:hint="default" w:ascii="Times New Roman" w:hAnsi="Times New Roman" w:eastAsia="仿宋_GB2312" w:cs="Times New Roman"/>
                <w:color w:val="191919"/>
                <w:kern w:val="0"/>
                <w:sz w:val="32"/>
                <w:szCs w:val="32"/>
                <w:lang w:val="en-US" w:eastAsia="zh-CN" w:bidi="ar"/>
              </w:rPr>
            </w:pPr>
            <w:r>
              <w:rPr>
                <w:rFonts w:hint="default" w:ascii="Times New Roman" w:hAnsi="Times New Roman" w:eastAsia="仿宋_GB2312" w:cs="Times New Roman"/>
                <w:color w:val="191919"/>
                <w:kern w:val="0"/>
                <w:sz w:val="32"/>
                <w:szCs w:val="32"/>
                <w:lang w:val="en-US" w:eastAsia="zh-CN" w:bidi="ar"/>
              </w:rPr>
              <w:t>区安全生产专家库专家</w:t>
            </w:r>
          </w:p>
        </w:tc>
      </w:tr>
    </w:tbl>
    <w:p w14:paraId="080E6598">
      <w:pPr>
        <w:keepNext w:val="0"/>
        <w:keepLines w:val="0"/>
        <w:pageBreakBefore w:val="0"/>
        <w:widowControl/>
        <w:suppressLineNumbers w:val="0"/>
        <w:kinsoku/>
        <w:wordWrap/>
        <w:overflowPunct/>
        <w:topLinePunct w:val="0"/>
        <w:autoSpaceDE/>
        <w:bidi w:val="0"/>
        <w:adjustRightInd/>
        <w:snapToGrid/>
        <w:spacing w:line="560" w:lineRule="exact"/>
        <w:ind w:left="0" w:leftChars="0" w:right="0" w:rightChars="0" w:firstLine="0" w:firstLineChars="0"/>
        <w:jc w:val="center"/>
        <w:textAlignment w:val="auto"/>
        <w:rPr>
          <w:rFonts w:hint="default" w:ascii="Times New Roman" w:hAnsi="Times New Roman" w:eastAsia="仿宋_GB2312" w:cs="Times New Roman"/>
          <w:color w:val="191919"/>
          <w:kern w:val="0"/>
          <w:sz w:val="32"/>
          <w:szCs w:val="32"/>
          <w:lang w:val="en-US" w:eastAsia="zh-CN" w:bidi="ar"/>
        </w:rPr>
      </w:pPr>
    </w:p>
    <w:p w14:paraId="20EDA09A">
      <w:pPr>
        <w:pStyle w:val="4"/>
      </w:pPr>
    </w:p>
    <w:p w14:paraId="2E1492A4">
      <w:pPr>
        <w:rPr>
          <w:rFonts w:ascii="Arial" w:hAnsi="Arial" w:eastAsia="Arial" w:cs="Arial"/>
          <w:sz w:val="21"/>
          <w:szCs w:val="21"/>
        </w:rPr>
        <w:sectPr>
          <w:footerReference r:id="rId5" w:type="default"/>
          <w:pgSz w:w="11906" w:h="16839"/>
          <w:pgMar w:top="1431" w:right="1529" w:bottom="1186" w:left="1551" w:header="0" w:footer="818" w:gutter="0"/>
          <w:pgNumType w:fmt="numberInDash"/>
          <w:cols w:space="720" w:num="1"/>
        </w:sectPr>
      </w:pPr>
    </w:p>
    <w:p w14:paraId="0AC5C6BA">
      <w:pPr>
        <w:spacing w:before="169" w:line="230" w:lineRule="auto"/>
        <w:ind w:left="1"/>
        <w:rPr>
          <w:rFonts w:ascii="黑体" w:hAnsi="黑体" w:eastAsia="黑体" w:cs="黑体"/>
          <w:sz w:val="31"/>
          <w:szCs w:val="31"/>
        </w:rPr>
      </w:pPr>
      <w:r>
        <w:rPr>
          <w:rFonts w:ascii="黑体" w:hAnsi="黑体" w:eastAsia="黑体" w:cs="黑体"/>
          <w:spacing w:val="24"/>
          <w:sz w:val="31"/>
          <w:szCs w:val="31"/>
        </w:rPr>
        <w:t>附件2</w:t>
      </w:r>
    </w:p>
    <w:p w14:paraId="3E9C7AB1">
      <w:pPr>
        <w:spacing w:line="328" w:lineRule="auto"/>
        <w:rPr>
          <w:rFonts w:ascii="Arial"/>
          <w:sz w:val="21"/>
        </w:rPr>
      </w:pPr>
    </w:p>
    <w:p w14:paraId="5A93E656">
      <w:pPr>
        <w:spacing w:before="135" w:line="232" w:lineRule="auto"/>
        <w:ind w:left="756"/>
        <w:outlineLvl w:val="1"/>
        <w:rPr>
          <w:rFonts w:ascii="方正小标宋简体" w:hAnsi="方正小标宋简体" w:eastAsia="方正小标宋简体" w:cs="方正小标宋简体"/>
          <w:sz w:val="35"/>
          <w:szCs w:val="35"/>
        </w:rPr>
      </w:pPr>
      <w:r>
        <w:rPr>
          <w:rFonts w:hint="eastAsia" w:ascii="方正小标宋简体" w:hAnsi="方正小标宋简体" w:eastAsia="方正小标宋简体" w:cs="方正小标宋简体"/>
          <w:spacing w:val="5"/>
          <w:sz w:val="35"/>
          <w:szCs w:val="35"/>
        </w:rPr>
        <w:t>瑶海方庙龙湖上城小区“7·28”一般高坠</w:t>
      </w:r>
      <w:r>
        <w:rPr>
          <w:rFonts w:hint="eastAsia" w:ascii="方正小标宋简体" w:hAnsi="方正小标宋简体" w:eastAsia="方正小标宋简体" w:cs="方正小标宋简体"/>
          <w:spacing w:val="5"/>
          <w:sz w:val="35"/>
          <w:szCs w:val="35"/>
          <w:lang w:val="en-US" w:eastAsia="zh-CN"/>
        </w:rPr>
        <w:t>事故</w:t>
      </w:r>
      <w:r>
        <w:rPr>
          <w:rFonts w:ascii="方正小标宋简体" w:hAnsi="方正小标宋简体" w:eastAsia="方正小标宋简体" w:cs="方正小标宋简体"/>
          <w:spacing w:val="5"/>
          <w:sz w:val="35"/>
          <w:szCs w:val="35"/>
        </w:rPr>
        <w:t>防范和整改措施落实情况评估表</w:t>
      </w:r>
    </w:p>
    <w:p w14:paraId="70734A28">
      <w:pPr>
        <w:spacing w:before="115" w:line="215" w:lineRule="auto"/>
        <w:jc w:val="right"/>
        <w:rPr>
          <w:rFonts w:ascii="KaiTi_GB2312" w:hAnsi="KaiTi_GB2312" w:eastAsia="KaiTi_GB2312" w:cs="KaiTi_GB2312"/>
          <w:sz w:val="24"/>
          <w:szCs w:val="24"/>
        </w:rPr>
      </w:pPr>
      <w:r>
        <w:rPr>
          <w:rFonts w:ascii="KaiTi_GB2312" w:hAnsi="KaiTi_GB2312" w:eastAsia="KaiTi_GB2312" w:cs="KaiTi_GB2312"/>
          <w:spacing w:val="-10"/>
          <w:sz w:val="24"/>
          <w:szCs w:val="24"/>
        </w:rPr>
        <w:t>评估时间：202</w:t>
      </w:r>
      <w:r>
        <w:rPr>
          <w:rFonts w:hint="eastAsia" w:ascii="KaiTi_GB2312" w:hAnsi="KaiTi_GB2312" w:eastAsia="KaiTi_GB2312" w:cs="KaiTi_GB2312"/>
          <w:spacing w:val="-10"/>
          <w:sz w:val="24"/>
          <w:szCs w:val="24"/>
          <w:lang w:val="en-US" w:eastAsia="zh-CN"/>
        </w:rPr>
        <w:t>5</w:t>
      </w:r>
      <w:r>
        <w:rPr>
          <w:rFonts w:ascii="KaiTi_GB2312" w:hAnsi="KaiTi_GB2312" w:eastAsia="KaiTi_GB2312" w:cs="KaiTi_GB2312"/>
          <w:spacing w:val="-38"/>
          <w:sz w:val="24"/>
          <w:szCs w:val="24"/>
        </w:rPr>
        <w:t xml:space="preserve"> </w:t>
      </w:r>
      <w:r>
        <w:rPr>
          <w:rFonts w:ascii="KaiTi_GB2312" w:hAnsi="KaiTi_GB2312" w:eastAsia="KaiTi_GB2312" w:cs="KaiTi_GB2312"/>
          <w:spacing w:val="-10"/>
          <w:sz w:val="24"/>
          <w:szCs w:val="24"/>
        </w:rPr>
        <w:t>年</w:t>
      </w:r>
      <w:r>
        <w:rPr>
          <w:rFonts w:ascii="KaiTi_GB2312" w:hAnsi="KaiTi_GB2312" w:eastAsia="KaiTi_GB2312" w:cs="KaiTi_GB2312"/>
          <w:spacing w:val="22"/>
          <w:sz w:val="24"/>
          <w:szCs w:val="24"/>
        </w:rPr>
        <w:t xml:space="preserve"> </w:t>
      </w:r>
      <w:r>
        <w:rPr>
          <w:rFonts w:ascii="KaiTi_GB2312" w:hAnsi="KaiTi_GB2312" w:eastAsia="KaiTi_GB2312" w:cs="KaiTi_GB2312"/>
          <w:spacing w:val="-10"/>
          <w:sz w:val="24"/>
          <w:szCs w:val="24"/>
        </w:rPr>
        <w:t>5</w:t>
      </w:r>
      <w:r>
        <w:rPr>
          <w:rFonts w:ascii="KaiTi_GB2312" w:hAnsi="KaiTi_GB2312" w:eastAsia="KaiTi_GB2312" w:cs="KaiTi_GB2312"/>
          <w:spacing w:val="-37"/>
          <w:sz w:val="24"/>
          <w:szCs w:val="24"/>
        </w:rPr>
        <w:t xml:space="preserve"> </w:t>
      </w:r>
      <w:r>
        <w:rPr>
          <w:rFonts w:ascii="KaiTi_GB2312" w:hAnsi="KaiTi_GB2312" w:eastAsia="KaiTi_GB2312" w:cs="KaiTi_GB2312"/>
          <w:spacing w:val="-10"/>
          <w:sz w:val="24"/>
          <w:szCs w:val="24"/>
        </w:rPr>
        <w:t>月</w:t>
      </w:r>
      <w:r>
        <w:rPr>
          <w:rFonts w:ascii="KaiTi_GB2312" w:hAnsi="KaiTi_GB2312" w:eastAsia="KaiTi_GB2312" w:cs="KaiTi_GB2312"/>
          <w:spacing w:val="-32"/>
          <w:sz w:val="24"/>
          <w:szCs w:val="24"/>
        </w:rPr>
        <w:t xml:space="preserve"> </w:t>
      </w:r>
      <w:r>
        <w:rPr>
          <w:rFonts w:hint="eastAsia" w:ascii="KaiTi_GB2312" w:hAnsi="KaiTi_GB2312" w:eastAsia="KaiTi_GB2312" w:cs="KaiTi_GB2312"/>
          <w:spacing w:val="-10"/>
          <w:sz w:val="24"/>
          <w:szCs w:val="24"/>
          <w:lang w:val="en-US" w:eastAsia="zh-CN"/>
        </w:rPr>
        <w:t>28</w:t>
      </w:r>
      <w:r>
        <w:rPr>
          <w:rFonts w:ascii="KaiTi_GB2312" w:hAnsi="KaiTi_GB2312" w:eastAsia="KaiTi_GB2312" w:cs="KaiTi_GB2312"/>
          <w:spacing w:val="-10"/>
          <w:sz w:val="24"/>
          <w:szCs w:val="24"/>
        </w:rPr>
        <w:t xml:space="preserve"> 日</w:t>
      </w:r>
    </w:p>
    <w:tbl>
      <w:tblPr>
        <w:tblStyle w:val="10"/>
        <w:tblpPr w:leftFromText="180" w:rightFromText="180" w:vertAnchor="text" w:horzAnchor="page" w:tblpX="1501" w:tblpY="2"/>
        <w:tblOverlap w:val="never"/>
        <w:tblW w:w="1396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04"/>
        <w:gridCol w:w="1665"/>
        <w:gridCol w:w="8053"/>
        <w:gridCol w:w="2186"/>
        <w:gridCol w:w="1160"/>
      </w:tblGrid>
      <w:tr w14:paraId="7CEA85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49" w:hRule="atLeast"/>
        </w:trPr>
        <w:tc>
          <w:tcPr>
            <w:tcW w:w="904" w:type="dxa"/>
            <w:tcBorders>
              <w:top w:val="single" w:color="000000" w:sz="10" w:space="0"/>
              <w:left w:val="single" w:color="000000" w:sz="10" w:space="0"/>
            </w:tcBorders>
            <w:textDirection w:val="tbRlV"/>
            <w:vAlign w:val="center"/>
          </w:tcPr>
          <w:p w14:paraId="1FFC5750">
            <w:pPr>
              <w:spacing w:before="169" w:line="209" w:lineRule="auto"/>
              <w:ind w:left="66"/>
              <w:jc w:val="center"/>
              <w:rPr>
                <w:rFonts w:ascii="黑体" w:hAnsi="黑体" w:eastAsia="黑体" w:cs="黑体"/>
                <w:sz w:val="24"/>
                <w:szCs w:val="24"/>
              </w:rPr>
            </w:pPr>
            <w:r>
              <w:rPr>
                <w:rFonts w:ascii="黑体" w:hAnsi="黑体" w:eastAsia="黑体" w:cs="黑体"/>
                <w:spacing w:val="37"/>
                <w:sz w:val="24"/>
                <w:szCs w:val="24"/>
              </w:rPr>
              <w:t>序号</w:t>
            </w:r>
          </w:p>
        </w:tc>
        <w:tc>
          <w:tcPr>
            <w:tcW w:w="1665" w:type="dxa"/>
            <w:tcBorders>
              <w:top w:val="single" w:color="000000" w:sz="10" w:space="0"/>
            </w:tcBorders>
            <w:vAlign w:val="center"/>
          </w:tcPr>
          <w:p w14:paraId="7EC3ACEF">
            <w:pPr>
              <w:spacing w:before="221" w:line="222" w:lineRule="auto"/>
              <w:ind w:left="504"/>
              <w:jc w:val="center"/>
              <w:rPr>
                <w:rFonts w:ascii="黑体" w:hAnsi="黑体" w:eastAsia="黑体" w:cs="黑体"/>
                <w:sz w:val="24"/>
                <w:szCs w:val="24"/>
              </w:rPr>
            </w:pPr>
            <w:r>
              <w:rPr>
                <w:rFonts w:ascii="黑体" w:hAnsi="黑体" w:eastAsia="黑体" w:cs="黑体"/>
                <w:spacing w:val="-3"/>
                <w:sz w:val="24"/>
                <w:szCs w:val="24"/>
              </w:rPr>
              <w:t>评估内容</w:t>
            </w:r>
          </w:p>
        </w:tc>
        <w:tc>
          <w:tcPr>
            <w:tcW w:w="8053" w:type="dxa"/>
            <w:tcBorders>
              <w:top w:val="single" w:color="000000" w:sz="10" w:space="0"/>
            </w:tcBorders>
            <w:vAlign w:val="center"/>
          </w:tcPr>
          <w:p w14:paraId="7551DA5F">
            <w:pPr>
              <w:spacing w:before="221" w:line="222" w:lineRule="auto"/>
              <w:ind w:left="3201"/>
              <w:jc w:val="center"/>
              <w:rPr>
                <w:rFonts w:ascii="黑体" w:hAnsi="黑体" w:eastAsia="黑体" w:cs="黑体"/>
                <w:sz w:val="24"/>
                <w:szCs w:val="24"/>
              </w:rPr>
            </w:pPr>
            <w:r>
              <w:rPr>
                <w:rFonts w:ascii="黑体" w:hAnsi="黑体" w:eastAsia="黑体" w:cs="黑体"/>
                <w:spacing w:val="-3"/>
                <w:sz w:val="24"/>
                <w:szCs w:val="24"/>
              </w:rPr>
              <w:t>评估要点</w:t>
            </w:r>
          </w:p>
        </w:tc>
        <w:tc>
          <w:tcPr>
            <w:tcW w:w="2186" w:type="dxa"/>
            <w:tcBorders>
              <w:top w:val="single" w:color="000000" w:sz="10" w:space="0"/>
            </w:tcBorders>
            <w:vAlign w:val="center"/>
          </w:tcPr>
          <w:p w14:paraId="4248B6CA">
            <w:pPr>
              <w:spacing w:before="222" w:line="221" w:lineRule="auto"/>
              <w:ind w:left="142"/>
              <w:jc w:val="center"/>
              <w:rPr>
                <w:rFonts w:ascii="黑体" w:hAnsi="黑体" w:eastAsia="黑体" w:cs="黑体"/>
                <w:sz w:val="24"/>
                <w:szCs w:val="24"/>
              </w:rPr>
            </w:pPr>
            <w:r>
              <w:rPr>
                <w:rFonts w:ascii="黑体" w:hAnsi="黑体" w:eastAsia="黑体" w:cs="黑体"/>
                <w:spacing w:val="-2"/>
                <w:sz w:val="24"/>
                <w:szCs w:val="24"/>
              </w:rPr>
              <w:t>现场评估意见</w:t>
            </w:r>
          </w:p>
        </w:tc>
        <w:tc>
          <w:tcPr>
            <w:tcW w:w="1160" w:type="dxa"/>
            <w:tcBorders>
              <w:top w:val="single" w:color="000000" w:sz="10" w:space="0"/>
              <w:right w:val="single" w:color="000000" w:sz="10" w:space="0"/>
            </w:tcBorders>
            <w:vAlign w:val="center"/>
          </w:tcPr>
          <w:p w14:paraId="74A00573">
            <w:pPr>
              <w:spacing w:before="221" w:line="222" w:lineRule="auto"/>
              <w:ind w:left="202"/>
              <w:jc w:val="center"/>
              <w:rPr>
                <w:rFonts w:ascii="黑体" w:hAnsi="黑体" w:eastAsia="黑体" w:cs="黑体"/>
                <w:sz w:val="24"/>
                <w:szCs w:val="24"/>
              </w:rPr>
            </w:pPr>
            <w:r>
              <w:rPr>
                <w:rFonts w:ascii="黑体" w:hAnsi="黑体" w:eastAsia="黑体" w:cs="黑体"/>
                <w:spacing w:val="-5"/>
                <w:sz w:val="24"/>
                <w:szCs w:val="24"/>
              </w:rPr>
              <w:t>备注</w:t>
            </w:r>
          </w:p>
        </w:tc>
      </w:tr>
      <w:tr w14:paraId="5E3C09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9" w:hRule="atLeast"/>
        </w:trPr>
        <w:tc>
          <w:tcPr>
            <w:tcW w:w="904" w:type="dxa"/>
            <w:tcBorders>
              <w:left w:val="single" w:color="000000" w:sz="10" w:space="0"/>
            </w:tcBorders>
            <w:vAlign w:val="center"/>
          </w:tcPr>
          <w:p w14:paraId="75A24E96">
            <w:pPr>
              <w:spacing w:before="69" w:line="315" w:lineRule="exact"/>
              <w:jc w:val="center"/>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1</w:t>
            </w:r>
          </w:p>
        </w:tc>
        <w:tc>
          <w:tcPr>
            <w:tcW w:w="1665" w:type="dxa"/>
            <w:vAlign w:val="center"/>
          </w:tcPr>
          <w:p w14:paraId="5873AF75">
            <w:pPr>
              <w:pStyle w:val="11"/>
              <w:spacing w:before="65" w:line="223" w:lineRule="auto"/>
              <w:jc w:val="center"/>
              <w:rPr>
                <w:sz w:val="20"/>
                <w:szCs w:val="20"/>
              </w:rPr>
            </w:pPr>
            <w:r>
              <w:rPr>
                <w:spacing w:val="5"/>
                <w:sz w:val="20"/>
                <w:szCs w:val="20"/>
              </w:rPr>
              <w:t>责任追究</w:t>
            </w:r>
            <w:r>
              <w:rPr>
                <w:spacing w:val="4"/>
                <w:sz w:val="20"/>
                <w:szCs w:val="20"/>
              </w:rPr>
              <w:t>落实情况</w:t>
            </w:r>
          </w:p>
        </w:tc>
        <w:tc>
          <w:tcPr>
            <w:tcW w:w="8053" w:type="dxa"/>
            <w:vAlign w:val="center"/>
          </w:tcPr>
          <w:p w14:paraId="752E97F5">
            <w:pPr>
              <w:pStyle w:val="11"/>
              <w:spacing w:line="265" w:lineRule="exact"/>
              <w:ind w:left="119"/>
              <w:jc w:val="center"/>
              <w:rPr>
                <w:spacing w:val="5"/>
                <w:position w:val="1"/>
                <w:sz w:val="20"/>
                <w:szCs w:val="20"/>
              </w:rPr>
            </w:pPr>
            <w:r>
              <w:rPr>
                <w:spacing w:val="5"/>
                <w:position w:val="1"/>
                <w:sz w:val="20"/>
                <w:szCs w:val="20"/>
              </w:rPr>
              <w:t>1.</w:t>
            </w:r>
            <w:r>
              <w:rPr>
                <w:rFonts w:hint="eastAsia"/>
                <w:spacing w:val="5"/>
                <w:position w:val="1"/>
                <w:sz w:val="20"/>
                <w:szCs w:val="20"/>
                <w:lang w:val="en-US" w:eastAsia="zh-CN"/>
              </w:rPr>
              <w:t>梁绪乐</w:t>
            </w:r>
            <w:r>
              <w:rPr>
                <w:spacing w:val="5"/>
                <w:position w:val="1"/>
                <w:sz w:val="20"/>
                <w:szCs w:val="20"/>
              </w:rPr>
              <w:t>刑事责任追究落实情况；</w:t>
            </w:r>
          </w:p>
          <w:p w14:paraId="68783D20">
            <w:pPr>
              <w:pStyle w:val="11"/>
              <w:spacing w:line="265" w:lineRule="exact"/>
              <w:ind w:left="119"/>
              <w:jc w:val="center"/>
              <w:rPr>
                <w:spacing w:val="5"/>
                <w:position w:val="1"/>
                <w:sz w:val="20"/>
                <w:szCs w:val="20"/>
              </w:rPr>
            </w:pPr>
            <w:r>
              <w:rPr>
                <w:spacing w:val="5"/>
                <w:position w:val="1"/>
                <w:sz w:val="20"/>
                <w:szCs w:val="20"/>
              </w:rPr>
              <w:t>2.</w:t>
            </w:r>
            <w:r>
              <w:rPr>
                <w:rFonts w:hint="default"/>
                <w:spacing w:val="5"/>
                <w:position w:val="1"/>
                <w:sz w:val="20"/>
                <w:szCs w:val="20"/>
                <w:lang w:val="en-US" w:eastAsia="zh-CN"/>
              </w:rPr>
              <w:t>合肥康通机电设备有限公司</w:t>
            </w:r>
            <w:r>
              <w:rPr>
                <w:spacing w:val="5"/>
                <w:position w:val="1"/>
                <w:sz w:val="20"/>
                <w:szCs w:val="20"/>
              </w:rPr>
              <w:t>行政处罚落实情况；</w:t>
            </w:r>
          </w:p>
          <w:p w14:paraId="72AA5D99">
            <w:pPr>
              <w:pStyle w:val="11"/>
              <w:spacing w:line="265" w:lineRule="exact"/>
              <w:ind w:left="119"/>
              <w:jc w:val="center"/>
              <w:rPr>
                <w:sz w:val="20"/>
                <w:szCs w:val="20"/>
              </w:rPr>
            </w:pPr>
            <w:r>
              <w:rPr>
                <w:spacing w:val="5"/>
                <w:position w:val="1"/>
                <w:sz w:val="20"/>
                <w:szCs w:val="20"/>
              </w:rPr>
              <w:t>3.</w:t>
            </w:r>
            <w:r>
              <w:rPr>
                <w:rFonts w:hint="default"/>
                <w:spacing w:val="5"/>
                <w:position w:val="1"/>
                <w:sz w:val="20"/>
                <w:szCs w:val="20"/>
                <w:lang w:val="en-US" w:eastAsia="zh-CN"/>
              </w:rPr>
              <w:t>方庙街道办事处</w:t>
            </w:r>
            <w:r>
              <w:rPr>
                <w:rFonts w:hint="eastAsia"/>
                <w:spacing w:val="5"/>
                <w:position w:val="1"/>
                <w:sz w:val="20"/>
                <w:szCs w:val="20"/>
                <w:lang w:val="en-US" w:eastAsia="zh-CN"/>
              </w:rPr>
              <w:t>、</w:t>
            </w:r>
            <w:r>
              <w:rPr>
                <w:rFonts w:hint="default"/>
                <w:spacing w:val="5"/>
                <w:position w:val="1"/>
                <w:sz w:val="20"/>
                <w:szCs w:val="20"/>
                <w:lang w:val="en-US" w:eastAsia="zh-CN"/>
              </w:rPr>
              <w:t>区住建局</w:t>
            </w:r>
            <w:r>
              <w:rPr>
                <w:spacing w:val="5"/>
                <w:position w:val="1"/>
                <w:sz w:val="20"/>
                <w:szCs w:val="20"/>
              </w:rPr>
              <w:t>深刻书面检查落实情况</w:t>
            </w:r>
            <w:r>
              <w:rPr>
                <w:rFonts w:hint="eastAsia"/>
                <w:spacing w:val="5"/>
                <w:position w:val="1"/>
                <w:sz w:val="20"/>
                <w:szCs w:val="20"/>
                <w:lang w:eastAsia="zh-CN"/>
              </w:rPr>
              <w:t>。</w:t>
            </w:r>
          </w:p>
        </w:tc>
        <w:tc>
          <w:tcPr>
            <w:tcW w:w="2186" w:type="dxa"/>
            <w:vAlign w:val="center"/>
          </w:tcPr>
          <w:p w14:paraId="6AF6124F">
            <w:pPr>
              <w:pStyle w:val="11"/>
              <w:spacing w:before="65" w:line="224" w:lineRule="auto"/>
              <w:jc w:val="center"/>
              <w:rPr>
                <w:sz w:val="20"/>
                <w:szCs w:val="20"/>
              </w:rPr>
            </w:pPr>
            <w:r>
              <w:rPr>
                <w:rFonts w:hint="eastAsia"/>
                <w:spacing w:val="-5"/>
                <w:sz w:val="20"/>
                <w:szCs w:val="20"/>
                <w:lang w:val="en-US" w:eastAsia="zh-CN"/>
              </w:rPr>
              <w:t>基本</w:t>
            </w:r>
            <w:r>
              <w:rPr>
                <w:spacing w:val="-5"/>
                <w:sz w:val="20"/>
                <w:szCs w:val="20"/>
              </w:rPr>
              <w:t>落实</w:t>
            </w:r>
          </w:p>
        </w:tc>
        <w:tc>
          <w:tcPr>
            <w:tcW w:w="1160" w:type="dxa"/>
            <w:tcBorders>
              <w:right w:val="single" w:color="000000" w:sz="10" w:space="0"/>
            </w:tcBorders>
            <w:vAlign w:val="center"/>
          </w:tcPr>
          <w:p w14:paraId="7FE32226">
            <w:pPr>
              <w:jc w:val="center"/>
              <w:rPr>
                <w:rFonts w:ascii="Arial"/>
                <w:sz w:val="21"/>
              </w:rPr>
            </w:pPr>
          </w:p>
        </w:tc>
      </w:tr>
      <w:tr w14:paraId="4EE4AE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9" w:hRule="atLeast"/>
        </w:trPr>
        <w:tc>
          <w:tcPr>
            <w:tcW w:w="904" w:type="dxa"/>
            <w:tcBorders>
              <w:left w:val="single" w:color="000000" w:sz="10" w:space="0"/>
            </w:tcBorders>
            <w:vAlign w:val="center"/>
          </w:tcPr>
          <w:p w14:paraId="74EB02F6">
            <w:pPr>
              <w:spacing w:before="69" w:line="314" w:lineRule="exact"/>
              <w:jc w:val="center"/>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2</w:t>
            </w:r>
          </w:p>
        </w:tc>
        <w:tc>
          <w:tcPr>
            <w:tcW w:w="1665" w:type="dxa"/>
            <w:vAlign w:val="center"/>
          </w:tcPr>
          <w:p w14:paraId="3D58D742">
            <w:pPr>
              <w:pStyle w:val="11"/>
              <w:spacing w:before="20" w:line="223" w:lineRule="auto"/>
              <w:ind w:left="149"/>
              <w:jc w:val="center"/>
              <w:rPr>
                <w:sz w:val="20"/>
                <w:szCs w:val="20"/>
              </w:rPr>
            </w:pPr>
            <w:r>
              <w:rPr>
                <w:rFonts w:hint="eastAsia"/>
                <w:spacing w:val="8"/>
                <w:sz w:val="20"/>
                <w:szCs w:val="20"/>
                <w:lang w:val="en-US" w:eastAsia="zh-CN"/>
              </w:rPr>
              <w:t>合肥康通机电设备有限公司</w:t>
            </w:r>
            <w:r>
              <w:rPr>
                <w:spacing w:val="8"/>
                <w:sz w:val="20"/>
                <w:szCs w:val="20"/>
              </w:rPr>
              <w:t>落实</w:t>
            </w:r>
            <w:r>
              <w:rPr>
                <w:spacing w:val="7"/>
                <w:sz w:val="20"/>
                <w:szCs w:val="20"/>
              </w:rPr>
              <w:t>事故防范和整改措</w:t>
            </w:r>
            <w:r>
              <w:rPr>
                <w:spacing w:val="6"/>
                <w:sz w:val="20"/>
                <w:szCs w:val="20"/>
              </w:rPr>
              <w:t>施情况</w:t>
            </w:r>
          </w:p>
        </w:tc>
        <w:tc>
          <w:tcPr>
            <w:tcW w:w="8053" w:type="dxa"/>
            <w:vAlign w:val="center"/>
          </w:tcPr>
          <w:p w14:paraId="0C4B6E26">
            <w:pPr>
              <w:pStyle w:val="11"/>
              <w:spacing w:before="34" w:line="232" w:lineRule="auto"/>
              <w:ind w:left="100" w:right="43" w:firstLine="8"/>
              <w:jc w:val="center"/>
              <w:rPr>
                <w:sz w:val="20"/>
                <w:szCs w:val="20"/>
              </w:rPr>
            </w:pPr>
            <w:r>
              <w:rPr>
                <w:rFonts w:hint="eastAsia"/>
                <w:spacing w:val="4"/>
                <w:sz w:val="20"/>
                <w:szCs w:val="20"/>
                <w:lang w:val="en-US" w:eastAsia="zh-CN"/>
              </w:rPr>
              <w:t>要深刻吸取教训，举一反三，正确履行企业的安全管理职责，严格落实安全生产主体责任，严格遵守有关安全生产法律法规等规范标准规定；加强从业人员安全生产教育和培训，掌握本岗位的安全操作规程，未经考核合格人员不得上岗作业，防范事故的再次发生。</w:t>
            </w:r>
          </w:p>
        </w:tc>
        <w:tc>
          <w:tcPr>
            <w:tcW w:w="2186" w:type="dxa"/>
            <w:vAlign w:val="center"/>
          </w:tcPr>
          <w:p w14:paraId="12F1FD1A">
            <w:pPr>
              <w:pStyle w:val="11"/>
              <w:spacing w:before="65" w:line="224" w:lineRule="auto"/>
              <w:jc w:val="center"/>
              <w:rPr>
                <w:sz w:val="20"/>
                <w:szCs w:val="20"/>
              </w:rPr>
            </w:pPr>
            <w:r>
              <w:rPr>
                <w:rFonts w:hint="eastAsia"/>
                <w:spacing w:val="-5"/>
                <w:sz w:val="20"/>
                <w:szCs w:val="20"/>
                <w:lang w:val="en-US" w:eastAsia="zh-CN"/>
              </w:rPr>
              <w:t>基本</w:t>
            </w:r>
            <w:r>
              <w:rPr>
                <w:spacing w:val="-5"/>
                <w:sz w:val="20"/>
                <w:szCs w:val="20"/>
              </w:rPr>
              <w:t>落实</w:t>
            </w:r>
          </w:p>
        </w:tc>
        <w:tc>
          <w:tcPr>
            <w:tcW w:w="1160" w:type="dxa"/>
            <w:tcBorders>
              <w:right w:val="single" w:color="000000" w:sz="10" w:space="0"/>
            </w:tcBorders>
            <w:vAlign w:val="center"/>
          </w:tcPr>
          <w:p w14:paraId="398A7257">
            <w:pPr>
              <w:jc w:val="center"/>
              <w:rPr>
                <w:rFonts w:ascii="Arial"/>
                <w:sz w:val="21"/>
              </w:rPr>
            </w:pPr>
          </w:p>
        </w:tc>
      </w:tr>
      <w:tr w14:paraId="543338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49" w:hRule="atLeast"/>
        </w:trPr>
        <w:tc>
          <w:tcPr>
            <w:tcW w:w="904" w:type="dxa"/>
            <w:tcBorders>
              <w:left w:val="single" w:color="000000" w:sz="10" w:space="0"/>
            </w:tcBorders>
            <w:vAlign w:val="center"/>
          </w:tcPr>
          <w:p w14:paraId="2EF1B25D">
            <w:pPr>
              <w:spacing w:before="69" w:line="315" w:lineRule="exact"/>
              <w:jc w:val="center"/>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3</w:t>
            </w:r>
          </w:p>
        </w:tc>
        <w:tc>
          <w:tcPr>
            <w:tcW w:w="1665" w:type="dxa"/>
            <w:vAlign w:val="center"/>
          </w:tcPr>
          <w:p w14:paraId="743FD430">
            <w:pPr>
              <w:pStyle w:val="11"/>
              <w:spacing w:before="19" w:line="222" w:lineRule="auto"/>
              <w:ind w:left="144"/>
              <w:jc w:val="center"/>
              <w:rPr>
                <w:sz w:val="20"/>
                <w:szCs w:val="20"/>
              </w:rPr>
            </w:pPr>
            <w:r>
              <w:rPr>
                <w:rFonts w:hint="eastAsia"/>
                <w:sz w:val="20"/>
                <w:szCs w:val="20"/>
                <w:lang w:val="en-US" w:eastAsia="zh-CN"/>
              </w:rPr>
              <w:t>方庙街道办事处</w:t>
            </w:r>
            <w:r>
              <w:rPr>
                <w:spacing w:val="8"/>
                <w:sz w:val="20"/>
                <w:szCs w:val="20"/>
              </w:rPr>
              <w:t>落</w:t>
            </w:r>
            <w:r>
              <w:rPr>
                <w:spacing w:val="7"/>
                <w:sz w:val="20"/>
                <w:szCs w:val="20"/>
              </w:rPr>
              <w:t>实事故防范和整改措施情况</w:t>
            </w:r>
          </w:p>
        </w:tc>
        <w:tc>
          <w:tcPr>
            <w:tcW w:w="8053" w:type="dxa"/>
            <w:vAlign w:val="center"/>
          </w:tcPr>
          <w:p w14:paraId="44278584">
            <w:pPr>
              <w:pStyle w:val="11"/>
              <w:spacing w:before="35" w:line="235" w:lineRule="auto"/>
              <w:ind w:left="99" w:right="113" w:firstLine="9"/>
              <w:jc w:val="center"/>
              <w:rPr>
                <w:sz w:val="20"/>
                <w:szCs w:val="20"/>
              </w:rPr>
            </w:pPr>
            <w:r>
              <w:rPr>
                <w:rFonts w:hint="eastAsia"/>
                <w:sz w:val="20"/>
                <w:szCs w:val="20"/>
                <w:lang w:val="en-US" w:eastAsia="zh-CN"/>
              </w:rPr>
              <w:t>要深刻吸取事故教训，严格履行属地管理责任，认真分析查找小散工程和零星作业领域安全监管存在的主要问题和薄弱环节，采取有效措施，堵塞安全管理漏洞，补齐工作上的短板，坚决扭转安全生产被动局面。</w:t>
            </w:r>
          </w:p>
        </w:tc>
        <w:tc>
          <w:tcPr>
            <w:tcW w:w="2186" w:type="dxa"/>
            <w:vAlign w:val="center"/>
          </w:tcPr>
          <w:p w14:paraId="55C00968">
            <w:pPr>
              <w:pStyle w:val="11"/>
              <w:spacing w:before="65" w:line="224" w:lineRule="auto"/>
              <w:jc w:val="center"/>
              <w:rPr>
                <w:sz w:val="20"/>
                <w:szCs w:val="20"/>
              </w:rPr>
            </w:pPr>
            <w:r>
              <w:rPr>
                <w:spacing w:val="-5"/>
                <w:sz w:val="20"/>
                <w:szCs w:val="20"/>
              </w:rPr>
              <w:t>已落实</w:t>
            </w:r>
          </w:p>
        </w:tc>
        <w:tc>
          <w:tcPr>
            <w:tcW w:w="1160" w:type="dxa"/>
            <w:tcBorders>
              <w:right w:val="single" w:color="000000" w:sz="10" w:space="0"/>
            </w:tcBorders>
            <w:vAlign w:val="center"/>
          </w:tcPr>
          <w:p w14:paraId="4ACDA22F">
            <w:pPr>
              <w:jc w:val="center"/>
              <w:rPr>
                <w:rFonts w:ascii="Arial"/>
                <w:sz w:val="21"/>
              </w:rPr>
            </w:pPr>
          </w:p>
        </w:tc>
      </w:tr>
      <w:tr w14:paraId="487DD3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9" w:hRule="atLeast"/>
        </w:trPr>
        <w:tc>
          <w:tcPr>
            <w:tcW w:w="904" w:type="dxa"/>
            <w:tcBorders>
              <w:left w:val="single" w:color="000000" w:sz="10" w:space="0"/>
            </w:tcBorders>
            <w:vAlign w:val="center"/>
          </w:tcPr>
          <w:p w14:paraId="0957114A">
            <w:pPr>
              <w:spacing w:before="69" w:line="315" w:lineRule="exact"/>
              <w:jc w:val="center"/>
              <w:rPr>
                <w:rFonts w:ascii="Times New Roman" w:hAnsi="Times New Roman" w:eastAsia="Times New Roman" w:cs="Times New Roman"/>
                <w:sz w:val="24"/>
                <w:szCs w:val="24"/>
              </w:rPr>
            </w:pPr>
            <w:r>
              <w:rPr>
                <w:rFonts w:ascii="Times New Roman" w:hAnsi="Times New Roman" w:eastAsia="Times New Roman" w:cs="Times New Roman"/>
                <w:position w:val="1"/>
                <w:sz w:val="24"/>
                <w:szCs w:val="24"/>
              </w:rPr>
              <w:t>4</w:t>
            </w:r>
          </w:p>
        </w:tc>
        <w:tc>
          <w:tcPr>
            <w:tcW w:w="1665" w:type="dxa"/>
            <w:vAlign w:val="center"/>
          </w:tcPr>
          <w:p w14:paraId="1DDC0CF4">
            <w:pPr>
              <w:pStyle w:val="11"/>
              <w:spacing w:before="19" w:line="189" w:lineRule="auto"/>
              <w:jc w:val="center"/>
              <w:rPr>
                <w:sz w:val="20"/>
                <w:szCs w:val="20"/>
              </w:rPr>
            </w:pPr>
            <w:r>
              <w:rPr>
                <w:rFonts w:hint="eastAsia"/>
                <w:sz w:val="20"/>
                <w:szCs w:val="20"/>
                <w:lang w:val="en-US" w:eastAsia="zh-CN"/>
              </w:rPr>
              <w:t>区住建局</w:t>
            </w:r>
            <w:r>
              <w:rPr>
                <w:spacing w:val="8"/>
                <w:sz w:val="20"/>
                <w:szCs w:val="20"/>
              </w:rPr>
              <w:t>落实事故防范和改措施情况</w:t>
            </w:r>
          </w:p>
        </w:tc>
        <w:tc>
          <w:tcPr>
            <w:tcW w:w="8053" w:type="dxa"/>
            <w:vAlign w:val="center"/>
          </w:tcPr>
          <w:p w14:paraId="3BF9B2F6">
            <w:pPr>
              <w:pStyle w:val="11"/>
              <w:spacing w:before="47" w:line="227" w:lineRule="auto"/>
              <w:ind w:left="102" w:right="113" w:firstLine="7"/>
              <w:jc w:val="center"/>
              <w:rPr>
                <w:rFonts w:hint="eastAsia"/>
                <w:sz w:val="20"/>
                <w:szCs w:val="20"/>
                <w:lang w:val="en-US" w:eastAsia="zh-CN"/>
              </w:rPr>
            </w:pPr>
            <w:r>
              <w:rPr>
                <w:rFonts w:hint="eastAsia"/>
                <w:sz w:val="20"/>
                <w:szCs w:val="20"/>
                <w:lang w:val="en-US" w:eastAsia="zh-CN"/>
              </w:rPr>
              <w:t>要深刻吸取事故教训，严格落实行业安全监管责任。针对辖区内小散工程和零星作业事故发生特点，要结合实际情况制定针对性的事故防范措施，督促企业严格落实安全生产主体责任，及时排查和消除事故隐患，有效防范事故的发生。</w:t>
            </w:r>
          </w:p>
          <w:p w14:paraId="2AE34EA6">
            <w:pPr>
              <w:pStyle w:val="11"/>
              <w:spacing w:before="47" w:line="227" w:lineRule="auto"/>
              <w:ind w:left="102" w:right="113" w:firstLine="7"/>
              <w:jc w:val="center"/>
              <w:rPr>
                <w:sz w:val="20"/>
                <w:szCs w:val="20"/>
              </w:rPr>
            </w:pPr>
          </w:p>
        </w:tc>
        <w:tc>
          <w:tcPr>
            <w:tcW w:w="2186" w:type="dxa"/>
            <w:vAlign w:val="center"/>
          </w:tcPr>
          <w:p w14:paraId="4BC0F1FF">
            <w:pPr>
              <w:pStyle w:val="11"/>
              <w:spacing w:before="65" w:line="224" w:lineRule="auto"/>
              <w:jc w:val="center"/>
              <w:rPr>
                <w:sz w:val="20"/>
                <w:szCs w:val="20"/>
              </w:rPr>
            </w:pPr>
            <w:r>
              <w:rPr>
                <w:spacing w:val="-5"/>
                <w:sz w:val="20"/>
                <w:szCs w:val="20"/>
              </w:rPr>
              <w:t>已落实</w:t>
            </w:r>
          </w:p>
        </w:tc>
        <w:tc>
          <w:tcPr>
            <w:tcW w:w="1160" w:type="dxa"/>
            <w:tcBorders>
              <w:right w:val="single" w:color="000000" w:sz="10" w:space="0"/>
            </w:tcBorders>
            <w:vAlign w:val="center"/>
          </w:tcPr>
          <w:p w14:paraId="448E5FA7">
            <w:pPr>
              <w:jc w:val="center"/>
              <w:rPr>
                <w:rFonts w:ascii="Arial"/>
                <w:sz w:val="21"/>
              </w:rPr>
            </w:pPr>
          </w:p>
        </w:tc>
      </w:tr>
    </w:tbl>
    <w:p w14:paraId="1CAFC789">
      <w:pPr>
        <w:spacing w:line="54" w:lineRule="auto"/>
        <w:rPr>
          <w:rFonts w:ascii="Arial"/>
          <w:sz w:val="2"/>
        </w:rPr>
      </w:pPr>
    </w:p>
    <w:p w14:paraId="238C1DA6">
      <w:pPr>
        <w:spacing w:before="169" w:line="230" w:lineRule="auto"/>
        <w:ind w:left="1"/>
        <w:rPr>
          <w:rFonts w:ascii="黑体" w:hAnsi="黑体" w:eastAsia="黑体" w:cs="黑体"/>
          <w:spacing w:val="24"/>
          <w:sz w:val="31"/>
          <w:szCs w:val="31"/>
        </w:rPr>
      </w:pPr>
    </w:p>
    <w:p w14:paraId="67541976">
      <w:pPr>
        <w:spacing w:before="169" w:line="230" w:lineRule="auto"/>
        <w:ind w:left="1"/>
        <w:rPr>
          <w:rFonts w:ascii="黑体" w:hAnsi="黑体" w:eastAsia="黑体" w:cs="黑体"/>
          <w:spacing w:val="24"/>
          <w:sz w:val="31"/>
          <w:szCs w:val="31"/>
        </w:rPr>
      </w:pPr>
    </w:p>
    <w:p w14:paraId="484C4606">
      <w:pPr>
        <w:spacing w:before="169" w:line="230" w:lineRule="auto"/>
        <w:ind w:left="1"/>
        <w:rPr>
          <w:rFonts w:hint="eastAsia" w:ascii="黑体" w:hAnsi="黑体" w:eastAsia="黑体" w:cs="黑体"/>
          <w:sz w:val="31"/>
          <w:szCs w:val="31"/>
          <w:lang w:eastAsia="zh-CN"/>
        </w:rPr>
      </w:pPr>
      <w:r>
        <w:rPr>
          <w:rFonts w:ascii="黑体" w:hAnsi="黑体" w:eastAsia="黑体" w:cs="黑体"/>
          <w:spacing w:val="24"/>
          <w:sz w:val="31"/>
          <w:szCs w:val="31"/>
        </w:rPr>
        <w:t>附件</w:t>
      </w:r>
      <w:r>
        <w:rPr>
          <w:rFonts w:hint="eastAsia" w:ascii="黑体" w:hAnsi="黑体" w:eastAsia="黑体" w:cs="黑体"/>
          <w:spacing w:val="24"/>
          <w:sz w:val="31"/>
          <w:szCs w:val="31"/>
          <w:lang w:val="en-US" w:eastAsia="zh-CN"/>
        </w:rPr>
        <w:t>3</w:t>
      </w:r>
    </w:p>
    <w:p w14:paraId="54ABA949">
      <w:pPr>
        <w:spacing w:before="163" w:line="232" w:lineRule="auto"/>
        <w:ind w:left="1656"/>
        <w:rPr>
          <w:rFonts w:ascii="方正小标宋简体" w:hAnsi="方正小标宋简体" w:eastAsia="方正小标宋简体" w:cs="方正小标宋简体"/>
          <w:sz w:val="35"/>
          <w:szCs w:val="35"/>
        </w:rPr>
      </w:pPr>
      <w:r>
        <w:rPr>
          <w:rFonts w:hint="eastAsia" w:ascii="方正小标宋简体" w:hAnsi="方正小标宋简体" w:eastAsia="方正小标宋简体" w:cs="方正小标宋简体"/>
          <w:spacing w:val="4"/>
          <w:sz w:val="35"/>
          <w:szCs w:val="35"/>
        </w:rPr>
        <w:t>瑶海方庙龙湖上城小区“7·28”一般高坠</w:t>
      </w:r>
      <w:r>
        <w:rPr>
          <w:rFonts w:hint="eastAsia" w:ascii="方正小标宋简体" w:hAnsi="方正小标宋简体" w:eastAsia="方正小标宋简体" w:cs="方正小标宋简体"/>
          <w:spacing w:val="4"/>
          <w:sz w:val="35"/>
          <w:szCs w:val="35"/>
          <w:lang w:val="en-US" w:eastAsia="zh-CN"/>
        </w:rPr>
        <w:t>事故</w:t>
      </w:r>
      <w:r>
        <w:rPr>
          <w:rFonts w:ascii="方正小标宋简体" w:hAnsi="方正小标宋简体" w:eastAsia="方正小标宋简体" w:cs="方正小标宋简体"/>
          <w:spacing w:val="4"/>
          <w:sz w:val="35"/>
          <w:szCs w:val="35"/>
        </w:rPr>
        <w:t>责任追究落实情况表</w:t>
      </w:r>
    </w:p>
    <w:p w14:paraId="13AEADF8">
      <w:pPr>
        <w:spacing w:line="239" w:lineRule="exact"/>
      </w:pPr>
    </w:p>
    <w:tbl>
      <w:tblPr>
        <w:tblStyle w:val="10"/>
        <w:tblW w:w="13128" w:type="dxa"/>
        <w:tblInd w:w="38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1"/>
        <w:gridCol w:w="2692"/>
        <w:gridCol w:w="4674"/>
        <w:gridCol w:w="4921"/>
      </w:tblGrid>
      <w:tr w14:paraId="67BE1D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0" w:hRule="atLeast"/>
        </w:trPr>
        <w:tc>
          <w:tcPr>
            <w:tcW w:w="841" w:type="dxa"/>
            <w:vAlign w:val="center"/>
          </w:tcPr>
          <w:p w14:paraId="467B65ED">
            <w:pPr>
              <w:spacing w:before="91" w:line="224" w:lineRule="auto"/>
              <w:jc w:val="center"/>
              <w:rPr>
                <w:rFonts w:ascii="黑体" w:hAnsi="黑体" w:eastAsia="黑体" w:cs="黑体"/>
                <w:sz w:val="28"/>
                <w:szCs w:val="28"/>
              </w:rPr>
            </w:pPr>
            <w:r>
              <w:rPr>
                <w:rFonts w:ascii="黑体" w:hAnsi="黑体" w:eastAsia="黑体" w:cs="黑体"/>
                <w:spacing w:val="-5"/>
                <w:sz w:val="28"/>
                <w:szCs w:val="28"/>
              </w:rPr>
              <w:t>序号</w:t>
            </w:r>
          </w:p>
        </w:tc>
        <w:tc>
          <w:tcPr>
            <w:tcW w:w="2692" w:type="dxa"/>
            <w:vAlign w:val="center"/>
          </w:tcPr>
          <w:p w14:paraId="772FC56E">
            <w:pPr>
              <w:spacing w:before="196" w:line="222" w:lineRule="auto"/>
              <w:ind w:left="661"/>
              <w:jc w:val="center"/>
              <w:rPr>
                <w:rFonts w:ascii="黑体" w:hAnsi="黑体" w:eastAsia="黑体" w:cs="黑体"/>
                <w:sz w:val="28"/>
                <w:szCs w:val="28"/>
              </w:rPr>
            </w:pPr>
            <w:r>
              <w:rPr>
                <w:rFonts w:ascii="黑体" w:hAnsi="黑体" w:eastAsia="黑体" w:cs="黑体"/>
                <w:spacing w:val="-4"/>
                <w:sz w:val="28"/>
                <w:szCs w:val="28"/>
              </w:rPr>
              <w:t>事故责任人</w:t>
            </w:r>
          </w:p>
          <w:p w14:paraId="2C86D9BA">
            <w:pPr>
              <w:spacing w:before="23" w:line="222" w:lineRule="auto"/>
              <w:ind w:left="659"/>
              <w:jc w:val="center"/>
              <w:rPr>
                <w:rFonts w:ascii="黑体" w:hAnsi="黑体" w:eastAsia="黑体" w:cs="黑体"/>
                <w:sz w:val="28"/>
                <w:szCs w:val="28"/>
              </w:rPr>
            </w:pPr>
            <w:r>
              <w:rPr>
                <w:rFonts w:ascii="黑体" w:hAnsi="黑体" w:eastAsia="黑体" w:cs="黑体"/>
                <w:spacing w:val="-3"/>
                <w:sz w:val="28"/>
                <w:szCs w:val="28"/>
              </w:rPr>
              <w:t>或责任单位</w:t>
            </w:r>
          </w:p>
        </w:tc>
        <w:tc>
          <w:tcPr>
            <w:tcW w:w="4674" w:type="dxa"/>
            <w:vAlign w:val="center"/>
          </w:tcPr>
          <w:p w14:paraId="76DE36BB">
            <w:pPr>
              <w:spacing w:before="91" w:line="222" w:lineRule="auto"/>
              <w:jc w:val="center"/>
              <w:rPr>
                <w:rFonts w:ascii="黑体" w:hAnsi="黑体" w:eastAsia="黑体" w:cs="黑体"/>
                <w:sz w:val="28"/>
                <w:szCs w:val="28"/>
              </w:rPr>
            </w:pPr>
            <w:r>
              <w:rPr>
                <w:rFonts w:ascii="黑体" w:hAnsi="黑体" w:eastAsia="黑体" w:cs="黑体"/>
                <w:spacing w:val="-3"/>
                <w:sz w:val="28"/>
                <w:szCs w:val="28"/>
              </w:rPr>
              <w:t>处理意见</w:t>
            </w:r>
          </w:p>
        </w:tc>
        <w:tc>
          <w:tcPr>
            <w:tcW w:w="4921" w:type="dxa"/>
            <w:vAlign w:val="center"/>
          </w:tcPr>
          <w:p w14:paraId="74907BE7">
            <w:pPr>
              <w:spacing w:before="91" w:line="222" w:lineRule="auto"/>
              <w:jc w:val="center"/>
              <w:rPr>
                <w:rFonts w:ascii="黑体" w:hAnsi="黑体" w:eastAsia="黑体" w:cs="黑体"/>
                <w:sz w:val="28"/>
                <w:szCs w:val="28"/>
              </w:rPr>
            </w:pPr>
            <w:r>
              <w:rPr>
                <w:rFonts w:ascii="黑体" w:hAnsi="黑体" w:eastAsia="黑体" w:cs="黑体"/>
                <w:spacing w:val="-4"/>
                <w:sz w:val="28"/>
                <w:szCs w:val="28"/>
              </w:rPr>
              <w:t>落实情况</w:t>
            </w:r>
          </w:p>
        </w:tc>
      </w:tr>
      <w:tr w14:paraId="7729BA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5" w:hRule="atLeast"/>
        </w:trPr>
        <w:tc>
          <w:tcPr>
            <w:tcW w:w="841" w:type="dxa"/>
            <w:vAlign w:val="center"/>
          </w:tcPr>
          <w:p w14:paraId="1E60F127">
            <w:pPr>
              <w:pStyle w:val="11"/>
              <w:spacing w:before="91" w:line="373" w:lineRule="exact"/>
              <w:jc w:val="center"/>
              <w:rPr>
                <w:rFonts w:ascii="FangSong_GB2312" w:hAnsi="FangSong_GB2312" w:eastAsia="FangSong_GB2312" w:cs="FangSong_GB2312"/>
                <w:snapToGrid w:val="0"/>
                <w:color w:val="000000"/>
                <w:spacing w:val="-2"/>
                <w:kern w:val="0"/>
                <w:sz w:val="28"/>
                <w:szCs w:val="28"/>
                <w:lang w:val="en-US" w:eastAsia="en-US" w:bidi="ar-SA"/>
              </w:rPr>
            </w:pPr>
            <w:r>
              <w:rPr>
                <w:rFonts w:ascii="FangSong_GB2312" w:hAnsi="FangSong_GB2312" w:eastAsia="FangSong_GB2312" w:cs="FangSong_GB2312"/>
                <w:snapToGrid w:val="0"/>
                <w:color w:val="000000"/>
                <w:spacing w:val="-2"/>
                <w:kern w:val="0"/>
                <w:sz w:val="28"/>
                <w:szCs w:val="28"/>
                <w:lang w:val="en-US" w:eastAsia="en-US" w:bidi="ar-SA"/>
              </w:rPr>
              <w:t>1</w:t>
            </w:r>
          </w:p>
        </w:tc>
        <w:tc>
          <w:tcPr>
            <w:tcW w:w="2692" w:type="dxa"/>
            <w:vAlign w:val="center"/>
          </w:tcPr>
          <w:p w14:paraId="31942788">
            <w:pPr>
              <w:pStyle w:val="11"/>
              <w:spacing w:before="101" w:line="219" w:lineRule="auto"/>
              <w:jc w:val="center"/>
              <w:rPr>
                <w:rFonts w:hint="eastAsia" w:ascii="FangSong_GB2312" w:hAnsi="FangSong_GB2312" w:eastAsia="FangSong_GB2312" w:cs="FangSong_GB2312"/>
                <w:snapToGrid w:val="0"/>
                <w:color w:val="000000"/>
                <w:spacing w:val="-2"/>
                <w:kern w:val="0"/>
                <w:sz w:val="28"/>
                <w:szCs w:val="28"/>
                <w:lang w:val="en-US" w:eastAsia="zh-CN" w:bidi="ar-SA"/>
              </w:rPr>
            </w:pPr>
            <w:r>
              <w:rPr>
                <w:rFonts w:hint="eastAsia" w:ascii="FangSong_GB2312" w:hAnsi="FangSong_GB2312" w:eastAsia="FangSong_GB2312" w:cs="FangSong_GB2312"/>
                <w:snapToGrid w:val="0"/>
                <w:color w:val="000000"/>
                <w:spacing w:val="-2"/>
                <w:kern w:val="0"/>
                <w:sz w:val="28"/>
                <w:szCs w:val="28"/>
                <w:lang w:val="en-US" w:eastAsia="zh-CN" w:bidi="ar-SA"/>
              </w:rPr>
              <w:t>梁</w:t>
            </w:r>
            <w:r>
              <w:rPr>
                <w:rFonts w:hint="eastAsia" w:cs="FangSong_GB2312"/>
                <w:snapToGrid w:val="0"/>
                <w:color w:val="000000"/>
                <w:spacing w:val="-2"/>
                <w:kern w:val="0"/>
                <w:sz w:val="28"/>
                <w:szCs w:val="28"/>
                <w:lang w:val="en-US" w:eastAsia="zh-CN" w:bidi="ar-SA"/>
              </w:rPr>
              <w:t>*</w:t>
            </w:r>
          </w:p>
        </w:tc>
        <w:tc>
          <w:tcPr>
            <w:tcW w:w="4674" w:type="dxa"/>
            <w:vAlign w:val="center"/>
          </w:tcPr>
          <w:p w14:paraId="1FC305DC">
            <w:pPr>
              <w:pStyle w:val="11"/>
              <w:spacing w:before="91" w:line="214" w:lineRule="auto"/>
              <w:jc w:val="center"/>
              <w:rPr>
                <w:rFonts w:ascii="FangSong_GB2312" w:hAnsi="FangSong_GB2312" w:eastAsia="FangSong_GB2312" w:cs="FangSong_GB2312"/>
                <w:snapToGrid w:val="0"/>
                <w:color w:val="000000"/>
                <w:spacing w:val="-2"/>
                <w:kern w:val="0"/>
                <w:sz w:val="28"/>
                <w:szCs w:val="28"/>
                <w:lang w:val="en-US" w:eastAsia="en-US" w:bidi="ar-SA"/>
              </w:rPr>
            </w:pPr>
            <w:r>
              <w:rPr>
                <w:rFonts w:ascii="FangSong_GB2312" w:hAnsi="FangSong_GB2312" w:eastAsia="FangSong_GB2312" w:cs="FangSong_GB2312"/>
                <w:snapToGrid w:val="0"/>
                <w:color w:val="000000"/>
                <w:spacing w:val="-2"/>
                <w:kern w:val="0"/>
                <w:sz w:val="28"/>
                <w:szCs w:val="28"/>
                <w:lang w:val="en-US" w:eastAsia="en-US" w:bidi="ar-SA"/>
              </w:rPr>
              <w:t>建议追究刑事责任</w:t>
            </w:r>
          </w:p>
        </w:tc>
        <w:tc>
          <w:tcPr>
            <w:tcW w:w="4921" w:type="dxa"/>
            <w:vAlign w:val="center"/>
          </w:tcPr>
          <w:p w14:paraId="0669FA59">
            <w:pPr>
              <w:pStyle w:val="11"/>
              <w:spacing w:before="133" w:line="238" w:lineRule="auto"/>
              <w:ind w:left="120" w:firstLine="8"/>
              <w:jc w:val="center"/>
              <w:rPr>
                <w:rFonts w:ascii="FangSong_GB2312" w:hAnsi="FangSong_GB2312" w:eastAsia="FangSong_GB2312" w:cs="FangSong_GB2312"/>
                <w:snapToGrid w:val="0"/>
                <w:color w:val="000000"/>
                <w:spacing w:val="-2"/>
                <w:kern w:val="0"/>
                <w:sz w:val="28"/>
                <w:szCs w:val="28"/>
                <w:lang w:val="en-US" w:eastAsia="en-US" w:bidi="ar-SA"/>
              </w:rPr>
            </w:pPr>
            <w:r>
              <w:rPr>
                <w:rFonts w:hint="default" w:ascii="FangSong_GB2312" w:hAnsi="FangSong_GB2312" w:eastAsia="FangSong_GB2312" w:cs="FangSong_GB2312"/>
                <w:snapToGrid w:val="0"/>
                <w:color w:val="000000"/>
                <w:spacing w:val="-2"/>
                <w:kern w:val="0"/>
                <w:sz w:val="28"/>
                <w:szCs w:val="28"/>
                <w:lang w:val="en-US" w:eastAsia="zh-CN" w:bidi="ar-SA"/>
              </w:rPr>
              <w:t>202</w:t>
            </w:r>
            <w:r>
              <w:rPr>
                <w:rFonts w:hint="eastAsia" w:ascii="FangSong_GB2312" w:hAnsi="FangSong_GB2312" w:eastAsia="FangSong_GB2312" w:cs="FangSong_GB2312"/>
                <w:snapToGrid w:val="0"/>
                <w:color w:val="000000"/>
                <w:spacing w:val="-2"/>
                <w:kern w:val="0"/>
                <w:sz w:val="28"/>
                <w:szCs w:val="28"/>
                <w:lang w:val="en-US" w:eastAsia="zh-CN" w:bidi="ar-SA"/>
              </w:rPr>
              <w:t>5</w:t>
            </w:r>
            <w:r>
              <w:rPr>
                <w:rFonts w:hint="default" w:ascii="FangSong_GB2312" w:hAnsi="FangSong_GB2312" w:eastAsia="FangSong_GB2312" w:cs="FangSong_GB2312"/>
                <w:snapToGrid w:val="0"/>
                <w:color w:val="000000"/>
                <w:spacing w:val="-2"/>
                <w:kern w:val="0"/>
                <w:sz w:val="28"/>
                <w:szCs w:val="28"/>
                <w:lang w:val="en-US" w:eastAsia="zh-CN" w:bidi="ar-SA"/>
              </w:rPr>
              <w:t>年</w:t>
            </w:r>
            <w:r>
              <w:rPr>
                <w:rFonts w:hint="eastAsia" w:ascii="FangSong_GB2312" w:hAnsi="FangSong_GB2312" w:eastAsia="FangSong_GB2312" w:cs="FangSong_GB2312"/>
                <w:snapToGrid w:val="0"/>
                <w:color w:val="000000"/>
                <w:spacing w:val="-2"/>
                <w:kern w:val="0"/>
                <w:sz w:val="28"/>
                <w:szCs w:val="28"/>
                <w:lang w:val="en-US" w:eastAsia="zh-CN" w:bidi="ar-SA"/>
              </w:rPr>
              <w:t>4</w:t>
            </w:r>
            <w:r>
              <w:rPr>
                <w:rFonts w:hint="default" w:ascii="FangSong_GB2312" w:hAnsi="FangSong_GB2312" w:eastAsia="FangSong_GB2312" w:cs="FangSong_GB2312"/>
                <w:snapToGrid w:val="0"/>
                <w:color w:val="000000"/>
                <w:spacing w:val="-2"/>
                <w:kern w:val="0"/>
                <w:sz w:val="28"/>
                <w:szCs w:val="28"/>
                <w:lang w:val="en-US" w:eastAsia="zh-CN" w:bidi="ar-SA"/>
              </w:rPr>
              <w:t>月</w:t>
            </w:r>
            <w:r>
              <w:rPr>
                <w:rFonts w:hint="eastAsia" w:ascii="FangSong_GB2312" w:hAnsi="FangSong_GB2312" w:eastAsia="FangSong_GB2312" w:cs="FangSong_GB2312"/>
                <w:snapToGrid w:val="0"/>
                <w:color w:val="000000"/>
                <w:spacing w:val="-2"/>
                <w:kern w:val="0"/>
                <w:sz w:val="28"/>
                <w:szCs w:val="28"/>
                <w:lang w:val="en-US" w:eastAsia="zh-CN" w:bidi="ar-SA"/>
              </w:rPr>
              <w:t>1</w:t>
            </w:r>
            <w:r>
              <w:rPr>
                <w:rFonts w:hint="default" w:ascii="FangSong_GB2312" w:hAnsi="FangSong_GB2312" w:eastAsia="FangSong_GB2312" w:cs="FangSong_GB2312"/>
                <w:snapToGrid w:val="0"/>
                <w:color w:val="000000"/>
                <w:spacing w:val="-2"/>
                <w:kern w:val="0"/>
                <w:sz w:val="28"/>
                <w:szCs w:val="28"/>
                <w:lang w:val="en-US" w:eastAsia="zh-CN" w:bidi="ar-SA"/>
              </w:rPr>
              <w:t>6日，</w:t>
            </w:r>
            <w:r>
              <w:rPr>
                <w:rFonts w:hint="eastAsia" w:ascii="FangSong_GB2312" w:hAnsi="FangSong_GB2312" w:eastAsia="FangSong_GB2312" w:cs="FangSong_GB2312"/>
                <w:snapToGrid w:val="0"/>
                <w:color w:val="000000"/>
                <w:spacing w:val="-2"/>
                <w:kern w:val="0"/>
                <w:sz w:val="28"/>
                <w:szCs w:val="28"/>
                <w:lang w:val="en-US" w:eastAsia="zh-CN" w:bidi="ar-SA"/>
              </w:rPr>
              <w:t>已移送</w:t>
            </w:r>
            <w:r>
              <w:rPr>
                <w:rFonts w:hint="default" w:ascii="FangSong_GB2312" w:hAnsi="FangSong_GB2312" w:eastAsia="FangSong_GB2312" w:cs="FangSong_GB2312"/>
                <w:snapToGrid w:val="0"/>
                <w:color w:val="000000"/>
                <w:spacing w:val="-2"/>
                <w:kern w:val="0"/>
                <w:sz w:val="28"/>
                <w:szCs w:val="28"/>
                <w:lang w:val="en-US" w:eastAsia="zh-CN" w:bidi="ar-SA"/>
              </w:rPr>
              <w:t>合肥市公安局</w:t>
            </w:r>
            <w:r>
              <w:rPr>
                <w:rFonts w:hint="eastAsia" w:ascii="FangSong_GB2312" w:hAnsi="FangSong_GB2312" w:eastAsia="FangSong_GB2312" w:cs="FangSong_GB2312"/>
                <w:snapToGrid w:val="0"/>
                <w:color w:val="000000"/>
                <w:spacing w:val="-2"/>
                <w:kern w:val="0"/>
                <w:sz w:val="28"/>
                <w:szCs w:val="28"/>
                <w:lang w:val="en-US" w:eastAsia="zh-CN" w:bidi="ar-SA"/>
              </w:rPr>
              <w:t>瑶海</w:t>
            </w:r>
            <w:r>
              <w:rPr>
                <w:rFonts w:hint="default" w:ascii="FangSong_GB2312" w:hAnsi="FangSong_GB2312" w:eastAsia="FangSong_GB2312" w:cs="FangSong_GB2312"/>
                <w:snapToGrid w:val="0"/>
                <w:color w:val="000000"/>
                <w:spacing w:val="-2"/>
                <w:kern w:val="0"/>
                <w:sz w:val="28"/>
                <w:szCs w:val="28"/>
                <w:lang w:val="en-US" w:eastAsia="zh-CN" w:bidi="ar-SA"/>
              </w:rPr>
              <w:t>分</w:t>
            </w:r>
            <w:r>
              <w:rPr>
                <w:rFonts w:hint="eastAsia" w:ascii="FangSong_GB2312" w:hAnsi="FangSong_GB2312" w:eastAsia="FangSong_GB2312" w:cs="FangSong_GB2312"/>
                <w:snapToGrid w:val="0"/>
                <w:color w:val="000000"/>
                <w:spacing w:val="-2"/>
                <w:kern w:val="0"/>
                <w:sz w:val="28"/>
                <w:szCs w:val="28"/>
                <w:lang w:val="en-US" w:eastAsia="zh-CN" w:bidi="ar-SA"/>
              </w:rPr>
              <w:t>局</w:t>
            </w:r>
            <w:r>
              <w:rPr>
                <w:rFonts w:ascii="FangSong_GB2312" w:hAnsi="FangSong_GB2312" w:eastAsia="FangSong_GB2312" w:cs="FangSong_GB2312"/>
                <w:snapToGrid w:val="0"/>
                <w:color w:val="000000"/>
                <w:spacing w:val="-2"/>
                <w:kern w:val="0"/>
                <w:sz w:val="28"/>
                <w:szCs w:val="28"/>
                <w:lang w:val="en-US" w:eastAsia="en-US" w:bidi="ar-SA"/>
              </w:rPr>
              <w:t>。</w:t>
            </w:r>
          </w:p>
        </w:tc>
      </w:tr>
      <w:tr w14:paraId="22539B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5" w:hRule="atLeast"/>
        </w:trPr>
        <w:tc>
          <w:tcPr>
            <w:tcW w:w="841" w:type="dxa"/>
            <w:vAlign w:val="center"/>
          </w:tcPr>
          <w:p w14:paraId="66E1E7D9">
            <w:pPr>
              <w:pStyle w:val="11"/>
              <w:spacing w:before="91" w:line="216" w:lineRule="auto"/>
              <w:ind w:left="120" w:leftChars="0"/>
              <w:jc w:val="center"/>
              <w:rPr>
                <w:rFonts w:hint="eastAsia" w:ascii="FangSong_GB2312" w:hAnsi="FangSong_GB2312" w:eastAsia="FangSong_GB2312" w:cs="FangSong_GB2312"/>
                <w:snapToGrid w:val="0"/>
                <w:color w:val="000000"/>
                <w:spacing w:val="-2"/>
                <w:kern w:val="0"/>
                <w:sz w:val="28"/>
                <w:szCs w:val="28"/>
                <w:lang w:val="en-US" w:eastAsia="zh-CN" w:bidi="ar-SA"/>
              </w:rPr>
            </w:pPr>
            <w:r>
              <w:rPr>
                <w:rFonts w:hint="eastAsia" w:ascii="FangSong_GB2312" w:hAnsi="FangSong_GB2312" w:eastAsia="FangSong_GB2312" w:cs="FangSong_GB2312"/>
                <w:snapToGrid w:val="0"/>
                <w:color w:val="000000"/>
                <w:spacing w:val="-2"/>
                <w:kern w:val="0"/>
                <w:sz w:val="28"/>
                <w:szCs w:val="28"/>
                <w:lang w:val="en-US" w:eastAsia="zh-CN" w:bidi="ar-SA"/>
              </w:rPr>
              <w:t>2</w:t>
            </w:r>
          </w:p>
        </w:tc>
        <w:tc>
          <w:tcPr>
            <w:tcW w:w="2692" w:type="dxa"/>
            <w:vAlign w:val="center"/>
          </w:tcPr>
          <w:p w14:paraId="34F4B1FA">
            <w:pPr>
              <w:pStyle w:val="11"/>
              <w:spacing w:before="91" w:line="216" w:lineRule="auto"/>
              <w:ind w:left="120" w:leftChars="0"/>
              <w:jc w:val="center"/>
              <w:rPr>
                <w:rFonts w:ascii="FangSong_GB2312" w:hAnsi="FangSong_GB2312" w:eastAsia="FangSong_GB2312" w:cs="FangSong_GB2312"/>
                <w:snapToGrid w:val="0"/>
                <w:color w:val="000000"/>
                <w:spacing w:val="-2"/>
                <w:kern w:val="0"/>
                <w:sz w:val="28"/>
                <w:szCs w:val="28"/>
                <w:lang w:val="en-US" w:eastAsia="en-US" w:bidi="ar-SA"/>
              </w:rPr>
            </w:pPr>
            <w:r>
              <w:rPr>
                <w:rFonts w:hint="eastAsia" w:ascii="FangSong_GB2312" w:hAnsi="FangSong_GB2312" w:eastAsia="FangSong_GB2312" w:cs="FangSong_GB2312"/>
                <w:snapToGrid w:val="0"/>
                <w:color w:val="000000"/>
                <w:spacing w:val="-2"/>
                <w:kern w:val="0"/>
                <w:sz w:val="28"/>
                <w:szCs w:val="28"/>
                <w:lang w:val="en-US" w:eastAsia="zh-CN" w:bidi="ar-SA"/>
              </w:rPr>
              <w:t>合肥康通机电设备有限公司</w:t>
            </w:r>
          </w:p>
        </w:tc>
        <w:tc>
          <w:tcPr>
            <w:tcW w:w="4674" w:type="dxa"/>
            <w:vAlign w:val="center"/>
          </w:tcPr>
          <w:p w14:paraId="2919449D">
            <w:pPr>
              <w:pStyle w:val="11"/>
              <w:spacing w:before="91" w:line="216" w:lineRule="auto"/>
              <w:jc w:val="center"/>
              <w:rPr>
                <w:rFonts w:ascii="FangSong_GB2312" w:hAnsi="FangSong_GB2312" w:eastAsia="FangSong_GB2312" w:cs="FangSong_GB2312"/>
                <w:snapToGrid w:val="0"/>
                <w:color w:val="000000"/>
                <w:spacing w:val="-2"/>
                <w:kern w:val="0"/>
                <w:sz w:val="28"/>
                <w:szCs w:val="28"/>
                <w:lang w:val="en-US" w:eastAsia="en-US" w:bidi="ar-SA"/>
              </w:rPr>
            </w:pPr>
            <w:r>
              <w:rPr>
                <w:rFonts w:ascii="FangSong_GB2312" w:hAnsi="FangSong_GB2312" w:eastAsia="FangSong_GB2312" w:cs="FangSong_GB2312"/>
                <w:snapToGrid w:val="0"/>
                <w:color w:val="000000"/>
                <w:spacing w:val="-2"/>
                <w:kern w:val="0"/>
                <w:sz w:val="28"/>
                <w:szCs w:val="28"/>
                <w:lang w:val="en-US" w:eastAsia="en-US" w:bidi="ar-SA"/>
              </w:rPr>
              <w:t>给予人民币</w:t>
            </w:r>
            <w:r>
              <w:rPr>
                <w:rFonts w:hint="eastAsia" w:ascii="FangSong_GB2312" w:hAnsi="FangSong_GB2312" w:eastAsia="FangSong_GB2312" w:cs="FangSong_GB2312"/>
                <w:snapToGrid w:val="0"/>
                <w:color w:val="000000"/>
                <w:spacing w:val="-2"/>
                <w:kern w:val="0"/>
                <w:sz w:val="28"/>
                <w:szCs w:val="28"/>
                <w:lang w:val="en-US" w:eastAsia="zh-CN" w:bidi="ar-SA"/>
              </w:rPr>
              <w:t>伍</w:t>
            </w:r>
            <w:r>
              <w:rPr>
                <w:rFonts w:hint="default" w:ascii="FangSong_GB2312" w:hAnsi="FangSong_GB2312" w:eastAsia="FangSong_GB2312" w:cs="FangSong_GB2312"/>
                <w:snapToGrid w:val="0"/>
                <w:color w:val="000000"/>
                <w:spacing w:val="-2"/>
                <w:kern w:val="0"/>
                <w:sz w:val="28"/>
                <w:szCs w:val="28"/>
                <w:lang w:val="en-US" w:eastAsia="zh-CN" w:bidi="ar-SA"/>
              </w:rPr>
              <w:t>拾</w:t>
            </w:r>
            <w:r>
              <w:rPr>
                <w:rFonts w:hint="eastAsia" w:ascii="FangSong_GB2312" w:hAnsi="FangSong_GB2312" w:eastAsia="FangSong_GB2312" w:cs="FangSong_GB2312"/>
                <w:snapToGrid w:val="0"/>
                <w:color w:val="000000"/>
                <w:spacing w:val="-2"/>
                <w:kern w:val="0"/>
                <w:sz w:val="28"/>
                <w:szCs w:val="28"/>
                <w:lang w:val="en-US" w:eastAsia="zh-CN" w:bidi="ar-SA"/>
              </w:rPr>
              <w:t>伍</w:t>
            </w:r>
            <w:r>
              <w:rPr>
                <w:rFonts w:ascii="FangSong_GB2312" w:hAnsi="FangSong_GB2312" w:eastAsia="FangSong_GB2312" w:cs="FangSong_GB2312"/>
                <w:snapToGrid w:val="0"/>
                <w:color w:val="000000"/>
                <w:spacing w:val="-2"/>
                <w:kern w:val="0"/>
                <w:sz w:val="28"/>
                <w:szCs w:val="28"/>
                <w:lang w:val="en-US" w:eastAsia="en-US" w:bidi="ar-SA"/>
              </w:rPr>
              <w:t>万元整罚款</w:t>
            </w:r>
          </w:p>
        </w:tc>
        <w:tc>
          <w:tcPr>
            <w:tcW w:w="4921" w:type="dxa"/>
            <w:vAlign w:val="center"/>
          </w:tcPr>
          <w:p w14:paraId="2AC19069">
            <w:pPr>
              <w:pStyle w:val="11"/>
              <w:spacing w:before="91" w:line="216" w:lineRule="auto"/>
              <w:ind w:left="120" w:leftChars="0"/>
              <w:jc w:val="center"/>
              <w:rPr>
                <w:rFonts w:hint="default" w:ascii="FangSong_GB2312" w:hAnsi="FangSong_GB2312" w:eastAsia="FangSong_GB2312" w:cs="FangSong_GB2312"/>
                <w:snapToGrid w:val="0"/>
                <w:color w:val="000000"/>
                <w:spacing w:val="-2"/>
                <w:kern w:val="0"/>
                <w:sz w:val="28"/>
                <w:szCs w:val="28"/>
                <w:lang w:val="en-US" w:eastAsia="zh-CN" w:bidi="ar-SA"/>
              </w:rPr>
            </w:pPr>
            <w:r>
              <w:rPr>
                <w:rFonts w:hint="eastAsia" w:ascii="FangSong_GB2312" w:hAnsi="FangSong_GB2312" w:eastAsia="FangSong_GB2312" w:cs="FangSong_GB2312"/>
                <w:snapToGrid w:val="0"/>
                <w:color w:val="000000"/>
                <w:spacing w:val="-2"/>
                <w:kern w:val="0"/>
                <w:sz w:val="28"/>
                <w:szCs w:val="28"/>
                <w:lang w:val="en-US" w:eastAsia="zh-CN" w:bidi="ar-SA"/>
              </w:rPr>
              <w:t>未缴纳罚款。</w:t>
            </w:r>
          </w:p>
        </w:tc>
      </w:tr>
      <w:tr w14:paraId="1B0DC8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5" w:hRule="atLeast"/>
        </w:trPr>
        <w:tc>
          <w:tcPr>
            <w:tcW w:w="841" w:type="dxa"/>
            <w:vAlign w:val="center"/>
          </w:tcPr>
          <w:p w14:paraId="2799214B">
            <w:pPr>
              <w:pStyle w:val="11"/>
              <w:spacing w:before="91" w:line="216" w:lineRule="auto"/>
              <w:ind w:left="120" w:leftChars="0"/>
              <w:jc w:val="center"/>
              <w:rPr>
                <w:rFonts w:hint="eastAsia" w:ascii="FangSong_GB2312" w:hAnsi="FangSong_GB2312" w:eastAsia="FangSong_GB2312" w:cs="FangSong_GB2312"/>
                <w:snapToGrid w:val="0"/>
                <w:color w:val="000000"/>
                <w:spacing w:val="-2"/>
                <w:kern w:val="0"/>
                <w:sz w:val="28"/>
                <w:szCs w:val="28"/>
                <w:lang w:val="en-US" w:eastAsia="zh-CN" w:bidi="ar-SA"/>
              </w:rPr>
            </w:pPr>
            <w:r>
              <w:rPr>
                <w:rFonts w:hint="eastAsia" w:ascii="FangSong_GB2312" w:hAnsi="FangSong_GB2312" w:eastAsia="FangSong_GB2312" w:cs="FangSong_GB2312"/>
                <w:snapToGrid w:val="0"/>
                <w:color w:val="000000"/>
                <w:spacing w:val="-2"/>
                <w:kern w:val="0"/>
                <w:sz w:val="28"/>
                <w:szCs w:val="28"/>
                <w:lang w:val="en-US" w:eastAsia="zh-CN" w:bidi="ar-SA"/>
              </w:rPr>
              <w:t>3</w:t>
            </w:r>
          </w:p>
        </w:tc>
        <w:tc>
          <w:tcPr>
            <w:tcW w:w="2692" w:type="dxa"/>
            <w:vAlign w:val="center"/>
          </w:tcPr>
          <w:p w14:paraId="6759012F">
            <w:pPr>
              <w:pStyle w:val="11"/>
              <w:spacing w:before="91" w:line="216" w:lineRule="auto"/>
              <w:ind w:left="120" w:leftChars="0"/>
              <w:jc w:val="center"/>
              <w:rPr>
                <w:rFonts w:hint="default" w:ascii="FangSong_GB2312" w:hAnsi="FangSong_GB2312" w:eastAsia="FangSong_GB2312" w:cs="FangSong_GB2312"/>
                <w:snapToGrid w:val="0"/>
                <w:color w:val="000000"/>
                <w:spacing w:val="-2"/>
                <w:kern w:val="0"/>
                <w:sz w:val="28"/>
                <w:szCs w:val="28"/>
                <w:lang w:val="en-US" w:eastAsia="en-US" w:bidi="ar-SA"/>
              </w:rPr>
            </w:pPr>
            <w:r>
              <w:rPr>
                <w:rFonts w:hint="eastAsia" w:ascii="FangSong_GB2312" w:hAnsi="FangSong_GB2312" w:eastAsia="FangSong_GB2312" w:cs="FangSong_GB2312"/>
                <w:snapToGrid w:val="0"/>
                <w:color w:val="000000"/>
                <w:spacing w:val="-2"/>
                <w:kern w:val="0"/>
                <w:sz w:val="28"/>
                <w:szCs w:val="28"/>
                <w:lang w:val="en-US" w:eastAsia="zh-CN" w:bidi="ar-SA"/>
              </w:rPr>
              <w:t>方庙街道办事处</w:t>
            </w:r>
          </w:p>
        </w:tc>
        <w:tc>
          <w:tcPr>
            <w:tcW w:w="4674" w:type="dxa"/>
            <w:vAlign w:val="center"/>
          </w:tcPr>
          <w:p w14:paraId="32510F40">
            <w:pPr>
              <w:pStyle w:val="11"/>
              <w:spacing w:before="91" w:line="216" w:lineRule="auto"/>
              <w:jc w:val="center"/>
              <w:rPr>
                <w:rFonts w:ascii="FangSong_GB2312" w:hAnsi="FangSong_GB2312" w:eastAsia="FangSong_GB2312" w:cs="FangSong_GB2312"/>
                <w:snapToGrid w:val="0"/>
                <w:color w:val="000000"/>
                <w:spacing w:val="-2"/>
                <w:kern w:val="0"/>
                <w:sz w:val="28"/>
                <w:szCs w:val="28"/>
                <w:lang w:val="en-US" w:eastAsia="en-US" w:bidi="ar-SA"/>
              </w:rPr>
            </w:pPr>
            <w:r>
              <w:rPr>
                <w:rFonts w:ascii="FangSong_GB2312" w:hAnsi="FangSong_GB2312" w:eastAsia="FangSong_GB2312" w:cs="FangSong_GB2312"/>
                <w:snapToGrid w:val="0"/>
                <w:color w:val="000000"/>
                <w:spacing w:val="-2"/>
                <w:kern w:val="0"/>
                <w:sz w:val="28"/>
                <w:szCs w:val="28"/>
                <w:lang w:val="en-US" w:eastAsia="en-US" w:bidi="ar-SA"/>
              </w:rPr>
              <w:t>作出深刻书面检查</w:t>
            </w:r>
          </w:p>
        </w:tc>
        <w:tc>
          <w:tcPr>
            <w:tcW w:w="4921" w:type="dxa"/>
            <w:vAlign w:val="center"/>
          </w:tcPr>
          <w:p w14:paraId="7C67B962">
            <w:pPr>
              <w:pStyle w:val="11"/>
              <w:spacing w:before="91" w:line="216" w:lineRule="auto"/>
              <w:ind w:left="120" w:leftChars="0"/>
              <w:jc w:val="center"/>
              <w:rPr>
                <w:rFonts w:ascii="FangSong_GB2312" w:hAnsi="FangSong_GB2312" w:eastAsia="FangSong_GB2312" w:cs="FangSong_GB2312"/>
                <w:snapToGrid w:val="0"/>
                <w:color w:val="000000"/>
                <w:spacing w:val="-2"/>
                <w:kern w:val="0"/>
                <w:sz w:val="28"/>
                <w:szCs w:val="28"/>
                <w:lang w:val="en-US" w:eastAsia="en-US" w:bidi="ar-SA"/>
              </w:rPr>
            </w:pPr>
            <w:r>
              <w:rPr>
                <w:rFonts w:hint="eastAsia" w:ascii="FangSong_GB2312" w:hAnsi="FangSong_GB2312" w:eastAsia="FangSong_GB2312" w:cs="FangSong_GB2312"/>
                <w:snapToGrid w:val="0"/>
                <w:color w:val="auto"/>
                <w:spacing w:val="-2"/>
                <w:kern w:val="0"/>
                <w:sz w:val="28"/>
                <w:szCs w:val="28"/>
                <w:shd w:val="clear"/>
                <w:lang w:val="en-US" w:eastAsia="en-US" w:bidi="ar-SA"/>
              </w:rPr>
              <w:t>20</w:t>
            </w:r>
            <w:r>
              <w:rPr>
                <w:rFonts w:hint="eastAsia" w:cs="FangSong_GB2312"/>
                <w:snapToGrid w:val="0"/>
                <w:color w:val="auto"/>
                <w:spacing w:val="-2"/>
                <w:kern w:val="0"/>
                <w:sz w:val="28"/>
                <w:szCs w:val="28"/>
                <w:shd w:val="clear"/>
                <w:lang w:val="en-US" w:eastAsia="zh-CN" w:bidi="ar-SA"/>
              </w:rPr>
              <w:t>24</w:t>
            </w:r>
            <w:r>
              <w:rPr>
                <w:rFonts w:hint="default" w:ascii="FangSong_GB2312" w:hAnsi="FangSong_GB2312" w:eastAsia="FangSong_GB2312" w:cs="FangSong_GB2312"/>
                <w:snapToGrid w:val="0"/>
                <w:color w:val="auto"/>
                <w:spacing w:val="-2"/>
                <w:kern w:val="0"/>
                <w:sz w:val="28"/>
                <w:szCs w:val="28"/>
                <w:shd w:val="clear"/>
                <w:lang w:val="en-US" w:eastAsia="en-US" w:bidi="ar-SA"/>
              </w:rPr>
              <w:t>年</w:t>
            </w:r>
            <w:r>
              <w:rPr>
                <w:rFonts w:hint="eastAsia" w:cs="FangSong_GB2312"/>
                <w:snapToGrid w:val="0"/>
                <w:color w:val="auto"/>
                <w:spacing w:val="-2"/>
                <w:kern w:val="0"/>
                <w:sz w:val="28"/>
                <w:szCs w:val="28"/>
                <w:shd w:val="clear"/>
                <w:lang w:val="en-US" w:eastAsia="zh-CN" w:bidi="ar-SA"/>
              </w:rPr>
              <w:t>10</w:t>
            </w:r>
            <w:r>
              <w:rPr>
                <w:rFonts w:hint="default" w:ascii="FangSong_GB2312" w:hAnsi="FangSong_GB2312" w:eastAsia="FangSong_GB2312" w:cs="FangSong_GB2312"/>
                <w:snapToGrid w:val="0"/>
                <w:color w:val="auto"/>
                <w:spacing w:val="-2"/>
                <w:kern w:val="0"/>
                <w:sz w:val="28"/>
                <w:szCs w:val="28"/>
                <w:shd w:val="clear"/>
                <w:lang w:val="en-US" w:eastAsia="en-US" w:bidi="ar-SA"/>
              </w:rPr>
              <w:t>月</w:t>
            </w:r>
            <w:r>
              <w:rPr>
                <w:rFonts w:hint="eastAsia" w:cs="FangSong_GB2312"/>
                <w:snapToGrid w:val="0"/>
                <w:color w:val="auto"/>
                <w:spacing w:val="-2"/>
                <w:kern w:val="0"/>
                <w:sz w:val="28"/>
                <w:szCs w:val="28"/>
                <w:shd w:val="clear"/>
                <w:lang w:val="en-US" w:eastAsia="zh-CN" w:bidi="ar-SA"/>
              </w:rPr>
              <w:t>13</w:t>
            </w:r>
            <w:r>
              <w:rPr>
                <w:rFonts w:hint="default" w:ascii="FangSong_GB2312" w:hAnsi="FangSong_GB2312" w:eastAsia="FangSong_GB2312" w:cs="FangSong_GB2312"/>
                <w:snapToGrid w:val="0"/>
                <w:color w:val="auto"/>
                <w:spacing w:val="-2"/>
                <w:kern w:val="0"/>
                <w:sz w:val="28"/>
                <w:szCs w:val="28"/>
                <w:shd w:val="clear"/>
                <w:lang w:val="en-US" w:eastAsia="en-US" w:bidi="ar-SA"/>
              </w:rPr>
              <w:t>日，</w:t>
            </w:r>
            <w:r>
              <w:rPr>
                <w:rFonts w:hint="default" w:ascii="FangSong_GB2312" w:hAnsi="FangSong_GB2312" w:eastAsia="FangSong_GB2312" w:cs="FangSong_GB2312"/>
                <w:snapToGrid w:val="0"/>
                <w:color w:val="000000"/>
                <w:spacing w:val="-2"/>
                <w:kern w:val="0"/>
                <w:sz w:val="28"/>
                <w:szCs w:val="28"/>
                <w:shd w:val="clear"/>
                <w:lang w:val="en-US" w:eastAsia="en-US" w:bidi="ar-SA"/>
              </w:rPr>
              <w:t>向瑶海区政府作出深刻书面检查。</w:t>
            </w:r>
          </w:p>
        </w:tc>
      </w:tr>
      <w:tr w14:paraId="10915A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5" w:hRule="atLeast"/>
        </w:trPr>
        <w:tc>
          <w:tcPr>
            <w:tcW w:w="841" w:type="dxa"/>
            <w:vAlign w:val="center"/>
          </w:tcPr>
          <w:p w14:paraId="1F232673">
            <w:pPr>
              <w:pStyle w:val="11"/>
              <w:spacing w:before="91" w:line="216" w:lineRule="auto"/>
              <w:ind w:left="120" w:leftChars="0"/>
              <w:jc w:val="center"/>
              <w:rPr>
                <w:rFonts w:hint="eastAsia" w:ascii="FangSong_GB2312" w:hAnsi="FangSong_GB2312" w:eastAsia="FangSong_GB2312" w:cs="FangSong_GB2312"/>
                <w:snapToGrid w:val="0"/>
                <w:color w:val="000000"/>
                <w:spacing w:val="-2"/>
                <w:kern w:val="0"/>
                <w:sz w:val="28"/>
                <w:szCs w:val="28"/>
                <w:lang w:val="en-US" w:eastAsia="zh-CN" w:bidi="ar-SA"/>
              </w:rPr>
            </w:pPr>
            <w:r>
              <w:rPr>
                <w:rFonts w:hint="eastAsia" w:ascii="FangSong_GB2312" w:hAnsi="FangSong_GB2312" w:eastAsia="FangSong_GB2312" w:cs="FangSong_GB2312"/>
                <w:snapToGrid w:val="0"/>
                <w:color w:val="000000"/>
                <w:spacing w:val="-2"/>
                <w:kern w:val="0"/>
                <w:sz w:val="28"/>
                <w:szCs w:val="28"/>
                <w:lang w:val="en-US" w:eastAsia="zh-CN" w:bidi="ar-SA"/>
              </w:rPr>
              <w:t>4</w:t>
            </w:r>
          </w:p>
        </w:tc>
        <w:tc>
          <w:tcPr>
            <w:tcW w:w="2692" w:type="dxa"/>
            <w:vAlign w:val="center"/>
          </w:tcPr>
          <w:p w14:paraId="39D3574D">
            <w:pPr>
              <w:pStyle w:val="11"/>
              <w:spacing w:before="91" w:line="216" w:lineRule="auto"/>
              <w:ind w:left="120" w:leftChars="0"/>
              <w:jc w:val="center"/>
              <w:rPr>
                <w:rFonts w:hint="eastAsia" w:ascii="FangSong_GB2312" w:hAnsi="FangSong_GB2312" w:eastAsia="FangSong_GB2312" w:cs="FangSong_GB2312"/>
                <w:snapToGrid w:val="0"/>
                <w:color w:val="000000"/>
                <w:spacing w:val="-2"/>
                <w:kern w:val="0"/>
                <w:sz w:val="28"/>
                <w:szCs w:val="28"/>
                <w:lang w:val="en-US" w:eastAsia="zh-CN" w:bidi="ar-SA"/>
              </w:rPr>
            </w:pPr>
            <w:r>
              <w:rPr>
                <w:rFonts w:hint="eastAsia" w:ascii="FangSong_GB2312" w:hAnsi="FangSong_GB2312" w:eastAsia="FangSong_GB2312" w:cs="FangSong_GB2312"/>
                <w:snapToGrid w:val="0"/>
                <w:color w:val="000000"/>
                <w:spacing w:val="-2"/>
                <w:kern w:val="0"/>
                <w:sz w:val="28"/>
                <w:szCs w:val="28"/>
                <w:lang w:val="en-US" w:eastAsia="zh-CN" w:bidi="ar-SA"/>
              </w:rPr>
              <w:t>区住建局</w:t>
            </w:r>
          </w:p>
        </w:tc>
        <w:tc>
          <w:tcPr>
            <w:tcW w:w="4674" w:type="dxa"/>
            <w:vAlign w:val="center"/>
          </w:tcPr>
          <w:p w14:paraId="4CD2645F">
            <w:pPr>
              <w:pStyle w:val="11"/>
              <w:spacing w:before="91" w:line="216" w:lineRule="auto"/>
              <w:ind w:left="120" w:leftChars="0"/>
              <w:jc w:val="center"/>
              <w:rPr>
                <w:rFonts w:ascii="FangSong_GB2312" w:hAnsi="FangSong_GB2312" w:eastAsia="FangSong_GB2312" w:cs="FangSong_GB2312"/>
                <w:snapToGrid w:val="0"/>
                <w:color w:val="000000"/>
                <w:spacing w:val="-2"/>
                <w:kern w:val="0"/>
                <w:sz w:val="28"/>
                <w:szCs w:val="28"/>
                <w:lang w:val="en-US" w:eastAsia="en-US" w:bidi="ar-SA"/>
              </w:rPr>
            </w:pPr>
            <w:r>
              <w:rPr>
                <w:rFonts w:ascii="FangSong_GB2312" w:hAnsi="FangSong_GB2312" w:eastAsia="FangSong_GB2312" w:cs="FangSong_GB2312"/>
                <w:snapToGrid w:val="0"/>
                <w:color w:val="000000"/>
                <w:spacing w:val="-2"/>
                <w:kern w:val="0"/>
                <w:sz w:val="28"/>
                <w:szCs w:val="28"/>
                <w:lang w:val="en-US" w:eastAsia="en-US" w:bidi="ar-SA"/>
              </w:rPr>
              <w:t>作出深刻书面检查</w:t>
            </w:r>
          </w:p>
        </w:tc>
        <w:tc>
          <w:tcPr>
            <w:tcW w:w="4921" w:type="dxa"/>
            <w:vAlign w:val="center"/>
          </w:tcPr>
          <w:p w14:paraId="6A1B35F5">
            <w:pPr>
              <w:pStyle w:val="11"/>
              <w:spacing w:before="91" w:line="216" w:lineRule="auto"/>
              <w:ind w:left="120" w:leftChars="0"/>
              <w:jc w:val="center"/>
              <w:rPr>
                <w:rFonts w:ascii="FangSong_GB2312" w:hAnsi="FangSong_GB2312" w:eastAsia="FangSong_GB2312" w:cs="FangSong_GB2312"/>
                <w:snapToGrid w:val="0"/>
                <w:color w:val="000000"/>
                <w:spacing w:val="-2"/>
                <w:kern w:val="0"/>
                <w:sz w:val="28"/>
                <w:szCs w:val="28"/>
                <w:lang w:val="en-US" w:eastAsia="en-US" w:bidi="ar-SA"/>
              </w:rPr>
            </w:pPr>
            <w:r>
              <w:rPr>
                <w:rFonts w:hint="eastAsia" w:ascii="FangSong_GB2312" w:hAnsi="FangSong_GB2312" w:eastAsia="FangSong_GB2312" w:cs="FangSong_GB2312"/>
                <w:snapToGrid w:val="0"/>
                <w:color w:val="000000"/>
                <w:spacing w:val="-2"/>
                <w:kern w:val="0"/>
                <w:sz w:val="28"/>
                <w:szCs w:val="28"/>
                <w:lang w:val="en-US" w:eastAsia="en-US" w:bidi="ar-SA"/>
              </w:rPr>
              <w:t>2024</w:t>
            </w:r>
            <w:r>
              <w:rPr>
                <w:rFonts w:hint="default" w:ascii="FangSong_GB2312" w:hAnsi="FangSong_GB2312" w:eastAsia="FangSong_GB2312" w:cs="FangSong_GB2312"/>
                <w:snapToGrid w:val="0"/>
                <w:color w:val="000000"/>
                <w:spacing w:val="-2"/>
                <w:kern w:val="0"/>
                <w:sz w:val="28"/>
                <w:szCs w:val="28"/>
                <w:lang w:val="en-US" w:eastAsia="en-US" w:bidi="ar-SA"/>
              </w:rPr>
              <w:t>年</w:t>
            </w:r>
            <w:r>
              <w:rPr>
                <w:rFonts w:hint="eastAsia" w:ascii="FangSong_GB2312" w:hAnsi="FangSong_GB2312" w:eastAsia="FangSong_GB2312" w:cs="FangSong_GB2312"/>
                <w:snapToGrid w:val="0"/>
                <w:color w:val="000000"/>
                <w:spacing w:val="-2"/>
                <w:kern w:val="0"/>
                <w:sz w:val="28"/>
                <w:szCs w:val="28"/>
                <w:lang w:val="en-US" w:eastAsia="en-US" w:bidi="ar-SA"/>
              </w:rPr>
              <w:t>12</w:t>
            </w:r>
            <w:r>
              <w:rPr>
                <w:rFonts w:hint="default" w:ascii="FangSong_GB2312" w:hAnsi="FangSong_GB2312" w:eastAsia="FangSong_GB2312" w:cs="FangSong_GB2312"/>
                <w:snapToGrid w:val="0"/>
                <w:color w:val="000000"/>
                <w:spacing w:val="-2"/>
                <w:kern w:val="0"/>
                <w:sz w:val="28"/>
                <w:szCs w:val="28"/>
                <w:lang w:val="en-US" w:eastAsia="en-US" w:bidi="ar-SA"/>
              </w:rPr>
              <w:t>月</w:t>
            </w:r>
            <w:r>
              <w:rPr>
                <w:rFonts w:hint="eastAsia" w:ascii="FangSong_GB2312" w:hAnsi="FangSong_GB2312" w:eastAsia="FangSong_GB2312" w:cs="FangSong_GB2312"/>
                <w:snapToGrid w:val="0"/>
                <w:color w:val="000000"/>
                <w:spacing w:val="-2"/>
                <w:kern w:val="0"/>
                <w:sz w:val="28"/>
                <w:szCs w:val="28"/>
                <w:lang w:val="en-US" w:eastAsia="en-US" w:bidi="ar-SA"/>
              </w:rPr>
              <w:t>5</w:t>
            </w:r>
            <w:r>
              <w:rPr>
                <w:rFonts w:hint="default" w:ascii="FangSong_GB2312" w:hAnsi="FangSong_GB2312" w:eastAsia="FangSong_GB2312" w:cs="FangSong_GB2312"/>
                <w:snapToGrid w:val="0"/>
                <w:color w:val="000000"/>
                <w:spacing w:val="-2"/>
                <w:kern w:val="0"/>
                <w:sz w:val="28"/>
                <w:szCs w:val="28"/>
                <w:lang w:val="en-US" w:eastAsia="en-US" w:bidi="ar-SA"/>
              </w:rPr>
              <w:t>日，向瑶海区政府作出深刻书面检查。</w:t>
            </w:r>
          </w:p>
        </w:tc>
      </w:tr>
    </w:tbl>
    <w:p w14:paraId="4E98650E">
      <w:pPr>
        <w:rPr>
          <w:rFonts w:ascii="Arial"/>
          <w:sz w:val="21"/>
        </w:rPr>
      </w:pPr>
    </w:p>
    <w:sectPr>
      <w:headerReference r:id="rId6" w:type="default"/>
      <w:footerReference r:id="rId7" w:type="default"/>
      <w:pgSz w:w="16839" w:h="11906"/>
      <w:pgMar w:top="400" w:right="1852" w:bottom="1158" w:left="1468" w:header="0" w:footer="789"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E1C3B68F-1680-4A3E-97BC-E84432963F78}"/>
  </w:font>
  <w:font w:name="黑体">
    <w:panose1 w:val="02010609060101010101"/>
    <w:charset w:val="86"/>
    <w:family w:val="auto"/>
    <w:pitch w:val="default"/>
    <w:sig w:usb0="800002BF" w:usb1="38CF7CFA" w:usb2="00000016" w:usb3="00000000" w:csb0="00040001" w:csb1="00000000"/>
    <w:embedRegular r:id="rId2" w:fontKey="{701D1C13-C9A7-4C54-92AC-ADE63B08BE7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embedRegular r:id="rId3" w:fontKey="{416AC18C-6745-4137-8CC7-EEF6A30C45DF}"/>
  </w:font>
  <w:font w:name="Arial Black">
    <w:panose1 w:val="020B0A04020102020204"/>
    <w:charset w:val="00"/>
    <w:family w:val="swiss"/>
    <w:pitch w:val="default"/>
    <w:sig w:usb0="00000287" w:usb1="00000000" w:usb2="00000000" w:usb3="00000000" w:csb0="2000009F" w:csb1="DFD70000"/>
  </w:font>
  <w:font w:name="FangSong_GB2312">
    <w:altName w:val="仿宋"/>
    <w:panose1 w:val="02010609030101010101"/>
    <w:charset w:val="86"/>
    <w:family w:val="auto"/>
    <w:pitch w:val="default"/>
    <w:sig w:usb0="00000000" w:usb1="00000000" w:usb2="00000000" w:usb3="00000000" w:csb0="00040000" w:csb1="00000000"/>
    <w:embedRegular r:id="rId4" w:fontKey="{B52FED84-B6E2-45CD-BA73-ABBC04F24F93}"/>
  </w:font>
  <w:font w:name="方正小标宋简体">
    <w:panose1 w:val="02000000000000000000"/>
    <w:charset w:val="86"/>
    <w:family w:val="auto"/>
    <w:pitch w:val="default"/>
    <w:sig w:usb0="00000001" w:usb1="08000000" w:usb2="00000000" w:usb3="00000000" w:csb0="00040000" w:csb1="00000000"/>
    <w:embedRegular r:id="rId5" w:fontKey="{F9B1CA0E-861D-49B6-8836-D8F4EE9A8BC7}"/>
  </w:font>
  <w:font w:name="楷体_GB2312">
    <w:altName w:val="楷体"/>
    <w:panose1 w:val="02010609030101010101"/>
    <w:charset w:val="86"/>
    <w:family w:val="auto"/>
    <w:pitch w:val="default"/>
    <w:sig w:usb0="00000000" w:usb1="00000000" w:usb2="00000000" w:usb3="00000000" w:csb0="00040000" w:csb1="00000000"/>
    <w:embedRegular r:id="rId6" w:fontKey="{998F8F33-D489-4ABF-A9FC-A4E8E3962438}"/>
  </w:font>
  <w:font w:name="KaiTi_GB2312">
    <w:altName w:val="楷体"/>
    <w:panose1 w:val="02010609030101010101"/>
    <w:charset w:val="86"/>
    <w:family w:val="auto"/>
    <w:pitch w:val="default"/>
    <w:sig w:usb0="00000000" w:usb1="00000000" w:usb2="00000000" w:usb3="00000000" w:csb0="00040000" w:csb1="00000000"/>
    <w:embedRegular r:id="rId7" w:fontKey="{A017626D-4306-4D6D-833E-729F75431ED1}"/>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03B81">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1FD687">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51FD687">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3FBE5">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8FC88E">
                          <w:pPr>
                            <w:pStyle w:val="5"/>
                          </w:pPr>
                          <w:r>
                            <w:fldChar w:fldCharType="begin"/>
                          </w:r>
                          <w:r>
                            <w:instrText xml:space="preserve"> PAGE  \* MERGEFORMAT </w:instrText>
                          </w:r>
                          <w:r>
                            <w:fldChar w:fldCharType="separate"/>
                          </w:r>
                          <w:r>
                            <w:t>- 6 -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18FC88E">
                    <w:pPr>
                      <w:pStyle w:val="5"/>
                    </w:pPr>
                    <w:r>
                      <w:fldChar w:fldCharType="begin"/>
                    </w:r>
                    <w:r>
                      <w:instrText xml:space="preserve"> PAGE  \* MERGEFORMAT </w:instrText>
                    </w:r>
                    <w:r>
                      <w:fldChar w:fldCharType="separate"/>
                    </w:r>
                    <w:r>
                      <w:t>- 6 -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3EAEA">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0D9637F"/>
    <w:rsid w:val="00E43BA2"/>
    <w:rsid w:val="014F6641"/>
    <w:rsid w:val="03864812"/>
    <w:rsid w:val="046B19E4"/>
    <w:rsid w:val="05031C1C"/>
    <w:rsid w:val="066466EB"/>
    <w:rsid w:val="07132099"/>
    <w:rsid w:val="07DC193F"/>
    <w:rsid w:val="08D153C3"/>
    <w:rsid w:val="0ABA2D7D"/>
    <w:rsid w:val="0B816C1D"/>
    <w:rsid w:val="0BBA20CB"/>
    <w:rsid w:val="0DEA59A1"/>
    <w:rsid w:val="10901D27"/>
    <w:rsid w:val="118F1759"/>
    <w:rsid w:val="13751E98"/>
    <w:rsid w:val="137A3EB9"/>
    <w:rsid w:val="14496F20"/>
    <w:rsid w:val="147F686F"/>
    <w:rsid w:val="17C27715"/>
    <w:rsid w:val="17F83137"/>
    <w:rsid w:val="185C1667"/>
    <w:rsid w:val="192A5572"/>
    <w:rsid w:val="19924070"/>
    <w:rsid w:val="19CB3F91"/>
    <w:rsid w:val="1B50328A"/>
    <w:rsid w:val="1BE87D11"/>
    <w:rsid w:val="1C54409A"/>
    <w:rsid w:val="1CE67A02"/>
    <w:rsid w:val="1D295618"/>
    <w:rsid w:val="1DE34C93"/>
    <w:rsid w:val="1E2419AF"/>
    <w:rsid w:val="1FD20711"/>
    <w:rsid w:val="1FEE081A"/>
    <w:rsid w:val="20560211"/>
    <w:rsid w:val="20EA3839"/>
    <w:rsid w:val="21974CC7"/>
    <w:rsid w:val="22533FDD"/>
    <w:rsid w:val="22723AE6"/>
    <w:rsid w:val="23BB45FE"/>
    <w:rsid w:val="249D7540"/>
    <w:rsid w:val="27906EE8"/>
    <w:rsid w:val="28EE6A21"/>
    <w:rsid w:val="2A5A30EF"/>
    <w:rsid w:val="2AF721FD"/>
    <w:rsid w:val="2C2C3A4C"/>
    <w:rsid w:val="2EBD72F5"/>
    <w:rsid w:val="2EFE112F"/>
    <w:rsid w:val="2F0F2DE8"/>
    <w:rsid w:val="2F3D7179"/>
    <w:rsid w:val="3067180F"/>
    <w:rsid w:val="30BD5CD5"/>
    <w:rsid w:val="316A07AA"/>
    <w:rsid w:val="325B4596"/>
    <w:rsid w:val="32A72C64"/>
    <w:rsid w:val="337C39DB"/>
    <w:rsid w:val="339C2174"/>
    <w:rsid w:val="34086058"/>
    <w:rsid w:val="341F7742"/>
    <w:rsid w:val="35E6686D"/>
    <w:rsid w:val="382C43AB"/>
    <w:rsid w:val="38E76BF1"/>
    <w:rsid w:val="39227BBC"/>
    <w:rsid w:val="39574BC0"/>
    <w:rsid w:val="3A127C30"/>
    <w:rsid w:val="3B247C1B"/>
    <w:rsid w:val="3C2F6110"/>
    <w:rsid w:val="3C683C77"/>
    <w:rsid w:val="3D003D2D"/>
    <w:rsid w:val="3DD166C8"/>
    <w:rsid w:val="3E6D0C50"/>
    <w:rsid w:val="3E92628C"/>
    <w:rsid w:val="3F7D507B"/>
    <w:rsid w:val="402043E9"/>
    <w:rsid w:val="416168A9"/>
    <w:rsid w:val="417938C5"/>
    <w:rsid w:val="419A0EE9"/>
    <w:rsid w:val="41C86479"/>
    <w:rsid w:val="41DD72D9"/>
    <w:rsid w:val="42027AB1"/>
    <w:rsid w:val="42247D6D"/>
    <w:rsid w:val="43615785"/>
    <w:rsid w:val="44C133A5"/>
    <w:rsid w:val="456D0411"/>
    <w:rsid w:val="45B2225E"/>
    <w:rsid w:val="460A7401"/>
    <w:rsid w:val="46DE1703"/>
    <w:rsid w:val="472D7E58"/>
    <w:rsid w:val="47E524E0"/>
    <w:rsid w:val="482E032B"/>
    <w:rsid w:val="487404EE"/>
    <w:rsid w:val="48C06AA9"/>
    <w:rsid w:val="4AA5332D"/>
    <w:rsid w:val="4B6202EC"/>
    <w:rsid w:val="4CFF51D5"/>
    <w:rsid w:val="4D7E765F"/>
    <w:rsid w:val="4DE46A01"/>
    <w:rsid w:val="4F1931A5"/>
    <w:rsid w:val="4F57197A"/>
    <w:rsid w:val="5180629F"/>
    <w:rsid w:val="52052758"/>
    <w:rsid w:val="52762A77"/>
    <w:rsid w:val="53DF25BA"/>
    <w:rsid w:val="541B3C32"/>
    <w:rsid w:val="545F7ABE"/>
    <w:rsid w:val="54EB4EAE"/>
    <w:rsid w:val="552D5B73"/>
    <w:rsid w:val="56A30136"/>
    <w:rsid w:val="56C1680E"/>
    <w:rsid w:val="585D67FF"/>
    <w:rsid w:val="58900246"/>
    <w:rsid w:val="58CB127E"/>
    <w:rsid w:val="59594ADC"/>
    <w:rsid w:val="5B127349"/>
    <w:rsid w:val="5B6836FC"/>
    <w:rsid w:val="60AF76D8"/>
    <w:rsid w:val="648D5F82"/>
    <w:rsid w:val="65E41CF9"/>
    <w:rsid w:val="66495ED8"/>
    <w:rsid w:val="67BD092C"/>
    <w:rsid w:val="681A3612"/>
    <w:rsid w:val="68D541E4"/>
    <w:rsid w:val="6AED37F7"/>
    <w:rsid w:val="6C606A58"/>
    <w:rsid w:val="6CA74105"/>
    <w:rsid w:val="6CAE2F39"/>
    <w:rsid w:val="6D9E7C95"/>
    <w:rsid w:val="6DC748C4"/>
    <w:rsid w:val="6DF00670"/>
    <w:rsid w:val="6DF835FD"/>
    <w:rsid w:val="6E522ADB"/>
    <w:rsid w:val="6E535B46"/>
    <w:rsid w:val="6E646C78"/>
    <w:rsid w:val="6F555203"/>
    <w:rsid w:val="6FE4758B"/>
    <w:rsid w:val="71D37DBD"/>
    <w:rsid w:val="72181581"/>
    <w:rsid w:val="725D51E5"/>
    <w:rsid w:val="76D35A76"/>
    <w:rsid w:val="77C17FC5"/>
    <w:rsid w:val="780F1455"/>
    <w:rsid w:val="78295EBD"/>
    <w:rsid w:val="782A6E2F"/>
    <w:rsid w:val="79222CE5"/>
    <w:rsid w:val="793B39FE"/>
    <w:rsid w:val="7C1B2F62"/>
    <w:rsid w:val="7CDE1A48"/>
    <w:rsid w:val="7DB452FD"/>
    <w:rsid w:val="7E2A4F6A"/>
    <w:rsid w:val="7E442357"/>
    <w:rsid w:val="7F1466C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表格文字"/>
    <w:basedOn w:val="1"/>
    <w:qFormat/>
    <w:uiPriority w:val="0"/>
    <w:pPr>
      <w:spacing w:line="360" w:lineRule="auto"/>
      <w:jc w:val="center"/>
    </w:pPr>
    <w:rPr>
      <w:rFonts w:ascii="仿宋_GB2312" w:hAnsi="Arial Black" w:eastAsia="宋体" w:cs="Times New Roman"/>
      <w:kern w:val="44"/>
      <w:sz w:val="24"/>
      <w:szCs w:val="20"/>
    </w:rPr>
  </w:style>
  <w:style w:type="paragraph" w:styleId="3">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4">
    <w:name w:val="Body Text Indent 2"/>
    <w:basedOn w:val="1"/>
    <w:qFormat/>
    <w:uiPriority w:val="99"/>
    <w:pPr>
      <w:spacing w:line="590" w:lineRule="exact"/>
      <w:ind w:firstLine="880" w:firstLineChars="200"/>
    </w:pPr>
    <w:rPr>
      <w:kern w:val="0"/>
      <w:sz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FangSong_GB2312" w:hAnsi="FangSong_GB2312" w:eastAsia="FangSong_GB2312" w:cs="FangSong_GB2312"/>
      <w:sz w:val="30"/>
      <w:szCs w:val="30"/>
      <w:lang w:val="en-US" w:eastAsia="en-US" w:bidi="ar-SA"/>
    </w:rPr>
  </w:style>
  <w:style w:type="paragraph" w:customStyle="1" w:styleId="12">
    <w:name w:val="Normal Indent1"/>
    <w:basedOn w:val="1"/>
    <w:qFormat/>
    <w:uiPriority w:val="0"/>
    <w:pPr>
      <w:ind w:firstLine="420" w:firstLineChars="200"/>
    </w:pPr>
    <w:rPr>
      <w:rFonts w:ascii="宋体"/>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Words>2342</Words>
  <Characters>2408</Characters>
  <TotalTime>58</TotalTime>
  <ScaleCrop>false</ScaleCrop>
  <LinksUpToDate>false</LinksUpToDate>
  <CharactersWithSpaces>2435</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2025-04-11T16:17:00Z</dcterms:created>
  <dc:creator>wang</dc:creator>
  <cp:lastModifiedBy>WPS_1641996543</cp:lastModifiedBy>
  <dcterms:modified xsi:type="dcterms:W3CDTF">2025-10-20T00:25:04Z</dcterms:modified>
  <dc:title>  合安﹝2015﹞7号                       签发人：王 翔</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2025-10-15T10:30:08Z</vt:filetime>
  </property>
  <property fmtid="{D5CDD505-2E9C-101B-9397-08002B2CF9AE}" pid="4" name="KSOTemplateDocerSaveRecord">
    <vt:lpwstr>eyJoZGlkIjoiOGU2ZDZlNWI1YzExMzJjNGNkNzYzMTQ2NDNkZDgyYTciLCJ1c2VySWQiOiIxMzEzODk4NDg0In0=</vt:lpwstr>
  </property>
  <property fmtid="{D5CDD505-2E9C-101B-9397-08002B2CF9AE}" pid="5" name="KSOProductBuildVer">
    <vt:lpwstr>2052-12.1.0.22529</vt:lpwstr>
  </property>
  <property fmtid="{D5CDD505-2E9C-101B-9397-08002B2CF9AE}" pid="6" name="ICV">
    <vt:lpwstr>8C55D3D5B1B44F238596845C1AE640C4_12</vt:lpwstr>
  </property>
</Properties>
</file>